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20"/>
      </w:pPr>
      <w:r>
        <w:rPr>
          <w:b/>
          <w:color w:val="1F4E79"/>
          <w:sz w:val="18"/>
        </w:rPr>
        <w:t>GHI CHÚ NGỮ CẢNH — PHẦN BIÊN TẬP, KHÔNG THUỘC NGUYÊN VĂN VĂN BẢN</w:t>
      </w:r>
    </w:p>
    <w:p>
      <w:r>
        <w:rPr>
          <w:b/>
          <w:sz w:val="18"/>
        </w:rPr>
        <w:t>Văn bản: LUẬT NHÀ Ở — 79/VBHN-VPQH</w:t>
      </w:r>
    </w:p>
    <w:p>
      <w:pPr>
        <w:spacing w:after="0" w:line="240" w:lineRule="auto"/>
      </w:pPr>
      <w:r>
        <w:rPr>
          <w:b/>
          <w:color w:val="464646"/>
          <w:sz w:val="17"/>
        </w:rPr>
        <w:t xml:space="preserve">Định danh: </w:t>
      </w:r>
      <w:r>
        <w:rPr>
          <w:color w:val="464646"/>
          <w:sz w:val="17"/>
        </w:rPr>
        <w:t>Văn bản hợp nhất số 79/VBHN-VPQH, Văn phòng Quốc hội, ngày 26/03/2026.</w:t>
      </w:r>
    </w:p>
    <w:p>
      <w:pPr>
        <w:spacing w:after="0" w:line="240" w:lineRule="auto"/>
      </w:pPr>
      <w:r>
        <w:rPr>
          <w:b/>
          <w:color w:val="464646"/>
          <w:sz w:val="17"/>
        </w:rPr>
        <w:t xml:space="preserve">Phạm vi/đối tượng: </w:t>
      </w:r>
      <w:r>
        <w:rPr>
          <w:color w:val="464646"/>
          <w:sz w:val="17"/>
        </w:rPr>
        <w:t>Quy định sở hữu, phát triển, quản lý, sử dụng và giao dịch về nhà ở tại Việt Nam; áp dụng với cơ quan nhà nước, tổ chức, cá nhân có liên quan.</w:t>
      </w:r>
    </w:p>
    <w:p>
      <w:pPr>
        <w:spacing w:after="0" w:line="240" w:lineRule="auto"/>
      </w:pPr>
      <w:r>
        <w:rPr>
          <w:b/>
          <w:color w:val="464646"/>
          <w:sz w:val="17"/>
        </w:rPr>
        <w:t xml:space="preserve">Hiệu lực: </w:t>
      </w:r>
      <w:r>
        <w:rPr>
          <w:color w:val="464646"/>
          <w:sz w:val="17"/>
        </w:rPr>
        <w:t>Bản hợp nhất không có ngày hiệu lực riêng. Luật Nhà ở số 27/2023/QH15 có hiệu lực từ 01/08/2024 theo Luật 43/2024/QH15.</w:t>
      </w:r>
    </w:p>
    <w:p>
      <w:pPr>
        <w:spacing w:after="0" w:line="240" w:lineRule="auto"/>
      </w:pPr>
      <w:r>
        <w:rPr>
          <w:b/>
          <w:color w:val="464646"/>
          <w:sz w:val="17"/>
        </w:rPr>
        <w:t xml:space="preserve">Lịch sử/ngữ cảnh: </w:t>
      </w:r>
      <w:r>
        <w:rPr>
          <w:color w:val="464646"/>
          <w:sz w:val="17"/>
        </w:rPr>
        <w:t>Hợp nhất Luật Nhà ở 27/2023/QH15 và nội dung sửa đổi tại Luật 43/2024/QH15. Đây là bản trích tuyển phục vụ tra cứu quyền, nghĩa vụ và giao dịch thuê nhà; không phải toàn văn luật.</w:t>
      </w:r>
    </w:p>
    <w:p>
      <w:pPr>
        <w:spacing w:after="0" w:line="240" w:lineRule="auto"/>
      </w:pPr>
      <w:r>
        <w:rPr>
          <w:b/>
          <w:color w:val="464646"/>
          <w:sz w:val="17"/>
        </w:rPr>
        <w:t xml:space="preserve">Nguồn chính thức: </w:t>
      </w:r>
      <w:r>
        <w:rPr>
          <w:color w:val="464646"/>
          <w:sz w:val="17"/>
        </w:rPr>
        <w:t>https://congbao.chinhphu.vn/van-ban/van-ban-hop-nhat-so-79-vbhn-vpqh-469209.htm</w:t>
      </w:r>
    </w:p>
    <w:p>
      <w:pPr>
        <w:spacing w:after="40"/>
      </w:pPr>
      <w:r>
        <w:rPr>
          <w:sz w:val="14"/>
        </w:rPr>
        <w:t>————————————————————————————————————————————————————</w:t>
      </w:r>
    </w:p>
    <w:p w14:paraId="7839CA10">
      <w:pPr>
        <w:spacing w:before="120" w:after="0" w:line="240" w:lineRule="auto"/>
        <w:ind w:firstLine="3828"/>
        <w:jc w:val="center"/>
        <w:rPr>
          <w:rFonts w:ascii="Times New Roman" w:hAnsi="Times New Roman" w:eastAsia="Calibri" w:cs="Times New Roman"/>
          <w:b/>
          <w:bCs/>
          <w:color w:val="000000" w:themeColor="text1"/>
          <w:kern w:val="0"/>
          <w14:textFill>
            <w14:solidFill>
              <w14:schemeClr w14:val="tx1"/>
            </w14:solidFill>
          </w14:textFill>
          <w14:ligatures w14:val="none"/>
        </w:rPr>
      </w:pPr>
      <w:r>
        <w:rPr>
          <w:rFonts w:ascii="Times New Roman" w:hAnsi="Times New Roman" w:eastAsia="Calibri" w:cs="Times New Roman"/>
          <w:b/>
          <w:bCs/>
          <w:color w:val="000000" w:themeColor="text1"/>
          <w:kern w:val="0"/>
          <w14:textFill>
            <w14:solidFill>
              <w14:schemeClr w14:val="tx1"/>
            </w14:solidFill>
          </w14:textFill>
          <w14:ligatures w14:val="none"/>
        </w:rPr>
        <w:t>CỘNG HÒA XÃ HỘI CHỦ NGHĨA VIỆT NAM</w:t>
      </w:r>
    </w:p>
    <w:p w14:paraId="5C09C491">
      <w:pPr>
        <w:spacing w:before="120" w:after="0" w:line="240" w:lineRule="auto"/>
        <w:ind w:firstLine="3828"/>
        <w:jc w:val="center"/>
        <w:rPr>
          <w:rFonts w:ascii="Times New Roman" w:hAnsi="Times New Roman" w:eastAsia="Calibri" w:cs="Times New Roman"/>
          <w:b/>
          <w:color w:val="000000" w:themeColor="text1"/>
          <w:kern w:val="0"/>
          <w:sz w:val="26"/>
          <w:szCs w:val="26"/>
          <w14:textFill>
            <w14:solidFill>
              <w14:schemeClr w14:val="tx1"/>
            </w14:solidFill>
          </w14:textFill>
          <w14:ligatures w14:val="none"/>
        </w:rPr>
      </w:pPr>
      <w:r>
        <w:rPr>
          <w:rFonts w:ascii="Times New Roman" w:hAnsi="Times New Roman" w:eastAsia="Calibri" w:cs="Times New Roman"/>
          <w:b/>
          <w:bCs/>
          <w:color w:val="000000" w:themeColor="text1"/>
          <w:kern w:val="0"/>
          <w:sz w:val="26"/>
          <w:szCs w:val="26"/>
          <w14:textFill>
            <w14:solidFill>
              <w14:schemeClr w14:val="tx1"/>
            </w14:solidFill>
          </w14:textFill>
          <w14:ligatures w14:val="none"/>
        </w:rPr>
        <w:t>Độc lập - Tự do - Hạnh phúc</w:t>
      </w:r>
    </w:p>
    <w:p w14:paraId="7DC6D925">
      <w:pPr>
        <w:spacing w:before="120" w:after="0" w:line="240" w:lineRule="auto"/>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3082290</wp:posOffset>
                </wp:positionH>
                <wp:positionV relativeFrom="paragraph">
                  <wp:posOffset>43815</wp:posOffset>
                </wp:positionV>
                <wp:extent cx="2047240" cy="0"/>
                <wp:effectExtent l="0" t="0" r="0" b="0"/>
                <wp:wrapNone/>
                <wp:docPr id="1725325740" name="Straight Connector 6"/>
                <wp:cNvGraphicFramePr/>
                <a:graphic xmlns:a="http://schemas.openxmlformats.org/drawingml/2006/main">
                  <a:graphicData uri="http://schemas.microsoft.com/office/word/2010/wordprocessingShape">
                    <wps:wsp>
                      <wps:cNvCnPr/>
                      <wps:spPr>
                        <a:xfrm>
                          <a:off x="0" y="0"/>
                          <a:ext cx="204716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Straight Connector 6" o:spid="_x0000_s1026" o:spt="20" style="position:absolute;left:0pt;margin-left:242.7pt;margin-top:3.45pt;height:0pt;width:161.2pt;z-index:251659264;mso-width-relative:page;mso-height-relative:page;" filled="f" stroked="t" coordsize="21600,21600" o:gfxdata="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CpxuD31AAAAAcBAAAPAAAAAAAAAAEA&#10;IAAAACIAAABkcnMvZG93bnJldi54bWxQSwECFAAUAAAACACHTuJASqn7z9oBAAC9AwAADgAAAAAA&#10;AAABACAAAAAjAQAAZHJzL2Uyb0RvYy54bWxQSwUGAAAAAAYABgBZAQAAbwUAAAAA&#10;">
                <v:fill on="f" focussize="0,0"/>
                <v:stroke weight="0.5pt" color="#000000 [3200]" miterlimit="8" joinstyle="miter"/>
                <v:imagedata o:title=""/>
                <o:lock v:ext="edit" aspectratio="f"/>
              </v:line>
            </w:pict>
          </mc:Fallback>
        </mc:AlternateContent>
      </w:r>
    </w:p>
    <w:p w14:paraId="508564EA">
      <w:pPr>
        <w:spacing w:before="120" w:after="0" w:line="240" w:lineRule="auto"/>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LUẬT</w:t>
      </w:r>
    </w:p>
    <w:p w14:paraId="287D443E">
      <w:pPr>
        <w:spacing w:before="120" w:after="0" w:line="240" w:lineRule="auto"/>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NHÀ Ở</w:t>
      </w:r>
    </w:p>
    <w:p w14:paraId="68AFD331">
      <w:pPr>
        <w:spacing w:before="120" w:after="0" w:line="240" w:lineRule="auto"/>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p>
    <w:p w14:paraId="12FB6860">
      <w:pPr>
        <w:spacing w:after="0" w:line="240" w:lineRule="auto"/>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Chương I</w:t>
      </w:r>
    </w:p>
    <w:p w14:paraId="51DFEDEF">
      <w:pPr>
        <w:spacing w:after="0" w:line="240" w:lineRule="auto"/>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NHỮNG QUY ĐỊNH CHUNG</w:t>
      </w:r>
    </w:p>
    <w:p w14:paraId="1AA94A02">
      <w:pPr>
        <w:keepNext/>
        <w:keepLines/>
        <w:spacing w:before="120" w:after="0" w:line="334"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10. Quyền của chủ sở hữu nhà ở và người sử dụng nhà ở </w:t>
      </w:r>
    </w:p>
    <w:p w14:paraId="6B88FE99">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Chủ sở hữu nhà ở là tổ chức, cá nhân trong nước, người Việt Nam định cư ở nước ngoài có các quyền sau đây:</w:t>
      </w:r>
    </w:p>
    <w:p w14:paraId="019C258D">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Có quyền bất khả xâm phạm về nhà ở thuộc sở hữu hợp pháp của mình;</w:t>
      </w:r>
    </w:p>
    <w:p w14:paraId="5E595056">
      <w:pPr>
        <w:spacing w:before="120" w:after="0" w:line="334" w:lineRule="exact"/>
        <w:ind w:firstLine="567"/>
        <w:jc w:val="both"/>
        <w:rPr>
          <w:rFonts w:ascii="Times New Roman" w:hAnsi="Times New Roman" w:eastAsia="Calibri" w:cs="Times New Roman"/>
          <w:color w:val="000000" w:themeColor="text1"/>
          <w:spacing w:val="-4"/>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4"/>
          <w:kern w:val="0"/>
          <w:sz w:val="28"/>
          <w:szCs w:val="28"/>
          <w14:textFill>
            <w14:solidFill>
              <w14:schemeClr w14:val="tx1"/>
            </w14:solidFill>
          </w14:textFill>
          <w14:ligatures w14:val="none"/>
        </w:rPr>
        <w:t>b) Sử dụng nhà ở vào mục đích để ở và mục đích khác mà pháp luật không cấm;</w:t>
      </w:r>
    </w:p>
    <w:p w14:paraId="236BE357">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c) Được cấp Giấy chứng nhận đối với nhà ở thuộc quyền sở hữu hợp pháp của mình theo quy định của Luật này và pháp luật về đất đai;</w:t>
      </w:r>
    </w:p>
    <w:p w14:paraId="7CFD355A">
      <w:pPr>
        <w:widowControl w:val="0"/>
        <w:spacing w:before="120" w:after="0" w:line="334"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d) Bán, cho thuê mua, tặng cho, đổi, để thừa kế, thế chấp, góp vốn bằng nhà ở theo quy định của Luật này, pháp luật về đất đai và quy định khác của pháp luật có liên quan; chuyển nhượng hợp đồng mua bán nhà ở, cho thuê, cho mượn, cho ở nhờ, ủy quyền quản lý nhà ở và các quyền khác theo quy định của pháp luật; </w:t>
      </w: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xml:space="preserve">trường hợp tặng cho, để thừa kế nhà ở cho đối tượng không thuộc trường hợp được sở hữu nhà ở tại Việt Nam thì đối tượng này chỉ được hưởng giá trị của nhà ở đó. </w:t>
      </w:r>
    </w:p>
    <w:p w14:paraId="18F4B91B">
      <w:pPr>
        <w:widowControl w:val="0"/>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Trường hợp Luật Đất đai có quy định khác về quyền của chủ sở hữu nhà ở gắn với quyền sử dụng đất ở là người Việt Nam định cư ở nước ngoài thì thực hiện theo quy định đó;</w:t>
      </w:r>
    </w:p>
    <w:p w14:paraId="7F6DFA9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Sử dụng chung các công trình tiện ích công cộng trong khu nhà ở đó theo quy định của Luật này và quy định khác của pháp luật có liên quan.</w:t>
      </w:r>
    </w:p>
    <w:p w14:paraId="3932DB54">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Trường hợp là chủ sở hữu nhà chung cư thì có quyền sở hữu chung, sử dụng chung đối với phần sở hữu chung của nhà chung cư và công trình hạ tầng sử dụng chung của khu nhà chung cư đó, trừ công trình được xây dựng để kinh doanh hoặc phải bàn giao cho Nhà nước theo quy định của pháp luật hoặc theo thỏa thuận trong hợp đồng mua bán, thuê mua nhà ở;</w:t>
      </w:r>
    </w:p>
    <w:p w14:paraId="6F14FE27">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e) Bảo trì, cải tạo, phá dỡ, xây dựng lại nhà ở theo quy định của Luật này và pháp luật về xây dựng;</w:t>
      </w:r>
    </w:p>
    <w:p w14:paraId="136719CD">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 Được bảo hộ quyền sở hữu nhà ở theo quy định tại Điều 7 của Luật này;</w:t>
      </w:r>
    </w:p>
    <w:p w14:paraId="75559C3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h) Khiếu nại, tố cáo, khởi kiện đối với hành vi vi phạm quyền sở hữu hợp pháp của mình và hành vi khác vi phạm pháp luật về nhà ở;</w:t>
      </w:r>
    </w:p>
    <w:p w14:paraId="70570CDF">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i) Quyền khác theo quy định của pháp luật.</w:t>
      </w:r>
    </w:p>
    <w:p w14:paraId="5695C304">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Chủ sở hữu nhà ở là tổ chức, cá nhân nước ngoài có quyền quy định tại Điều 20 của Luật này.</w:t>
      </w:r>
    </w:p>
    <w:p w14:paraId="4A6761F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Người sử dụng nhà ở không phải là chủ sở hữu nhà ở được thực hiện quyền trong việc quản lý, sử dụng nhà ở theo thỏa thuận với chủ sở hữu nhà ở.</w:t>
      </w:r>
    </w:p>
    <w:p w14:paraId="7B26480C">
      <w:pPr>
        <w:keepNext/>
        <w:keepLines/>
        <w:spacing w:before="120" w:after="0" w:line="340" w:lineRule="exact"/>
        <w:ind w:firstLine="567"/>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11. Nghĩa vụ của chủ sở hữu nhà ở và người sử dụng nhà ở </w:t>
      </w:r>
    </w:p>
    <w:p w14:paraId="06A6F637">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bookmarkStart w:id="0" w:name="bookmark2"/>
      <w:r>
        <w:rPr>
          <w:rFonts w:ascii="Times New Roman" w:hAnsi="Times New Roman" w:eastAsia="Calibri" w:cs="Times New Roman"/>
          <w:color w:val="000000" w:themeColor="text1"/>
          <w:kern w:val="0"/>
          <w:sz w:val="28"/>
          <w:szCs w:val="28"/>
          <w14:textFill>
            <w14:solidFill>
              <w14:schemeClr w14:val="tx1"/>
            </w14:solidFill>
          </w14:textFill>
          <w14:ligatures w14:val="none"/>
        </w:rPr>
        <w:t>1. Chủ sở hữu nhà ở là tổ chức, cá nhân trong nước, người Việt Nam định cư ở nước ngoài có các nghĩa vụ sau đây:</w:t>
      </w:r>
    </w:p>
    <w:p w14:paraId="4E404737">
      <w:pPr>
        <w:spacing w:before="120" w:after="0" w:line="340"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a) Sử dụng nhà ở đúng mục đích; lập và lưu trữ hồ sơ nhà ở thuộc sở hữu của mình;</w:t>
      </w:r>
    </w:p>
    <w:p w14:paraId="12F8DB6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Thực hiện việc phòng cháy, chữa cháy, bảo đảm vệ sinh, môi trường, trật tự, an toàn xã hội theo quy định của pháp luật;</w:t>
      </w:r>
    </w:p>
    <w:p w14:paraId="7005D0C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c) Thực hiện đầy đủ quy định của pháp luật khi bán, cho thuê mua, cho thuê, tặng cho, đổi, để thừa kế, thế chấp, góp vốn, cho mượn, cho ở nhờ, ủy quyền quản lý nhà ở, chuyển nhượng hợp đồng mua bán nhà ở; đối với giao dịch nhà ở là tài sản chung của vợ chồng thì còn phải thực hiện theo quy định của Luật Hôn nhân và gia đình. Trường hợp mua bán nhà ở có thời hạn theo quy định tại khoản 1 Điều 165 của Luật này thì phải trả lại nhà ở khi hết thời hạn theo quy định tại khoản 2 Điều 9 của Luật này. </w:t>
      </w:r>
    </w:p>
    <w:p w14:paraId="2A26BA95">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Trường hợp Luật Đất đai có quy định khác về nghĩa vụ của chủ sở hữu nhà ở gắn với quyền sử dụng đất ở là người Việt Nam định cư ở nước ngoài thì thực hiện theo quy định đó;</w:t>
      </w:r>
    </w:p>
    <w:p w14:paraId="2AD0B5C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Thực hiện đúng quy định của pháp luật và không được gây thiệt hại đến lợi ích của Nhà nước, lợi ích công cộng, quyền và lợi ích hợp pháp của tổ chức, cá nhân khác khi bảo trì, cải tạo, phá dỡ, xây dựng lại nhà ở; trường hợp mua bán nhà ở có thời hạn theo quy định tại khoản 1 Điều 165 của Luật này thì còn phải thực hiện theo thỏa thuận giữa các bên;</w:t>
      </w:r>
    </w:p>
    <w:p w14:paraId="23DA705B">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Mua bảo hiểm cháy, nổ đối với nhà ở thuộc trường hợp bắt buộc phải tham gia bảo hiểm cháy, nổ theo quy định của pháp luật về phòng cháy, chữa cháy và pháp luật về kinh doanh bảo hiểm;</w:t>
      </w:r>
    </w:p>
    <w:p w14:paraId="0E151D77">
      <w:pPr>
        <w:spacing w:before="80" w:after="0" w:line="340" w:lineRule="exact"/>
        <w:ind w:firstLine="567"/>
        <w:jc w:val="both"/>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e) Chấp hành quyết định của cơ quan nhà nước có thẩm quyền đã có hiệu lực pháp luật về việc xử lý vi phạm, giải quyết tranh chấp, khiếu nại, tố cáo về nhà ở, bồi thường, hỗ trợ, tái định cư, di dời, phá dỡ nhà ở; </w:t>
      </w:r>
    </w:p>
    <w:p w14:paraId="5B181FDE">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 Có trách nhiệm để các bên có liên quan và người có thẩm quyền thực hiện việc kiểm tra, theo dõi, bảo trì hệ thống trang thiết bị, hệ thống hạ tầng kỹ thuật, phần diện tích thuộc sở hữu chung, sử dụng chung;</w:t>
      </w:r>
    </w:p>
    <w:p w14:paraId="478B65FC">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h) Thực hiện nghĩa vụ tài chính với Nhà nước khi được công nhận quyền sở hữu nhà ở, khi thực hiện giao dịch về nhà ở và trong quá trình sử dụng nhà ở theo quy định của pháp luật;</w:t>
      </w:r>
    </w:p>
    <w:p w14:paraId="49D44252">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i) Nghĩa vụ khác theo quy định của pháp luật.</w:t>
      </w:r>
    </w:p>
    <w:p w14:paraId="6F013275">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Chủ sở hữu nhà ở là tổ chức, cá nhân nước ngoài có nghĩa vụ quy định tại khoản 1 Điều này và Điều 21 của Luật này; đại diện chủ sở hữu nhà ở thuộc tài sản công</w:t>
      </w:r>
      <w:r>
        <w:rPr>
          <w:rFonts w:ascii="Times New Roman" w:hAnsi="Times New Roman" w:eastAsia="Calibri" w:cs="Times New Roman"/>
          <w:i/>
          <w:iCs/>
          <w:color w:val="000000" w:themeColor="text1"/>
          <w:kern w:val="0"/>
          <w:sz w:val="28"/>
          <w:szCs w:val="28"/>
          <w14:textFill>
            <w14:solidFill>
              <w14:schemeClr w14:val="tx1"/>
            </w14:solidFill>
          </w14:textFill>
          <w14:ligatures w14:val="none"/>
        </w:rPr>
        <w:t xml:space="preserve"> </w:t>
      </w:r>
      <w:r>
        <w:rPr>
          <w:rFonts w:ascii="Times New Roman" w:hAnsi="Times New Roman" w:eastAsia="Calibri" w:cs="Times New Roman"/>
          <w:color w:val="000000" w:themeColor="text1"/>
          <w:kern w:val="0"/>
          <w:sz w:val="28"/>
          <w:szCs w:val="28"/>
          <w14:textFill>
            <w14:solidFill>
              <w14:schemeClr w14:val="tx1"/>
            </w14:solidFill>
          </w14:textFill>
          <w14:ligatures w14:val="none"/>
        </w:rPr>
        <w:t>có nghĩa vụ quy định tại khoản 1 Điều này và trách nhiệm quy định tại Điều 15 của Luật này.</w:t>
      </w:r>
    </w:p>
    <w:p w14:paraId="1BF99736">
      <w:pPr>
        <w:spacing w:before="8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Người sử dụng nhà ở không phải là chủ sở hữu nhà ở phải thực hiện nghĩa vụ trong việc quản lý, sử dụng nhà ở theo thỏa thuận với chủ sở hữu nhà ở, quy định của Luật này và quy định khác của pháp luật có liên quan.</w:t>
      </w:r>
    </w:p>
    <w:bookmarkEnd w:id="0"/>
    <w:p w14:paraId="134FF6FA">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Điều 57. Phát triển nhà ở nhiều tầng nhiều căn hộ của cá nhân để bán, cho thuê mua, cho thuê</w:t>
      </w:r>
    </w:p>
    <w:p w14:paraId="7DC28DFD">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1. Cá nhân có quyền sử dụng đất ở theo quy định tại khoản 3 Điều 54 của Luật này xây dựng nhà ở trong các trường hợp sau đây thì phải đáp ứng điều kiện làm chủ đầu tư dự án đầu tư xây dựng nhà ở, việc đầu tư xây dựng thực hiện theo quy định của pháp luật về xây dựng và quy định khác của pháp luật có liên quan đối với dự án đầu tư xây dựng nhà ở:</w:t>
      </w:r>
    </w:p>
    <w:p w14:paraId="2BCE1374">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a) Nhà ở có từ 02 tầng trở lên mà tại mỗi tầng có thiết kế, xây dựng căn hộ để bán, để cho thuê mua, để kết hợp bán, cho thuê mua, cho thuê căn hộ;</w:t>
      </w:r>
    </w:p>
    <w:p w14:paraId="1BCD1C63">
      <w:pPr>
        <w:widowControl w:val="0"/>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b) Nhà ở có từ 02 tầng trở lên và có quy mô từ 20 căn hộ trở lên để cho thuê.</w:t>
      </w:r>
    </w:p>
    <w:p w14:paraId="26C6D43D">
      <w:pPr>
        <w:widowControl w:val="0"/>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2. Căn hộ quy định tại khoản 1 Điều này được cấp Giấy chứng nhận theo quy định của pháp luật về đất đai, được bán, cho thuê mua, cho thuê theo quy định của Luật này, pháp luật về kinh doanh bất động sản.</w:t>
      </w:r>
    </w:p>
    <w:p w14:paraId="34C8EC92">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3. Cá nhân có quyền sử dụng đất ở theo quy định tại khoản 3 Điều 54 của Luật này xây dựng nhà ở có từ 02 tầng trở lên và có quy mô dưới 20 căn hộ mà tại mỗi tầng có thiết kế, xây dựng căn hộ để cho thuê thì phải thực hiện theo quy định sau đây:</w:t>
      </w:r>
    </w:p>
    <w:p w14:paraId="1B2870A9">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a) Đáp ứng yêu cầu xây dựng nhà ở nhiều tầng nhiều căn hộ của cá nhân theo quy định của Bộ trưởng Bộ Xây dựng;</w:t>
      </w:r>
    </w:p>
    <w:p w14:paraId="7976D224">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b) Đáp ứng yêu cầu về phòng cháy, chữa cháy theo quy định của pháp luật về phòng cháy, chữa cháy đối với nhà ở nhiều tầng nhiều căn hộ của cá nhân;</w:t>
      </w:r>
    </w:p>
    <w:p w14:paraId="5E68AB9C">
      <w:pPr>
        <w:shd w:val="clear" w:color="auto" w:fill="FFFFFF"/>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c) Đáp ứng </w:t>
      </w:r>
      <w:r>
        <w:rPr>
          <w:rFonts w:ascii="Times New Roman" w:hAnsi="Times New Roman" w:eastAsia="Calibri" w:cs="Times New Roman"/>
          <w:color w:val="000000" w:themeColor="text1"/>
          <w:kern w:val="0"/>
          <w:sz w:val="28"/>
          <w:szCs w:val="28"/>
          <w14:textFill>
            <w14:solidFill>
              <w14:schemeClr w14:val="tx1"/>
            </w14:solidFill>
          </w14:textFill>
          <w14:ligatures w14:val="none"/>
        </w:rPr>
        <w:t>điều kiện theo quy định của Ủy ban nhân dân cấp tỉnh về đường giao thông để phương tiện chữa cháy thực hiện nhiệm vụ chữa cháy tại nơi có nhà ở nhiều tầng nhiều căn hộ của cá nhân.</w:t>
      </w:r>
    </w:p>
    <w:p w14:paraId="708C5550">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4. Trường hợp nhà ở nhiều tầng nhiều căn hộ của cá nhân quy định tại khoản 3 Điều này có căn hộ để bán, để cho thuê mua thì phải đáp ứng điều kiện quy định tại khoản 1 Điều này.</w:t>
      </w:r>
    </w:p>
    <w:p w14:paraId="52B1CF81">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5. Việc quản lý vận hành nhà ở quy định </w:t>
      </w:r>
      <w:bookmarkStart w:id="1" w:name="_Hlk147136076"/>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tại khoản 1 và khoản 3 </w:t>
      </w:r>
      <w:bookmarkEnd w:id="1"/>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Điều này được thực hiện theo Quy chế quản lý, sử dụng nhà chung cư do Bộ trưởng Bộ Xây dựng ban hành (sau đây gọi chung là Quy chế quản lý, sử dụng nhà chung cư).</w:t>
      </w:r>
    </w:p>
    <w:p w14:paraId="0A726201">
      <w:pPr>
        <w:spacing w:before="120" w:after="0" w:line="36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6. Ủy ban nhân dân các cấp, trong phạm vi nhiệm vụ, quyền hạn của mình, có trách nhiệm kiểm tra, thanh tra việc đáp ứng yêu cầu, điều kiện quy định tại khoản 1 và khoản 3 Điều này. </w:t>
      </w:r>
    </w:p>
    <w:p w14:paraId="7DF405B4">
      <w:pPr>
        <w:spacing w:before="120" w:after="0" w:line="360" w:lineRule="exact"/>
        <w:ind w:firstLine="567"/>
        <w:jc w:val="both"/>
        <w:rPr>
          <w:rFonts w:ascii="Times New Roman" w:hAnsi="Times New Roman" w:eastAsia="Calibri" w:cs="Times New Roman"/>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7. Chính phủ quy định chi tiết Điều này.</w:t>
      </w:r>
    </w:p>
    <w:p w14:paraId="158BCDF8">
      <w:pPr>
        <w:spacing w:before="120" w:after="0" w:line="340" w:lineRule="exact"/>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Chương X</w:t>
      </w:r>
    </w:p>
    <w:p w14:paraId="2F695512">
      <w:pPr>
        <w:spacing w:before="120" w:after="0" w:line="340" w:lineRule="exact"/>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GIAO DỊCH VỀ NHÀ Ở</w:t>
      </w:r>
    </w:p>
    <w:p w14:paraId="76F1734B">
      <w:pPr>
        <w:spacing w:before="120" w:after="0" w:line="340" w:lineRule="exact"/>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Mục 1</w:t>
      </w:r>
    </w:p>
    <w:p w14:paraId="27E109B2">
      <w:pPr>
        <w:spacing w:before="120" w:after="0" w:line="340" w:lineRule="exact"/>
        <w:jc w:val="center"/>
        <w:rPr>
          <w:rFonts w:ascii="Times New Roman" w:hAnsi="Times New Roman" w:eastAsia="Calibri" w:cs="Times New Roman"/>
          <w:b/>
          <w:color w:val="000000" w:themeColor="text1"/>
          <w:kern w:val="0"/>
          <w:sz w:val="28"/>
          <w:szCs w:val="28"/>
          <w14:textFill>
            <w14:solidFill>
              <w14:schemeClr w14:val="tx1"/>
            </w14:solidFill>
          </w14:textFill>
          <w14:ligatures w14:val="none"/>
        </w:rPr>
      </w:pPr>
      <w:r>
        <w:rPr>
          <w:rFonts w:ascii="Times New Roman" w:hAnsi="Times New Roman" w:eastAsia="Calibri" w:cs="Times New Roman"/>
          <w:b/>
          <w:color w:val="000000" w:themeColor="text1"/>
          <w:kern w:val="0"/>
          <w:sz w:val="28"/>
          <w:szCs w:val="28"/>
          <w14:textFill>
            <w14:solidFill>
              <w14:schemeClr w14:val="tx1"/>
            </w14:solidFill>
          </w14:textFill>
          <w14:ligatures w14:val="none"/>
        </w:rPr>
        <w:t>QUY ĐỊNH CHUNG</w:t>
      </w:r>
    </w:p>
    <w:p w14:paraId="4CF981EE">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160. Điều kiện của nhà ở tham gia giao dịch </w:t>
      </w:r>
    </w:p>
    <w:p w14:paraId="1AFA69B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Giao dịch về mua bán, thuê mua, tặng cho, đổi, thế chấp, góp vốn bằng nhà ở thì nhà ở phải có đủ điều kiện sau đây:</w:t>
      </w:r>
    </w:p>
    <w:p w14:paraId="13B58A2A">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Có Giấy chứng nhận theo quy định của pháp luật, trừ trường hợp quy định tại khoản 2 Điều này;</w:t>
      </w:r>
    </w:p>
    <w:p w14:paraId="36821F16">
      <w:pPr>
        <w:spacing w:before="120" w:after="0" w:line="340"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xml:space="preserve">b) Không thuộc trường hợp đang có tranh chấp, khiếu nại, khiếu kiện về quyền sở hữu theo quy định của pháp luật về giải quyết tranh chấp, khiếu nại, tố cáo; </w:t>
      </w:r>
    </w:p>
    <w:p w14:paraId="38EF60D1">
      <w:pPr>
        <w:spacing w:before="120" w:after="0" w:line="340"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c) Đang trong thời hạn sở hữu nhà ở đối với trường hợp sở hữu nhà ở có thời hạn;</w:t>
      </w:r>
    </w:p>
    <w:p w14:paraId="5261F2E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Không bị kê biên để thi hành án hoặc để chấp hành quyết định hành chính đã có hiệu lực pháp luật của cơ quan nhà nước có thẩm quyền hoặc không thuộc trường hợp bị áp dụng biện pháp khẩn cấp tạm thời, biện pháp ngăn chặn theo quyết định của Tòa án hoặc cơ quan nhà nước có thẩm quyền;</w:t>
      </w:r>
    </w:p>
    <w:p w14:paraId="12AFDAD0">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Không thuộc trường hợp đã có quyết định thu hồi đất, có thông báo giải tỏa, phá dỡ nhà ở của cơ quan có thẩm quyền;</w:t>
      </w:r>
    </w:p>
    <w:p w14:paraId="7F6A2A10">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e) Điều kiện quy định tại điểm b và điểm c khoản này không áp dụng đối với trường hợp mua bán, thuê mua nhà ở hình thành trong tương lai.</w:t>
      </w:r>
    </w:p>
    <w:p w14:paraId="26DC931D">
      <w:pPr>
        <w:spacing w:before="120" w:after="0" w:line="340" w:lineRule="exact"/>
        <w:ind w:firstLine="567"/>
        <w:jc w:val="both"/>
        <w:rPr>
          <w:rFonts w:ascii="Times New Roman" w:hAnsi="Times New Roman" w:eastAsia="Calibri" w:cs="Times New Roman"/>
          <w:color w:val="000000" w:themeColor="text1"/>
          <w:spacing w:val="-6"/>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6"/>
          <w:kern w:val="0"/>
          <w:sz w:val="28"/>
          <w:szCs w:val="28"/>
          <w14:textFill>
            <w14:solidFill>
              <w14:schemeClr w14:val="tx1"/>
            </w14:solidFill>
          </w14:textFill>
          <w14:ligatures w14:val="none"/>
        </w:rPr>
        <w:t>2. Giao dịch về nhà ở sau đây thì nhà ở không bắt buộc phải có Giấy chứng nhận:</w:t>
      </w:r>
    </w:p>
    <w:p w14:paraId="77047734">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Mua bán, thuê mua, thế chấp nhà ở hình thành trong tương lai; bán nhà ở trong trường hợp giải thể, phá sản;</w:t>
      </w:r>
    </w:p>
    <w:p w14:paraId="015E0486">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Tổ chức tặng cho nhà tình nghĩa, nhà tình thương, nhà đại đoàn kết;</w:t>
      </w:r>
    </w:p>
    <w:p w14:paraId="0EE03B42">
      <w:pPr>
        <w:spacing w:before="120" w:after="0" w:line="334" w:lineRule="exact"/>
        <w:ind w:firstLine="567"/>
        <w:jc w:val="both"/>
        <w:rPr>
          <w:rFonts w:ascii="Times New Roman" w:hAnsi="Times New Roman" w:eastAsia="Calibri" w:cs="Times New Roman"/>
          <w:strike/>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xml:space="preserve">c) Mua bán, thuê mua nhà ở có sẵn của chủ đầu tư dự án đầu tư xây dựng nhà ở trong các trường hợp sau đây: nhà ở thuộc tài sản công; nhà ở xã hội, nhà ở cho lực lượng vũ trang nhân dân, nhà ở phục vụ tái định cư không thuộc tài sản công; </w:t>
      </w:r>
    </w:p>
    <w:p w14:paraId="4B4E1DC1">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Cho thuê, cho mượn, cho ở nhờ, ủy quyền quản lý nhà ở;</w:t>
      </w:r>
    </w:p>
    <w:p w14:paraId="0ED86519">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Nhận thừa kế nhà ở.</w:t>
      </w:r>
    </w:p>
    <w:p w14:paraId="1EAB2223">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Giấy tờ chứng minh điều kiện nhà ở tham gia giao dịch quy định tại khoản này thực hiện theo quy định của Chính phủ.</w:t>
      </w:r>
    </w:p>
    <w:p w14:paraId="26495915">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Trường hợp nhà ở cho thuê thì ngoài điều kiện quy định tại các điểm c, d và đ khoản 1 Điều này, nhà ở còn phải bảo đảm chất lượng, an toàn cho bên thuê nhà ở, có đầy đủ hệ thống điện, cấp nước, thoát nước, bảo đảm vệ sinh môi trường, trừ trường hợp các bên có thỏa thuận khác.</w:t>
      </w:r>
    </w:p>
    <w:p w14:paraId="66EB2F3A">
      <w:pPr>
        <w:keepNext/>
        <w:keepLines/>
        <w:spacing w:before="120" w:after="0" w:line="334"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161. Điều kiện của các bên tham gia giao dịch về nhà ở </w:t>
      </w:r>
    </w:p>
    <w:p w14:paraId="677FB18A">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Bên bán, cho thuê mua, cho thuê nhà ở, tặng cho, đổi, để thừa kế, thế chấp, góp vốn, cho mượn, cho ở nhờ, ủy quyền quản lý nhà ở phải đáp ứng điều kiện về chủ thể tham gia giao dịch theo quy định của pháp luật về dân sự.</w:t>
      </w:r>
    </w:p>
    <w:p w14:paraId="28CAE36F">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Bên mua, thuê mua, thuê nhà ở, nhận tặng cho, nhận đổi, nhận thừa kế, nhận thế chấp, nhận góp vốn, mượn, ở nhờ, được ủy quyền quản lý nhà ở là cá nhân phải đáp ứng điều kiện về chủ thể tham gia giao dịch theo quy định của pháp luật về dân sự và thực hiện theo quy định sau đây:</w:t>
      </w:r>
    </w:p>
    <w:p w14:paraId="0A83ED2C">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Nếu là cá nhân trong nước thì không bắt buộc phải có đăng ký cư trú tại nơi có nhà ở được giao dịch;</w:t>
      </w:r>
    </w:p>
    <w:p w14:paraId="022E6E48">
      <w:pPr>
        <w:spacing w:before="120" w:after="0" w:line="334"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w:t>
      </w: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Nếu là cá nhân nước ngoài, người Việt Nam định cư ở nước ngoài thì phải thuộc đối tượng được sở hữu nhà ở tại Việt Nam theo quy định của Luật này và không bắt buộc phải có đăng ký cư trú tại nơi có nhà ở được giao dịch. Đối với người Việt Nam định cư ở nước ngoài còn phải tuân thủ quy định của Luật Đất đai.</w:t>
      </w:r>
    </w:p>
    <w:p w14:paraId="4A496399">
      <w:pPr>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Bên mua, thuê mua, thuê nhà ở, nhận tặng cho, nhận đổi, nhận thừa kế, nhận thế chấp, nhận góp vốn, mượn, ở nhờ, được ủy quyền quản lý nhà ở là tổ chức thì phải đáp ứng điều kiện về chủ thể tham gia giao dịch theo quy định của pháp luật về dân sự và không phụ thuộc vào nơi đăng ký kinh doanh, nơi thành lập; trường hợp là tổ chức nước ngoài thì còn phải thuộc đối tượng được sở hữu nhà ở tại Việt Nam theo quy định của Luật này; nếu tổ chức được ủy quyền quản lý nhà ở thì còn phải có chức năng kinh doanh dịch vụ bất động sản và đang hoạt động tại Việt Nam theo quy định của pháp luật về kinh doanh bất động sản.</w:t>
      </w:r>
    </w:p>
    <w:p w14:paraId="7C7EBB33">
      <w:pPr>
        <w:widowControl w:val="0"/>
        <w:spacing w:before="120" w:after="0" w:line="334" w:lineRule="exact"/>
        <w:ind w:firstLine="567"/>
        <w:jc w:val="both"/>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 xml:space="preserve">Điều 162. Trình tự, thủ tục thực hiện giao dịch về nhà ở </w:t>
      </w:r>
    </w:p>
    <w:p w14:paraId="24E08379">
      <w:pPr>
        <w:widowControl w:val="0"/>
        <w:spacing w:before="120" w:after="0" w:line="334"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Các bên tham gia giao dịch nhà ở thỏa thuận lập hợp đồng mua bán, thuê mua, thuê, tặng cho, đổi, thế chấp, góp vốn, cho mượn, cho ở nhờ, ủy quyền quản lý nhà ở (sau đây gọi chung là hợp đồng về nhà ở) có các nội dung quy định tại Điều 163 của Luật này; trường hợp tổ chức tặng cho nhà tình nghĩa, nhà tình thương, nhà đại đoàn kết thì chỉ cần lập hợp đồng tặng cho.</w:t>
      </w:r>
    </w:p>
    <w:p w14:paraId="54207AD1">
      <w:pPr>
        <w:spacing w:before="120" w:after="0" w:line="340" w:lineRule="exact"/>
        <w:ind w:firstLine="567"/>
        <w:jc w:val="both"/>
        <w:rPr>
          <w:rFonts w:ascii="Times New Roman" w:hAnsi="Times New Roman" w:eastAsia="Calibri" w:cs="Times New Roman"/>
          <w:strike/>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Các bên thỏa thuận để một bên thực hiện nộp hồ sơ đề nghị cơ quan nhà nước có thẩm quyền cấp Giấy chứng nhận đối với nhà ở đó; trường hợp mua, thuê mua nhà ở của chủ đầu tư dự án thì chủ đầu tư có trách nhiệm làm thủ tục để cơ quan nhà nước có thẩm quyền cấp Giấy chứng nhận cho bên mua, bên thuê mua, trừ trường hợp bên mua, bên thuê mua tự nguyện làm thủ tục đề nghị cấp Giấy chứng nhận.</w:t>
      </w:r>
    </w:p>
    <w:p w14:paraId="7D149729">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3. Trường hợp bên mua, bên thuê mua, bên nhận tặng cho, nhận đổi, nhận góp vốn, nhận thừa kế nhà ở cùng với nhận chuyển quyền sử dụng đất ở và có quyền nhận quyền sử dụng đất ở có nhà ở đó thì khi thực hiện cấp Giấy chứng nhận, cơ quan nhà nước có thẩm quyền đồng thời công nhận quyền sở hữu nhà ở và quyền sử dụng đất ở cho bên nhận quyền sở hữu nhà ở. </w:t>
      </w:r>
    </w:p>
    <w:p w14:paraId="19F80E09">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163. Hợp đồng về nhà ở </w:t>
      </w:r>
    </w:p>
    <w:p w14:paraId="5C3F38C6">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Hợp đồng về nhà ở do các bên thỏa thuận và phải được lập thành văn bản bao gồm các nội dung sau đây:</w:t>
      </w:r>
    </w:p>
    <w:p w14:paraId="0071E50A">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Họ và tên của cá nhân, tên của tổ chức và địa chỉ của các bên;</w:t>
      </w:r>
    </w:p>
    <w:p w14:paraId="2C6C73B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2. Mô tả đặc điểm của nhà ở giao dịch và đặc điểm của thửa đất ở gắn với nhà ở đó. </w:t>
      </w:r>
    </w:p>
    <w:p w14:paraId="579F3CF2">
      <w:pPr>
        <w:spacing w:before="120" w:after="0" w:line="340" w:lineRule="exact"/>
        <w:ind w:firstLine="567"/>
        <w:jc w:val="both"/>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Đối với hợp đồng mua bán, hợp đồng thuê mua căn hộ chung cư thì các bên phải ghi rõ phần sở hữu chung, sử dụng chung; thời hạn sử dụng nhà chung cư </w:t>
      </w:r>
      <w:r>
        <w:rPr>
          <w:rFonts w:ascii="Times New Roman" w:hAnsi="Times New Roman" w:eastAsia="Calibri" w:cs="Times New Roman"/>
          <w:color w:val="000000" w:themeColor="text1"/>
          <w:spacing w:val="-2"/>
          <w:kern w:val="0"/>
          <w:sz w:val="28"/>
          <w:szCs w:val="28"/>
          <w14:textFill>
            <w14:solidFill>
              <w14:schemeClr w14:val="tx1"/>
            </w14:solidFill>
          </w14:textFill>
          <w14:ligatures w14:val="none"/>
        </w:rPr>
        <w:t xml:space="preserve">theo hồ sơ thiết kế; diện tích sử dụng thuộc quyền sở hữu riêng; diện tích sàn căn hộ; mục đích sử dụng của phần sở hữu chung, sử dụng chung trong nhà chung cư theo đúng mục đích thiết kế đã được phê duyệt; giá dịch vụ quản lý vận hành nhà chung cư trong trường hợp chưa tổ chức Hội nghị nhà chung cư lần đầu; trách nhiệm đóng, mức đóng kinh phí bảo trì và thông tin tài khoản nộp kinh phí bảo trì; </w:t>
      </w:r>
    </w:p>
    <w:p w14:paraId="12F1E79F">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Giá trị góp vốn, giá giao dịch nhà ở nếu hợp đồng có thỏa thuận về giá; trường hợp mua bán, cho thuê mua, cho thuê nhà ở mà Nhà nước có quy định về giá thì các bên phải thực hiện theo quy định đó;</w:t>
      </w:r>
    </w:p>
    <w:p w14:paraId="654F768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4. Thời hạn và phương thức thanh toán tiền nếu là trường hợp mua bán, cho thuê mua, cho thuê nhà ở;</w:t>
      </w:r>
    </w:p>
    <w:p w14:paraId="34823876">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5. Thời gian giao nhận nhà ở; thời gian bảo hành nhà ở nếu là mua, thuê mua nhà ở được đầu tư xây dựng mới; thời hạn cho thuê mua, cho thuê, thế chấp, cho mượn, cho ở nhờ, ủy quyền quản lý nhà ở; thời hạn góp vốn; thời hạn sở hữu đối với trường hợp mua bán nhà ở có thời hạn;</w:t>
      </w:r>
    </w:p>
    <w:p w14:paraId="02BCDB8A">
      <w:pPr>
        <w:widowControl w:val="0"/>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 xml:space="preserve">6. Quyền và nghĩa vụ của các bên. </w:t>
      </w:r>
    </w:p>
    <w:p w14:paraId="223EFA5A">
      <w:pPr>
        <w:widowControl w:val="0"/>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Trường hợp thuê mua nhà ở thì phải ghi rõ quyền và nghĩa vụ của các bên về việc sửa chữa hư hỏng của nhà ở trong quá trình thuê mua;</w:t>
      </w:r>
    </w:p>
    <w:p w14:paraId="65171188">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7. Cam kết của các bên;</w:t>
      </w:r>
    </w:p>
    <w:p w14:paraId="41088026">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8. Thỏa thuận khác;</w:t>
      </w:r>
    </w:p>
    <w:p w14:paraId="7E29014D">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9. Thời điểm có hiệu lực của hợp đồng;</w:t>
      </w:r>
    </w:p>
    <w:p w14:paraId="0623DC77">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10. Ngày, tháng, năm ký kết hợp đồng;</w:t>
      </w:r>
    </w:p>
    <w:p w14:paraId="28CD6D84">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11. Chữ ký và ghi rõ họ, tên của các bên, nếu là tổ chức thì phải đóng dấu (nếu có) và ghi rõ chức vụ của người ký.</w:t>
      </w:r>
    </w:p>
    <w:p w14:paraId="6BEF21D7">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164. Công chứng, chứng thực hợp đồng và thời điểm có hiệu lực của hợp đồng về nhà ở </w:t>
      </w:r>
    </w:p>
    <w:p w14:paraId="4FF21A7C">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Trường hợp mua bán, thuê mua, tặng cho, đổi, góp vốn, thế chấp nhà ở thì phải thực hiện công chứng hoặc chứng thực hợp đồng, trừ trường hợp quy định tại khoản 2 Điều này.</w:t>
      </w:r>
    </w:p>
    <w:p w14:paraId="15EED7BF">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Đối với giao dịch quy định tại khoản này thì thời điểm có hiệu lực của hợp đồng là thời điểm hoàn thành việc công chứng hoặc chứng thực theo quy định của pháp luật về công chứng, chứng thực.</w:t>
      </w:r>
    </w:p>
    <w:p w14:paraId="06D785EB">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tổ chức tặng cho nhà tình nghĩa, nhà tình thương, nhà đại đoàn kết; mua bán, thuê mua nhà ở thuộc tài sản công; mua bán, thuê mua nhà ở mà một bên là tổ chức, bao gồm: nhà ở xã hội, nhà ở cho lực lượng vũ trang nhân dân, nhà ở phục vụ tái định cư; góp vốn bằng nhà ở mà có một bên là tổ chức; thuê, mượn, ở nhờ, ủy quyền quản lý nhà ở thì không phải thực hiện công chứng, chứng thực hợp đồng, trừ trường hợp các bên có nhu cầu.</w:t>
      </w:r>
    </w:p>
    <w:p w14:paraId="15393F7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Đối với giao dịch quy định tại khoản này thì thời điểm có hiệu lực của hợp đồng là do các bên thỏa thuận; trường hợp các bên không có thỏa thuận thì thời điểm có hiệu lực của hợp đồng là thời điểm ký kết hợp đồng.</w:t>
      </w:r>
    </w:p>
    <w:p w14:paraId="5043BF4C">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Văn bản thừa kế nhà ở được công chứng hoặc chứng thực theo quy định của pháp luật về dân sự.</w:t>
      </w:r>
    </w:p>
    <w:p w14:paraId="520E9A01">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4. Việc công chứng hợp đồng về nhà ở được thực hiện tại tổ chức hành nghề công chứng; việc chứng thực hợp đồng về nhà ở được thực hiện tại Ủy ban nhân dân cấp xã nơi có nhà ở.</w:t>
      </w:r>
    </w:p>
    <w:p w14:paraId="1536F893">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p>
    <w:p w14:paraId="78EADB91">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Mục 2</w:t>
      </w:r>
    </w:p>
    <w:p w14:paraId="64F64468">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MUA BÁN NHÀ Ở</w:t>
      </w:r>
    </w:p>
    <w:p w14:paraId="29562305">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168. Mua bán nhà ở đang cho thuê </w:t>
      </w:r>
    </w:p>
    <w:p w14:paraId="688A49AF">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Trường hợp chủ sở hữu bán nhà ở đang cho thuê thì phải thông báo bằng văn bản cho bên thuê nhà ở biết về việc bán và điều kiện bán nhà ở; bên thuê nhà ở được quyền ưu tiên mua nếu đã thanh toán đủ tiền thuê nhà cho bên cho thuê tính đến thời điểm bên cho thuê có thông báo về việc bán nhà ở đang cho thuê, trừ trường hợp Bộ luật Dân sự có quy định khác. Trong thời hạn 30 ngày, kể từ ngày bên thuê nhà ở nhận được thông báo mà không mua thì chủ sở hữu nhà ở được quyền bán nhà ở đó cho người khác, trừ trường hợp các bên có thỏa thuận khác về thời hạn.</w:t>
      </w:r>
    </w:p>
    <w:p w14:paraId="1C39BABC">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bán nhà ở đang cho thuê thuộc tài sản công thì thực hiện theo quy định tại Mục 2 Chương VIII của Luật này.</w:t>
      </w:r>
    </w:p>
    <w:p w14:paraId="6045829C">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p>
    <w:p w14:paraId="65B0921B">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Mục 3</w:t>
      </w:r>
    </w:p>
    <w:p w14:paraId="41E2042E">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b/>
          <w:bCs/>
          <w:color w:val="000000" w:themeColor="text1"/>
          <w:kern w:val="0"/>
          <w:sz w:val="28"/>
          <w:szCs w:val="28"/>
          <w14:textFill>
            <w14:solidFill>
              <w14:schemeClr w14:val="tx1"/>
            </w14:solidFill>
          </w14:textFill>
          <w14:ligatures w14:val="none"/>
        </w:rPr>
        <w:t>THUÊ NHÀ Ở</w:t>
      </w:r>
    </w:p>
    <w:p w14:paraId="16C7218B">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170. Thời hạn thuê, giá thuê, cho thuê lại nhà ở </w:t>
      </w:r>
    </w:p>
    <w:p w14:paraId="705E9A40">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Bên cho thuê và bên thuê nhà ở được thỏa thuận về thời hạn thuê, giá thuê và hình thức trả tiền thuê nhà ở theo định kỳ hoặc trả một lần; trường hợp Nhà nước có quy định về giá thuê nhà ở thì các bên phải thực hiện theo quy định đó.</w:t>
      </w:r>
    </w:p>
    <w:p w14:paraId="78507166">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bên cho thuê thực hiện cải tạo nhà ở và được bên thuê đồng ý thì bên cho thuê được quyền điều chỉnh giá thuê nhà ở nếu thời gian cho thuê còn lại từ một phần ba thời hạn của hợp đồng thuê nhà ở trở xuống. Giá thuê nhà ở mới do các bên thỏa thuận; trường hợp không thỏa thuận được thì bên cho thuê có quyền đơn phương chấm dứt hợp đồng thuê nhà ở và phải bồi thường cho bên thuê theo quy định của pháp luật.</w:t>
      </w:r>
    </w:p>
    <w:p w14:paraId="411B427A">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Bên cho thuê và bên thuê nhà ở được Nhà nước bảo hộ quyền và lợi ích hợp pháp trong quá trình thuê và cho thuê nhà ở.</w:t>
      </w:r>
    </w:p>
    <w:p w14:paraId="4DD215DD">
      <w:pPr>
        <w:spacing w:before="120" w:after="0" w:line="36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4. Bên thuê có quyền cho thuê lại nhà ở mà mình đã thuê nếu được bên cho thuê đồng ý.</w:t>
      </w:r>
    </w:p>
    <w:p w14:paraId="0F9DAD6F">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171. Các trường hợp chấm dứt hợp đồng thuê nhà ở </w:t>
      </w:r>
    </w:p>
    <w:p w14:paraId="2F132F40">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Trường hợp thuê nhà ở thuộc tài sản công thì việc chấm dứt hợp đồng thuê nhà ở được thực hiện khi thuộc một trong các trường hợp quy định tại khoản 1 Điều 127 của Luật này.</w:t>
      </w:r>
    </w:p>
    <w:p w14:paraId="0E087F5F">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thuê nhà ở không thuộc tài sản công thì việc chấm dứt hợp đồng thuê nhà ở được thực hiện khi thuộc một trong các trường hợp sau đây:</w:t>
      </w:r>
    </w:p>
    <w:p w14:paraId="770B202C">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Hợp đồng thuê nhà ở hết thời hạn; trường hợp trong hợp đồng không xác định thời hạn thì hợp đồng chấm dứt sau 90 ngày, kể từ ngày bên cho thuê nhà ở thông báo cho bên thuê nhà ở biết việc chấm dứt hợp đồng;</w:t>
      </w:r>
    </w:p>
    <w:p w14:paraId="00DE2ED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Các bên thỏa thuận chấm dứt hợp đồng;</w:t>
      </w:r>
    </w:p>
    <w:p w14:paraId="66B70B6C">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c) Nhà ở cho thuê không còn;</w:t>
      </w:r>
    </w:p>
    <w:p w14:paraId="173E25F9">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Bên thuê nhà ở là cá nhân chết hoặc có tuyên bố mất tích của Tòa án mà khi chết, mất tích không có ai đang cùng chung sống;</w:t>
      </w:r>
    </w:p>
    <w:p w14:paraId="46438A70">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Bên thuê nhà ở là tổ chức giải thể, phá sản, chấm dứt hoạt động;</w:t>
      </w:r>
    </w:p>
    <w:p w14:paraId="2822C162">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e) Nhà ở cho thuê bị hư hỏng nặng, có nguy cơ sập đổ hoặc thuộc khu vực đã có quyết định thu hồi đất, giải tỏa nhà ở hoặc có quyết định phá dỡ của cơ quan nhà nước có thẩm quyền; nhà ở cho thuê thuộc trường hợp bị Nhà nước trưng mua, trưng dụng để sử dụng vào mục đích khác.</w:t>
      </w:r>
    </w:p>
    <w:p w14:paraId="58618625">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Bên cho thuê phải thông báo bằng văn bản cho bên thuê biết trước ít nhất 30 ngày về việc chấm dứt hợp đồng thuê nhà ở quy định tại điểm này, trừ trường hợp bất khả kháng hoặc các bên có thỏa thuận khác;</w:t>
      </w:r>
    </w:p>
    <w:p w14:paraId="30642677">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 Trường hợp quy định tại Điều 172 của Luật này.</w:t>
      </w:r>
    </w:p>
    <w:p w14:paraId="0D2461B9">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172. Đơn phương chấm dứt thực hiện hợp đồng thuê nhà ở </w:t>
      </w:r>
    </w:p>
    <w:p w14:paraId="47C5BC6A">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Trong thời hạn thuê nhà ở theo thỏa thuận trong hợp đồng, bên cho thuê không được đơn phương chấm dứt thực hiện hợp đồng thuê nhà ở và thu hồi nhà ở đang cho thuê, trừ trường hợp quy định tại khoản 2 Điều này.</w:t>
      </w:r>
    </w:p>
    <w:p w14:paraId="07DA0FEB">
      <w:pPr>
        <w:spacing w:before="120" w:after="0" w:line="340" w:lineRule="exact"/>
        <w:ind w:firstLine="567"/>
        <w:jc w:val="both"/>
        <w:rPr>
          <w:rFonts w:ascii="Times New Roman" w:hAnsi="Times New Roman" w:eastAsia="Calibri" w:cs="Times New Roman"/>
          <w:color w:val="000000" w:themeColor="text1"/>
          <w:spacing w:val="-3"/>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3"/>
          <w:kern w:val="0"/>
          <w:sz w:val="28"/>
          <w:szCs w:val="28"/>
          <w14:textFill>
            <w14:solidFill>
              <w14:schemeClr w14:val="tx1"/>
            </w14:solidFill>
          </w14:textFill>
          <w14:ligatures w14:val="none"/>
        </w:rPr>
        <w:t>2. Bên cho thuê nhà ở có quyền đơn phương chấm dứt thực hiện hợp đồng thuê nhà ở và thu hồi nhà ở đang cho thuê khi thuộc một trong các trường hợp sau đây:</w:t>
      </w:r>
    </w:p>
    <w:p w14:paraId="53A162F1">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Bên cho thuê nhà ở thuộc tài sản công, nhà ở xã hội, nhà ở cho lực lượng vũ trang nhân dân, nhà lưu trú công nhân trong khu công nghiệp cho thuê không đúng thẩm quyền hoặc không đúng đối tượng hoặc không đủ điều kiện theo quy định của pháp luật về nhà ở;</w:t>
      </w:r>
    </w:p>
    <w:p w14:paraId="715D96B5">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Bên thuê không trả đủ tiền thuê nhà ở theo thỏa thuận trong hợp đồng từ 03 tháng trở lên mà không có lý do đã được thỏa thuận trong hợp đồng;</w:t>
      </w:r>
    </w:p>
    <w:p w14:paraId="2E6B91D2">
      <w:pPr>
        <w:spacing w:before="120" w:after="0" w:line="340" w:lineRule="exact"/>
        <w:ind w:firstLine="567"/>
        <w:jc w:val="both"/>
        <w:rPr>
          <w:rFonts w:ascii="Times New Roman" w:hAnsi="Times New Roman" w:eastAsia="Calibri" w:cs="Times New Roman"/>
          <w:color w:val="000000" w:themeColor="text1"/>
          <w:spacing w:val="-4"/>
          <w:kern w:val="0"/>
          <w:sz w:val="28"/>
          <w:szCs w:val="28"/>
          <w14:textFill>
            <w14:solidFill>
              <w14:schemeClr w14:val="tx1"/>
            </w14:solidFill>
          </w14:textFill>
          <w14:ligatures w14:val="none"/>
        </w:rPr>
      </w:pPr>
      <w:r>
        <w:rPr>
          <w:rFonts w:ascii="Times New Roman" w:hAnsi="Times New Roman" w:eastAsia="Calibri" w:cs="Times New Roman"/>
          <w:color w:val="000000" w:themeColor="text1"/>
          <w:spacing w:val="-4"/>
          <w:kern w:val="0"/>
          <w:sz w:val="28"/>
          <w:szCs w:val="28"/>
          <w14:textFill>
            <w14:solidFill>
              <w14:schemeClr w14:val="tx1"/>
            </w14:solidFill>
          </w14:textFill>
          <w14:ligatures w14:val="none"/>
        </w:rPr>
        <w:t>c) Bên thuê sử dụng nhà ở không đúng mục đích đã thỏa thuận trong hợp đồng;</w:t>
      </w:r>
    </w:p>
    <w:p w14:paraId="6FC5E6B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d) Bên thuê tự ý đục phá, cơi nới, cải tạo, phá dỡ nhà ở đang thuê;</w:t>
      </w:r>
    </w:p>
    <w:p w14:paraId="163050D3">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đ) Bên thuê chuyển đổi, cho mượn, cho thuê lại nhà ở đang thuê mà không có sự đồng ý của bên cho thuê;</w:t>
      </w:r>
    </w:p>
    <w:p w14:paraId="5699626D">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e) Bên thuê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14:paraId="5561DD24">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g) Trường hợp quy định tại khoản 2 Điều 170 của Luật này.</w:t>
      </w:r>
    </w:p>
    <w:p w14:paraId="266D9D59">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Bên thuê nhà ở có quyền đơn phương chấm dứt thực hiện hợp đồng thuê nhà ở khi thuộc một trong các trường hợp sau đây:</w:t>
      </w:r>
    </w:p>
    <w:p w14:paraId="563A2F0E">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a) Bên cho thuê nhà ở không sửa chữa nhà ở khi có hư hỏng nặng;</w:t>
      </w:r>
    </w:p>
    <w:p w14:paraId="112C101E">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b) Bên cho thuê nhà ở tăng giá thuê nhà ở bất hợp lý hoặc tăng giá thuê mà không thông báo cho bên thuê nhà ở biết trước theo thỏa thuận trong hợp đồng;</w:t>
      </w:r>
    </w:p>
    <w:p w14:paraId="6273152E">
      <w:pPr>
        <w:widowControl w:val="0"/>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c) Khi quyền sử dụng nhà ở bị hạn chế do lợi ích của người thứ ba.</w:t>
      </w:r>
    </w:p>
    <w:p w14:paraId="74006E15">
      <w:pPr>
        <w:widowControl w:val="0"/>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4. Bên đơn phương chấm dứt thực hiện hợp đồng thuê nhà ở phải thông báo bằng văn bản hoặc bằng hình thức khác theo thỏa thuận trong hợp đồng cho bên kia biết trước ít nhất 30 ngày, trừ trường hợp các bên có thỏa thuận khác; trường hợp vi phạm quy định tại khoản này mà gây thiệt hại thì phải bồi thường theo quy định của pháp luật.</w:t>
      </w:r>
    </w:p>
    <w:p w14:paraId="4F8C1CCE">
      <w:pPr>
        <w:keepNext/>
        <w:keepLines/>
        <w:spacing w:before="120" w:after="0" w:line="340" w:lineRule="exact"/>
        <w:ind w:firstLine="567"/>
        <w:jc w:val="both"/>
        <w:outlineLvl w:val="1"/>
        <w:rPr>
          <w:rFonts w:ascii="Times New Roman" w:hAnsi="Times New Roman" w:eastAsia="SimSun" w:cs="Times New Roman"/>
          <w:b/>
          <w:bCs/>
          <w:color w:val="000000" w:themeColor="text1"/>
          <w:kern w:val="0"/>
          <w:sz w:val="28"/>
          <w:szCs w:val="28"/>
          <w14:textFill>
            <w14:solidFill>
              <w14:schemeClr w14:val="tx1"/>
            </w14:solidFill>
          </w14:textFill>
          <w14:ligatures w14:val="none"/>
        </w:rPr>
      </w:pPr>
      <w:r>
        <w:rPr>
          <w:rFonts w:ascii="Times New Roman" w:hAnsi="Times New Roman" w:eastAsia="SimSun" w:cs="Times New Roman"/>
          <w:b/>
          <w:bCs/>
          <w:color w:val="000000" w:themeColor="text1"/>
          <w:kern w:val="0"/>
          <w:sz w:val="28"/>
          <w:szCs w:val="28"/>
          <w14:textFill>
            <w14:solidFill>
              <w14:schemeClr w14:val="tx1"/>
            </w14:solidFill>
          </w14:textFill>
          <w14:ligatures w14:val="none"/>
        </w:rPr>
        <w:t xml:space="preserve">Điều 173. Quyền tiếp tục thuê nhà ở </w:t>
      </w:r>
    </w:p>
    <w:p w14:paraId="4D39EA5E">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1. Trường hợp chủ sở hữu nhà ở chết mà thời hạn thuê nhà ở vẫn còn thì bên thuê nhà ở được tiếp tục thuê đến hết thời hạn hợp đồng. Người thừa kế có trách nhiệm tiếp tục thực hiện hợp đồng thuê nhà ở đã ký kết trước đó, trừ trường hợp các bên có thỏa thuận khác. Trường hợp chủ sở hữu không có người thừa kế hợp pháp thì thực hiện theo quy định của Bộ luật Dân sự.</w:t>
      </w:r>
    </w:p>
    <w:p w14:paraId="41E108B1">
      <w:pPr>
        <w:spacing w:before="120" w:after="0" w:line="340" w:lineRule="exact"/>
        <w:ind w:firstLine="567"/>
        <w:jc w:val="both"/>
        <w:rPr>
          <w:rFonts w:ascii="Times New Roman" w:hAnsi="Times New Roman" w:eastAsia="Calibri" w:cs="Times New Roman"/>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2. Trường hợp chủ sở hữu nhà ở chuyển quyền sở hữu nhà ở đang cho thuê cho người khác mà thời hạn thuê nhà ở vẫn còn thì bên thuê nhà ở được tiếp tục thuê đến hết thời hạn hợp đồng; chủ sở hữu nhà ở mới có trách nhiệm tiếp tục thực hiện hợp đồng thuê nhà ở đã ký kết trước đó, trừ trường hợp các bên có thỏa thuận khác.</w:t>
      </w:r>
    </w:p>
    <w:p w14:paraId="71174165">
      <w:pPr>
        <w:spacing w:before="120" w:after="0" w:line="340" w:lineRule="exact"/>
        <w:ind w:firstLine="567"/>
        <w:jc w:val="both"/>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r>
        <w:rPr>
          <w:rFonts w:ascii="Times New Roman" w:hAnsi="Times New Roman" w:eastAsia="Calibri" w:cs="Times New Roman"/>
          <w:color w:val="000000" w:themeColor="text1"/>
          <w:kern w:val="0"/>
          <w:sz w:val="28"/>
          <w:szCs w:val="28"/>
          <w14:textFill>
            <w14:solidFill>
              <w14:schemeClr w14:val="tx1"/>
            </w14:solidFill>
          </w14:textFill>
          <w14:ligatures w14:val="none"/>
        </w:rPr>
        <w:t>3. Khi bên thuê nhà ở chết mà thời hạn thuê nhà ở vẫn còn thì người đang cùng sinh sống với bên thuê nhà ở được tiếp tục thuê đến hết thời hạn hợp đồng thuê nhà ở, trừ trường hợp thuê nhà ở công vụ hoặc các bên có thỏa thuận khác hoặc pháp luật có quy định khác.</w:t>
      </w:r>
    </w:p>
    <w:p w14:paraId="2434AA64">
      <w:pPr>
        <w:spacing w:before="120" w:after="0" w:line="340" w:lineRule="exact"/>
        <w:jc w:val="center"/>
        <w:rPr>
          <w:rFonts w:ascii="Times New Roman" w:hAnsi="Times New Roman" w:eastAsia="Calibri" w:cs="Times New Roman"/>
          <w:b/>
          <w:bCs/>
          <w:color w:val="000000" w:themeColor="text1"/>
          <w:kern w:val="0"/>
          <w:sz w:val="28"/>
          <w:szCs w:val="28"/>
          <w14:textFill>
            <w14:solidFill>
              <w14:schemeClr w14:val="tx1"/>
            </w14:solidFill>
          </w14:textFill>
          <w14:ligatures w14:val="none"/>
        </w:rPr>
      </w:pPr>
    </w:p>
    <w:p w14:paraId="35DDACEF">
      <w:pPr>
        <w:shd w:val="clear" w:color="auto" w:fill="FFFFFF"/>
        <w:spacing w:before="120" w:after="0" w:line="340" w:lineRule="exact"/>
        <w:jc w:val="cente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Chương XII</w:t>
      </w:r>
    </w:p>
    <w:p w14:paraId="1440131C">
      <w:pPr>
        <w:shd w:val="clear" w:color="auto" w:fill="FFFFFF"/>
        <w:spacing w:before="120" w:after="0" w:line="340" w:lineRule="exact"/>
        <w:jc w:val="cente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GIẢI QUYẾT TRANH CHẤP</w:t>
      </w:r>
    </w:p>
    <w:p w14:paraId="7929DB2E">
      <w:pPr>
        <w:shd w:val="clear" w:color="auto" w:fill="FFFFFF"/>
        <w:spacing w:before="120" w:after="0" w:line="340" w:lineRule="exact"/>
        <w:jc w:val="cente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VÀ XỬ LÝ VI PHẠM PHÁP LUẬT VỀ NHÀ Ở</w:t>
      </w:r>
    </w:p>
    <w:p w14:paraId="55CA74E3">
      <w:pPr>
        <w:shd w:val="clear" w:color="auto" w:fill="FFFFFF"/>
        <w:spacing w:before="120" w:after="0" w:line="360" w:lineRule="exact"/>
        <w:ind w:firstLine="567"/>
        <w:jc w:val="both"/>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b/>
          <w:bCs/>
          <w:color w:val="000000" w:themeColor="text1"/>
          <w:kern w:val="0"/>
          <w:sz w:val="28"/>
          <w:szCs w:val="28"/>
          <w14:textFill>
            <w14:solidFill>
              <w14:schemeClr w14:val="tx1"/>
            </w14:solidFill>
          </w14:textFill>
          <w14:ligatures w14:val="none"/>
        </w:rPr>
        <w:t>Điều 194. Giải quyết tranh chấp về nhà ở</w:t>
      </w:r>
    </w:p>
    <w:p w14:paraId="52F307FF">
      <w:pPr>
        <w:spacing w:before="12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1. Nhà nước khuyến khích các bên giải quyết tranh chấp về nhà ở thông qua hòa giải.</w:t>
      </w:r>
    </w:p>
    <w:p w14:paraId="5086B22E">
      <w:pPr>
        <w:shd w:val="clear" w:color="auto" w:fill="FFFFFF"/>
        <w:spacing w:before="12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2. Tranh chấp về quyền sở hữu, quyền sử dụng nhà ở của tổ chức, cá nhân, tranh chấp liên quan đến giao dịch về nhà ở, quản lý vận hành nhà chung cư do Tòa án, trọng tài thương mại giải quyết theo quy định của pháp luật.</w:t>
      </w:r>
    </w:p>
    <w:p w14:paraId="5A6E61CE">
      <w:pPr>
        <w:shd w:val="clear" w:color="auto" w:fill="FFFFFF"/>
        <w:spacing w:before="12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3. Tranh chấp về quản lý, sử dụng nhà ở thuộc tài sản công được giải quyết như sau:</w:t>
      </w:r>
    </w:p>
    <w:p w14:paraId="57AB0688">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a) Ủy ban nhân dân cấp tỉnh giải quyết đối với nhà ở được giao cho địa phương quản lý; </w:t>
      </w:r>
    </w:p>
    <w:p w14:paraId="5726826C">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b) Bộ Xây dựng giải quyết đối với nhà ở được giao cho cơ quan trung ương quản lý, trừ nhà ở do Bộ Quốc phòng, Bộ Công an quản lý; </w:t>
      </w:r>
    </w:p>
    <w:p w14:paraId="7B663C1A">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c) Bộ Quốc phòng, Bộ Công an giải quyết đối với nhà ở do Bộ Quốc phòng, Bộ Công an quản lý;</w:t>
      </w:r>
    </w:p>
    <w:p w14:paraId="1C1CAD9B">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 xml:space="preserve">d) Tòa án giải quyết theo quy định của pháp luật về tố tụng hành chính. </w:t>
      </w:r>
    </w:p>
    <w:p w14:paraId="133CC60A">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4. Tranh chấp về kinh phí quản lý vận hành nhà chung cư, quản lý, sử dụng kinh phí bảo trì do Ủy ban nhân dân cấp huyện nơi có nhà ở đó hoặc Tòa án, trọng tài thương mại giải quyết theo quy định của pháp luật.</w:t>
      </w:r>
    </w:p>
    <w:p w14:paraId="1D861FFD">
      <w:pPr>
        <w:shd w:val="clear" w:color="auto" w:fill="FFFFFF"/>
        <w:spacing w:before="80" w:after="0" w:line="340" w:lineRule="exact"/>
        <w:ind w:firstLine="567"/>
        <w:jc w:val="both"/>
        <w:rPr>
          <w:rFonts w:ascii="Times New Roman" w:hAnsi="Times New Roman" w:eastAsia="Times New Roman" w:cs="Times New Roman"/>
          <w:color w:val="000000" w:themeColor="text1"/>
          <w:kern w:val="0"/>
          <w:sz w:val="28"/>
          <w:szCs w:val="28"/>
          <w14:textFill>
            <w14:solidFill>
              <w14:schemeClr w14:val="tx1"/>
            </w14:solidFill>
          </w14:textFill>
          <w14:ligatures w14:val="none"/>
        </w:rPr>
      </w:pPr>
      <w:r>
        <w:rPr>
          <w:rFonts w:ascii="Times New Roman" w:hAnsi="Times New Roman" w:eastAsia="Times New Roman" w:cs="Times New Roman"/>
          <w:color w:val="000000" w:themeColor="text1"/>
          <w:kern w:val="0"/>
          <w:sz w:val="28"/>
          <w:szCs w:val="28"/>
          <w14:textFill>
            <w14:solidFill>
              <w14:schemeClr w14:val="tx1"/>
            </w14:solidFill>
          </w14:textFill>
          <w14:ligatures w14:val="none"/>
        </w:rPr>
        <w:t>5. Chính phủ quy định chi tiết khoản 3 Điều này.</w:t>
      </w:r>
    </w:p>
    <w:p w14:paraId="01E381EA">
      <w:bookmarkStart w:id="2" w:name="_GoBack"/>
      <w:bookmarkEnd w:id="2"/>
    </w:p>
    <w:sectPr>
      <w:headerReference r:id="rId6" w:type="first"/>
      <w:footerReference r:id="rId8" w:type="first"/>
      <w:headerReference r:id="rId5" w:type="even"/>
      <w:footerReference r:id="rId7" w:type="even"/>
      <w:footnotePr>
        <w:numRestart w:val="eachSect"/>
      </w:footnotePr>
      <w:pgSz w:w="11907" w:h="16840"/>
      <w:pgMar w:top="1134" w:right="1134" w:bottom="1134" w:left="1701" w:header="567" w:footer="567" w:gutter="0"/>
      <w:pgNumType w:start="2"/>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VnTime">
    <w:altName w:val="Times New Roman"/>
    <w:panose1 w:val="00000000000000000000"/>
    <w:charset w:val="00"/>
    <w:family w:val="swiss"/>
    <w:pitch w:val="default"/>
    <w:sig w:usb0="00000000" w:usb1="00000000" w:usb2="00000000" w:usb3="00000000" w:csb0="00000001" w:csb1="00000000"/>
  </w:font>
  <w:font w:name="Helvetica">
    <w:altName w:val="Arial"/>
    <w:panose1 w:val="020B0604020202020204"/>
    <w:charset w:val="00"/>
    <w:family w:val="swiss"/>
    <w:pitch w:val="default"/>
    <w:sig w:usb0="00000000" w:usb1="00000000" w:usb2="00000009" w:usb3="00000000" w:csb0="000001FF" w:csb1="00000000"/>
  </w:font>
  <w:font w:name="Aptos">
    <w:altName w:val="Segoe UI"/>
    <w:panose1 w:val="00000000000000000000"/>
    <w:charset w:val="00"/>
    <w:family w:val="swiss"/>
    <w:pitch w:val="default"/>
    <w:sig w:usb0="00000000" w:usb1="00000000"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3EE06BB">
    <w:pPr>
      <w:pStyle w:val="1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D65FFC">
    <w:pPr>
      <w:pStyle w:val="1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1A38A4">
    <w:pPr>
      <w:pStyle w:val="2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987CD8">
    <w:pPr>
      <w:pStyle w:val="23"/>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documentProtection w:enforcement="0"/>
  <w:defaultTabStop w:val="720"/>
  <w:characterSpacingControl w:val="doNotCompress"/>
  <w:footnotePr>
    <w:numRestart w:val="eachSect"/>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C0630"/>
    <w:rsid w:val="000B3BC2"/>
    <w:rsid w:val="000D6AEE"/>
    <w:rsid w:val="00172CDE"/>
    <w:rsid w:val="001C2145"/>
    <w:rsid w:val="001C52DE"/>
    <w:rsid w:val="00234D0E"/>
    <w:rsid w:val="0024241F"/>
    <w:rsid w:val="002B096B"/>
    <w:rsid w:val="002D32FE"/>
    <w:rsid w:val="002D3610"/>
    <w:rsid w:val="002E6322"/>
    <w:rsid w:val="00310046"/>
    <w:rsid w:val="00315526"/>
    <w:rsid w:val="00326424"/>
    <w:rsid w:val="0036023E"/>
    <w:rsid w:val="00397EE0"/>
    <w:rsid w:val="003C2B23"/>
    <w:rsid w:val="003E422F"/>
    <w:rsid w:val="004277C8"/>
    <w:rsid w:val="004815CD"/>
    <w:rsid w:val="0049416F"/>
    <w:rsid w:val="004C5564"/>
    <w:rsid w:val="004C561B"/>
    <w:rsid w:val="00562F9A"/>
    <w:rsid w:val="005C1E7A"/>
    <w:rsid w:val="005C1FFF"/>
    <w:rsid w:val="00636D67"/>
    <w:rsid w:val="00647E04"/>
    <w:rsid w:val="006864D9"/>
    <w:rsid w:val="006B7790"/>
    <w:rsid w:val="006F3AC4"/>
    <w:rsid w:val="007531B0"/>
    <w:rsid w:val="007751B5"/>
    <w:rsid w:val="007C0630"/>
    <w:rsid w:val="008010B8"/>
    <w:rsid w:val="00876741"/>
    <w:rsid w:val="008872FD"/>
    <w:rsid w:val="008A20E9"/>
    <w:rsid w:val="008B3481"/>
    <w:rsid w:val="009912C8"/>
    <w:rsid w:val="00997C76"/>
    <w:rsid w:val="00997F5D"/>
    <w:rsid w:val="00A00575"/>
    <w:rsid w:val="00A23236"/>
    <w:rsid w:val="00A52C18"/>
    <w:rsid w:val="00A5488B"/>
    <w:rsid w:val="00A85286"/>
    <w:rsid w:val="00AB3A9C"/>
    <w:rsid w:val="00B5466C"/>
    <w:rsid w:val="00B5739C"/>
    <w:rsid w:val="00B7035A"/>
    <w:rsid w:val="00B801CB"/>
    <w:rsid w:val="00B84E53"/>
    <w:rsid w:val="00BD2B14"/>
    <w:rsid w:val="00BD2EB7"/>
    <w:rsid w:val="00BE51D6"/>
    <w:rsid w:val="00C215D0"/>
    <w:rsid w:val="00C536A7"/>
    <w:rsid w:val="00CB2F94"/>
    <w:rsid w:val="00CD340E"/>
    <w:rsid w:val="00CE7CBF"/>
    <w:rsid w:val="00D10520"/>
    <w:rsid w:val="00D25B2D"/>
    <w:rsid w:val="00D429C5"/>
    <w:rsid w:val="00D56CBD"/>
    <w:rsid w:val="00D86AE8"/>
    <w:rsid w:val="00DA2DA8"/>
    <w:rsid w:val="00E27563"/>
    <w:rsid w:val="00E33332"/>
    <w:rsid w:val="00E66B20"/>
    <w:rsid w:val="00EB1995"/>
    <w:rsid w:val="00F3235A"/>
    <w:rsid w:val="00F33509"/>
    <w:rsid w:val="00F426A1"/>
    <w:rsid w:val="00F82BF4"/>
    <w:rsid w:val="00FE4FE9"/>
    <w:rsid w:val="5E4B09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nhideWhenUsed="0" w:uiPriority="99" w:semiHidden="0"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nhideWhenUsed="0" w:uiPriority="99" w:semiHidden="0"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31"/>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32"/>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33"/>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34"/>
    <w:unhideWhenUsed/>
    <w:qFormat/>
    <w:uiPriority w:val="0"/>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35"/>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36"/>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37"/>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38"/>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39"/>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52"/>
    <w:semiHidden/>
    <w:unhideWhenUsed/>
    <w:qFormat/>
    <w:uiPriority w:val="99"/>
    <w:pPr>
      <w:spacing w:after="0" w:line="240" w:lineRule="auto"/>
    </w:pPr>
    <w:rPr>
      <w:rFonts w:ascii="Segoe UI" w:hAnsi="Segoe UI" w:eastAsia="Calibri" w:cs="Segoe UI"/>
      <w:kern w:val="0"/>
      <w:sz w:val="18"/>
      <w:szCs w:val="18"/>
      <w14:ligatures w14:val="none"/>
    </w:rPr>
  </w:style>
  <w:style w:type="paragraph" w:styleId="14">
    <w:name w:val="Body Text"/>
    <w:basedOn w:val="1"/>
    <w:link w:val="53"/>
    <w:uiPriority w:val="0"/>
    <w:pPr>
      <w:spacing w:after="120" w:line="240" w:lineRule="auto"/>
    </w:pPr>
    <w:rPr>
      <w:rFonts w:ascii=".VnTime" w:hAnsi=".VnTime" w:eastAsia="Times New Roman" w:cs="Times New Roman"/>
      <w:i/>
      <w:kern w:val="0"/>
      <w:sz w:val="26"/>
      <w:szCs w:val="20"/>
      <w14:ligatures w14:val="none"/>
    </w:rPr>
  </w:style>
  <w:style w:type="character" w:styleId="15">
    <w:name w:val="annotation reference"/>
    <w:basedOn w:val="11"/>
    <w:semiHidden/>
    <w:unhideWhenUsed/>
    <w:uiPriority w:val="99"/>
    <w:rPr>
      <w:sz w:val="16"/>
      <w:szCs w:val="16"/>
    </w:rPr>
  </w:style>
  <w:style w:type="paragraph" w:styleId="16">
    <w:name w:val="annotation text"/>
    <w:basedOn w:val="1"/>
    <w:link w:val="60"/>
    <w:semiHidden/>
    <w:unhideWhenUsed/>
    <w:uiPriority w:val="99"/>
    <w:pPr>
      <w:spacing w:before="120" w:after="0" w:line="240" w:lineRule="auto"/>
      <w:jc w:val="both"/>
    </w:pPr>
    <w:rPr>
      <w:kern w:val="0"/>
      <w:sz w:val="20"/>
      <w:szCs w:val="20"/>
      <w14:ligatures w14:val="none"/>
    </w:rPr>
  </w:style>
  <w:style w:type="paragraph" w:styleId="17">
    <w:name w:val="annotation subject"/>
    <w:basedOn w:val="16"/>
    <w:next w:val="16"/>
    <w:link w:val="61"/>
    <w:semiHidden/>
    <w:unhideWhenUsed/>
    <w:uiPriority w:val="99"/>
    <w:rPr>
      <w:b/>
      <w:bCs/>
    </w:rPr>
  </w:style>
  <w:style w:type="character" w:styleId="18">
    <w:name w:val="Emphasis"/>
    <w:qFormat/>
    <w:uiPriority w:val="20"/>
    <w:rPr>
      <w:i/>
      <w:iCs/>
    </w:rPr>
  </w:style>
  <w:style w:type="paragraph" w:styleId="19">
    <w:name w:val="footer"/>
    <w:basedOn w:val="1"/>
    <w:link w:val="49"/>
    <w:unhideWhenUsed/>
    <w:qFormat/>
    <w:uiPriority w:val="99"/>
    <w:pPr>
      <w:tabs>
        <w:tab w:val="center" w:pos="4680"/>
        <w:tab w:val="right" w:pos="9360"/>
      </w:tabs>
      <w:spacing w:after="0" w:line="240" w:lineRule="auto"/>
    </w:pPr>
  </w:style>
  <w:style w:type="character" w:styleId="20">
    <w:name w:val="footnote reference"/>
    <w:link w:val="21"/>
    <w:qFormat/>
    <w:uiPriority w:val="99"/>
    <w:rPr>
      <w:vertAlign w:val="superscript"/>
    </w:rPr>
  </w:style>
  <w:style w:type="paragraph" w:customStyle="1" w:styleId="21">
    <w:name w:val="4_G Char Char Char"/>
    <w:basedOn w:val="1"/>
    <w:link w:val="20"/>
    <w:qFormat/>
    <w:uiPriority w:val="99"/>
    <w:pPr>
      <w:spacing w:before="100" w:after="0" w:line="240" w:lineRule="exact"/>
    </w:pPr>
    <w:rPr>
      <w:vertAlign w:val="superscript"/>
    </w:rPr>
  </w:style>
  <w:style w:type="paragraph" w:styleId="22">
    <w:name w:val="footnote text"/>
    <w:basedOn w:val="1"/>
    <w:link w:val="54"/>
    <w:qFormat/>
    <w:uiPriority w:val="99"/>
    <w:pPr>
      <w:spacing w:after="0" w:line="240" w:lineRule="auto"/>
      <w:jc w:val="both"/>
    </w:pPr>
    <w:rPr>
      <w:rFonts w:ascii=".VnTime" w:hAnsi=".VnTime" w:eastAsia="Times New Roman" w:cs="Times New Roman"/>
      <w:kern w:val="0"/>
      <w:sz w:val="20"/>
      <w:szCs w:val="20"/>
      <w14:ligatures w14:val="none"/>
    </w:rPr>
  </w:style>
  <w:style w:type="paragraph" w:styleId="23">
    <w:name w:val="header"/>
    <w:basedOn w:val="1"/>
    <w:link w:val="50"/>
    <w:unhideWhenUsed/>
    <w:qFormat/>
    <w:uiPriority w:val="99"/>
    <w:pPr>
      <w:tabs>
        <w:tab w:val="center" w:pos="4680"/>
        <w:tab w:val="right" w:pos="9360"/>
      </w:tabs>
      <w:spacing w:after="0" w:line="240" w:lineRule="auto"/>
    </w:pPr>
  </w:style>
  <w:style w:type="character" w:styleId="24">
    <w:name w:val="Hyperlink"/>
    <w:basedOn w:val="11"/>
    <w:semiHidden/>
    <w:unhideWhenUsed/>
    <w:qFormat/>
    <w:uiPriority w:val="99"/>
    <w:rPr>
      <w:color w:val="0563C1" w:themeColor="hyperlink"/>
      <w:u w:val="single"/>
      <w14:textFill>
        <w14:solidFill>
          <w14:schemeClr w14:val="hlink"/>
        </w14:solidFill>
      </w14:textFill>
    </w:rPr>
  </w:style>
  <w:style w:type="paragraph" w:styleId="25">
    <w:name w:val="Normal (Web)"/>
    <w:basedOn w:val="1"/>
    <w:link w:val="51"/>
    <w:unhideWhenUsed/>
    <w:qFormat/>
    <w:uiPriority w:val="99"/>
    <w:pPr>
      <w:spacing w:before="100" w:beforeAutospacing="1" w:after="100" w:afterAutospacing="1" w:line="240" w:lineRule="auto"/>
    </w:pPr>
    <w:rPr>
      <w:rFonts w:ascii="Times New Roman" w:hAnsi="Times New Roman" w:eastAsia="Times New Roman" w:cs="Times New Roman"/>
      <w:kern w:val="0"/>
      <w14:ligatures w14:val="none"/>
    </w:rPr>
  </w:style>
  <w:style w:type="paragraph" w:styleId="26">
    <w:name w:val="Subtitle"/>
    <w:basedOn w:val="1"/>
    <w:next w:val="1"/>
    <w:link w:val="41"/>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27">
    <w:name w:val="Table Grid"/>
    <w:basedOn w:val="12"/>
    <w:qFormat/>
    <w:uiPriority w:val="39"/>
    <w:pPr>
      <w:spacing w:after="0" w:line="240" w:lineRule="auto"/>
    </w:pPr>
    <w:rPr>
      <w:rFonts w:ascii="Calibri" w:hAnsi="Calibri" w:eastAsia="Calibri" w:cs="Times New Roman"/>
      <w:kern w:val="0"/>
      <w:sz w:val="20"/>
      <w:szCs w:val="2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8">
    <w:name w:val="Title"/>
    <w:basedOn w:val="1"/>
    <w:next w:val="1"/>
    <w:link w:val="40"/>
    <w:qFormat/>
    <w:uiPriority w:val="10"/>
    <w:pPr>
      <w:spacing w:after="80" w:line="240" w:lineRule="auto"/>
      <w:contextualSpacing/>
    </w:pPr>
    <w:rPr>
      <w:rFonts w:asciiTheme="majorHAnsi" w:hAnsiTheme="majorHAnsi" w:eastAsiaTheme="majorEastAsia" w:cstheme="majorBidi"/>
      <w:spacing w:val="-10"/>
      <w:kern w:val="28"/>
      <w:sz w:val="56"/>
      <w:szCs w:val="56"/>
    </w:rPr>
  </w:style>
  <w:style w:type="paragraph" w:styleId="29">
    <w:name w:val="toc 1"/>
    <w:basedOn w:val="1"/>
    <w:next w:val="1"/>
    <w:autoRedefine/>
    <w:unhideWhenUsed/>
    <w:qFormat/>
    <w:uiPriority w:val="39"/>
    <w:pPr>
      <w:spacing w:before="120" w:after="100" w:line="340" w:lineRule="exact"/>
      <w:jc w:val="both"/>
    </w:pPr>
    <w:rPr>
      <w:kern w:val="0"/>
      <w:sz w:val="22"/>
      <w:szCs w:val="22"/>
      <w14:ligatures w14:val="none"/>
    </w:rPr>
  </w:style>
  <w:style w:type="paragraph" w:styleId="30">
    <w:name w:val="toc 2"/>
    <w:basedOn w:val="1"/>
    <w:next w:val="1"/>
    <w:autoRedefine/>
    <w:unhideWhenUsed/>
    <w:qFormat/>
    <w:uiPriority w:val="39"/>
    <w:pPr>
      <w:spacing w:before="120" w:after="100" w:line="340" w:lineRule="exact"/>
      <w:ind w:left="220"/>
      <w:jc w:val="both"/>
    </w:pPr>
    <w:rPr>
      <w:kern w:val="0"/>
      <w:sz w:val="22"/>
      <w:szCs w:val="22"/>
      <w14:ligatures w14:val="none"/>
    </w:rPr>
  </w:style>
  <w:style w:type="character" w:customStyle="1" w:styleId="31">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32">
    <w:name w:val="Heading 2 Char"/>
    <w:basedOn w:val="11"/>
    <w:link w:val="3"/>
    <w:qFormat/>
    <w:uiPriority w:val="9"/>
    <w:rPr>
      <w:rFonts w:asciiTheme="majorHAnsi" w:hAnsiTheme="majorHAnsi" w:eastAsiaTheme="majorEastAsia" w:cstheme="majorBidi"/>
      <w:color w:val="2F5597" w:themeColor="accent1" w:themeShade="BF"/>
      <w:sz w:val="32"/>
      <w:szCs w:val="32"/>
    </w:rPr>
  </w:style>
  <w:style w:type="character" w:customStyle="1" w:styleId="33">
    <w:name w:val="Heading 3 Char"/>
    <w:basedOn w:val="11"/>
    <w:link w:val="4"/>
    <w:uiPriority w:val="9"/>
    <w:rPr>
      <w:rFonts w:eastAsiaTheme="majorEastAsia" w:cstheme="majorBidi"/>
      <w:color w:val="2F5597" w:themeColor="accent1" w:themeShade="BF"/>
      <w:sz w:val="28"/>
      <w:szCs w:val="28"/>
    </w:rPr>
  </w:style>
  <w:style w:type="character" w:customStyle="1" w:styleId="34">
    <w:name w:val="Heading 4 Char"/>
    <w:basedOn w:val="11"/>
    <w:link w:val="5"/>
    <w:qFormat/>
    <w:uiPriority w:val="0"/>
    <w:rPr>
      <w:rFonts w:eastAsiaTheme="majorEastAsia" w:cstheme="majorBidi"/>
      <w:i/>
      <w:iCs/>
      <w:color w:val="2F5597" w:themeColor="accent1" w:themeShade="BF"/>
    </w:rPr>
  </w:style>
  <w:style w:type="character" w:customStyle="1" w:styleId="35">
    <w:name w:val="Heading 5 Char"/>
    <w:basedOn w:val="11"/>
    <w:link w:val="6"/>
    <w:semiHidden/>
    <w:uiPriority w:val="9"/>
    <w:rPr>
      <w:rFonts w:eastAsiaTheme="majorEastAsia" w:cstheme="majorBidi"/>
      <w:color w:val="2F5597" w:themeColor="accent1" w:themeShade="BF"/>
    </w:rPr>
  </w:style>
  <w:style w:type="character" w:customStyle="1" w:styleId="36">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37">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38">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39">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40">
    <w:name w:val="Title Char"/>
    <w:basedOn w:val="11"/>
    <w:link w:val="28"/>
    <w:uiPriority w:val="10"/>
    <w:rPr>
      <w:rFonts w:asciiTheme="majorHAnsi" w:hAnsiTheme="majorHAnsi" w:eastAsiaTheme="majorEastAsia" w:cstheme="majorBidi"/>
      <w:spacing w:val="-10"/>
      <w:kern w:val="28"/>
      <w:sz w:val="56"/>
      <w:szCs w:val="56"/>
    </w:rPr>
  </w:style>
  <w:style w:type="character" w:customStyle="1" w:styleId="41">
    <w:name w:val="Subtitle Char"/>
    <w:basedOn w:val="11"/>
    <w:link w:val="26"/>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42">
    <w:name w:val="Quote"/>
    <w:basedOn w:val="1"/>
    <w:next w:val="1"/>
    <w:link w:val="43"/>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43">
    <w:name w:val="Quote Char"/>
    <w:basedOn w:val="11"/>
    <w:link w:val="42"/>
    <w:qFormat/>
    <w:uiPriority w:val="29"/>
    <w:rPr>
      <w:i/>
      <w:iCs/>
      <w:color w:val="404040" w:themeColor="text1" w:themeTint="BF"/>
      <w14:textFill>
        <w14:solidFill>
          <w14:schemeClr w14:val="tx1">
            <w14:lumMod w14:val="75000"/>
            <w14:lumOff w14:val="25000"/>
          </w14:schemeClr>
        </w14:solidFill>
      </w14:textFill>
    </w:rPr>
  </w:style>
  <w:style w:type="paragraph" w:styleId="44">
    <w:name w:val="List Paragraph"/>
    <w:basedOn w:val="1"/>
    <w:qFormat/>
    <w:uiPriority w:val="34"/>
    <w:pPr>
      <w:ind w:left="720"/>
      <w:contextualSpacing/>
    </w:pPr>
  </w:style>
  <w:style w:type="character" w:customStyle="1" w:styleId="45">
    <w:name w:val="Intense Emphasis"/>
    <w:basedOn w:val="11"/>
    <w:qFormat/>
    <w:uiPriority w:val="21"/>
    <w:rPr>
      <w:i/>
      <w:iCs/>
      <w:color w:val="2F5597" w:themeColor="accent1" w:themeShade="BF"/>
    </w:rPr>
  </w:style>
  <w:style w:type="paragraph" w:styleId="46">
    <w:name w:val="Intense Quote"/>
    <w:basedOn w:val="1"/>
    <w:next w:val="1"/>
    <w:link w:val="47"/>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47">
    <w:name w:val="Intense Quote Char"/>
    <w:basedOn w:val="11"/>
    <w:link w:val="46"/>
    <w:uiPriority w:val="30"/>
    <w:rPr>
      <w:i/>
      <w:iCs/>
      <w:color w:val="2F5597" w:themeColor="accent1" w:themeShade="BF"/>
    </w:rPr>
  </w:style>
  <w:style w:type="character" w:customStyle="1" w:styleId="48">
    <w:name w:val="Intense Reference"/>
    <w:basedOn w:val="11"/>
    <w:qFormat/>
    <w:uiPriority w:val="32"/>
    <w:rPr>
      <w:b/>
      <w:bCs/>
      <w:smallCaps/>
      <w:color w:val="2F5597" w:themeColor="accent1" w:themeShade="BF"/>
      <w:spacing w:val="5"/>
    </w:rPr>
  </w:style>
  <w:style w:type="character" w:customStyle="1" w:styleId="49">
    <w:name w:val="Footer Char"/>
    <w:basedOn w:val="11"/>
    <w:link w:val="19"/>
    <w:qFormat/>
    <w:uiPriority w:val="99"/>
  </w:style>
  <w:style w:type="character" w:customStyle="1" w:styleId="50">
    <w:name w:val="Header Char"/>
    <w:basedOn w:val="11"/>
    <w:link w:val="23"/>
    <w:qFormat/>
    <w:uiPriority w:val="99"/>
  </w:style>
  <w:style w:type="character" w:customStyle="1" w:styleId="51">
    <w:name w:val="Normal (Web) Char"/>
    <w:link w:val="25"/>
    <w:locked/>
    <w:uiPriority w:val="99"/>
    <w:rPr>
      <w:rFonts w:ascii="Times New Roman" w:hAnsi="Times New Roman" w:eastAsia="Times New Roman" w:cs="Times New Roman"/>
      <w:kern w:val="0"/>
      <w14:ligatures w14:val="none"/>
    </w:rPr>
  </w:style>
  <w:style w:type="character" w:customStyle="1" w:styleId="52">
    <w:name w:val="Balloon Text Char"/>
    <w:basedOn w:val="11"/>
    <w:link w:val="13"/>
    <w:semiHidden/>
    <w:uiPriority w:val="99"/>
    <w:rPr>
      <w:rFonts w:ascii="Segoe UI" w:hAnsi="Segoe UI" w:eastAsia="Calibri" w:cs="Segoe UI"/>
      <w:kern w:val="0"/>
      <w:sz w:val="18"/>
      <w:szCs w:val="18"/>
      <w14:ligatures w14:val="none"/>
    </w:rPr>
  </w:style>
  <w:style w:type="character" w:customStyle="1" w:styleId="53">
    <w:name w:val="Body Text Char"/>
    <w:basedOn w:val="11"/>
    <w:link w:val="14"/>
    <w:uiPriority w:val="0"/>
    <w:rPr>
      <w:rFonts w:ascii=".VnTime" w:hAnsi=".VnTime" w:eastAsia="Times New Roman" w:cs="Times New Roman"/>
      <w:i/>
      <w:kern w:val="0"/>
      <w:sz w:val="26"/>
      <w:szCs w:val="20"/>
      <w14:ligatures w14:val="none"/>
    </w:rPr>
  </w:style>
  <w:style w:type="character" w:customStyle="1" w:styleId="54">
    <w:name w:val="Footnote Text Char"/>
    <w:basedOn w:val="11"/>
    <w:link w:val="22"/>
    <w:uiPriority w:val="99"/>
    <w:rPr>
      <w:rFonts w:ascii=".VnTime" w:hAnsi=".VnTime" w:eastAsia="Times New Roman" w:cs="Times New Roman"/>
      <w:kern w:val="0"/>
      <w:sz w:val="20"/>
      <w:szCs w:val="20"/>
      <w14:ligatures w14:val="none"/>
    </w:rPr>
  </w:style>
  <w:style w:type="character" w:customStyle="1" w:styleId="55">
    <w:name w:val="text"/>
    <w:qFormat/>
    <w:uiPriority w:val="0"/>
  </w:style>
  <w:style w:type="character" w:customStyle="1" w:styleId="56">
    <w:name w:val="card-send-time__sendtime"/>
    <w:qFormat/>
    <w:uiPriority w:val="0"/>
  </w:style>
  <w:style w:type="character" w:customStyle="1" w:styleId="57">
    <w:name w:val="Body text_"/>
    <w:basedOn w:val="11"/>
    <w:link w:val="58"/>
    <w:uiPriority w:val="0"/>
    <w:rPr>
      <w:rFonts w:ascii="Times New Roman" w:hAnsi="Times New Roman" w:eastAsia="Times New Roman" w:cs="Times New Roman"/>
      <w:sz w:val="28"/>
      <w:szCs w:val="28"/>
      <w:shd w:val="clear" w:color="auto" w:fill="FFFFFF"/>
    </w:rPr>
  </w:style>
  <w:style w:type="paragraph" w:customStyle="1" w:styleId="58">
    <w:name w:val="Body Text1"/>
    <w:basedOn w:val="1"/>
    <w:link w:val="57"/>
    <w:qFormat/>
    <w:uiPriority w:val="0"/>
    <w:pPr>
      <w:widowControl w:val="0"/>
      <w:shd w:val="clear" w:color="auto" w:fill="FFFFFF"/>
      <w:spacing w:after="60" w:line="240" w:lineRule="auto"/>
      <w:ind w:firstLine="400"/>
    </w:pPr>
    <w:rPr>
      <w:rFonts w:ascii="Times New Roman" w:hAnsi="Times New Roman" w:eastAsia="Times New Roman" w:cs="Times New Roman"/>
      <w:sz w:val="28"/>
      <w:szCs w:val="28"/>
    </w:rPr>
  </w:style>
  <w:style w:type="paragraph" w:customStyle="1" w:styleId="59">
    <w:name w:val="Revision"/>
    <w:hidden/>
    <w:semiHidden/>
    <w:uiPriority w:val="99"/>
    <w:pPr>
      <w:spacing w:after="0" w:line="240" w:lineRule="auto"/>
    </w:pPr>
    <w:rPr>
      <w:rFonts w:asciiTheme="minorHAnsi" w:hAnsiTheme="minorHAnsi" w:eastAsiaTheme="minorHAnsi" w:cstheme="minorBidi"/>
      <w:kern w:val="0"/>
      <w:sz w:val="22"/>
      <w:szCs w:val="22"/>
      <w:lang w:val="en-US" w:eastAsia="en-US" w:bidi="ar-SA"/>
      <w14:ligatures w14:val="none"/>
    </w:rPr>
  </w:style>
  <w:style w:type="character" w:customStyle="1" w:styleId="60">
    <w:name w:val="Comment Text Char"/>
    <w:basedOn w:val="11"/>
    <w:link w:val="16"/>
    <w:semiHidden/>
    <w:uiPriority w:val="99"/>
    <w:rPr>
      <w:kern w:val="0"/>
      <w:sz w:val="20"/>
      <w:szCs w:val="20"/>
      <w14:ligatures w14:val="none"/>
    </w:rPr>
  </w:style>
  <w:style w:type="character" w:customStyle="1" w:styleId="61">
    <w:name w:val="Comment Subject Char"/>
    <w:basedOn w:val="60"/>
    <w:link w:val="17"/>
    <w:semiHidden/>
    <w:qFormat/>
    <w:uiPriority w:val="99"/>
    <w:rPr>
      <w:b/>
      <w:bCs/>
      <w:kern w:val="0"/>
      <w:sz w:val="20"/>
      <w:szCs w:val="20"/>
      <w14:ligatures w14:val="none"/>
    </w:rPr>
  </w:style>
  <w:style w:type="paragraph" w:customStyle="1" w:styleId="62">
    <w:name w:val="TOC Heading"/>
    <w:basedOn w:val="2"/>
    <w:next w:val="1"/>
    <w:unhideWhenUsed/>
    <w:qFormat/>
    <w:uiPriority w:val="39"/>
    <w:pPr>
      <w:spacing w:before="240" w:after="0" w:line="259" w:lineRule="auto"/>
      <w:outlineLvl w:val="9"/>
    </w:pPr>
    <w:rPr>
      <w:kern w:val="0"/>
      <w:sz w:val="32"/>
      <w:szCs w:val="32"/>
      <w14:ligatures w14:val="none"/>
    </w:rPr>
  </w:style>
  <w:style w:type="character" w:customStyle="1" w:styleId="63">
    <w:name w:val="Hyperlink1"/>
    <w:basedOn w:val="11"/>
    <w:unhideWhenUsed/>
    <w:qFormat/>
    <w:uiPriority w:val="99"/>
    <w:rPr>
      <w:color w:val="0563C1"/>
      <w:u w:val="single"/>
    </w:rPr>
  </w:style>
  <w:style w:type="paragraph" w:customStyle="1" w:styleId="64">
    <w:name w:val="TOC 31"/>
    <w:basedOn w:val="1"/>
    <w:next w:val="1"/>
    <w:autoRedefine/>
    <w:unhideWhenUsed/>
    <w:qFormat/>
    <w:uiPriority w:val="39"/>
    <w:pPr>
      <w:spacing w:after="100" w:line="259" w:lineRule="auto"/>
      <w:ind w:left="440"/>
    </w:pPr>
    <w:rPr>
      <w:rFonts w:eastAsia="SimSun"/>
      <w:sz w:val="22"/>
      <w:szCs w:val="22"/>
    </w:rPr>
  </w:style>
  <w:style w:type="paragraph" w:customStyle="1" w:styleId="65">
    <w:name w:val="TOC 41"/>
    <w:basedOn w:val="1"/>
    <w:next w:val="1"/>
    <w:autoRedefine/>
    <w:unhideWhenUsed/>
    <w:qFormat/>
    <w:uiPriority w:val="39"/>
    <w:pPr>
      <w:spacing w:after="100" w:line="259" w:lineRule="auto"/>
      <w:ind w:left="660"/>
    </w:pPr>
    <w:rPr>
      <w:rFonts w:eastAsia="SimSun"/>
      <w:sz w:val="22"/>
      <w:szCs w:val="22"/>
    </w:rPr>
  </w:style>
  <w:style w:type="paragraph" w:customStyle="1" w:styleId="66">
    <w:name w:val="TOC 51"/>
    <w:basedOn w:val="1"/>
    <w:next w:val="1"/>
    <w:autoRedefine/>
    <w:unhideWhenUsed/>
    <w:qFormat/>
    <w:uiPriority w:val="39"/>
    <w:pPr>
      <w:spacing w:after="100" w:line="259" w:lineRule="auto"/>
      <w:ind w:left="880"/>
    </w:pPr>
    <w:rPr>
      <w:rFonts w:eastAsia="SimSun"/>
      <w:sz w:val="22"/>
      <w:szCs w:val="22"/>
    </w:rPr>
  </w:style>
  <w:style w:type="paragraph" w:customStyle="1" w:styleId="67">
    <w:name w:val="TOC 61"/>
    <w:basedOn w:val="1"/>
    <w:next w:val="1"/>
    <w:autoRedefine/>
    <w:unhideWhenUsed/>
    <w:qFormat/>
    <w:uiPriority w:val="39"/>
    <w:pPr>
      <w:spacing w:after="100" w:line="259" w:lineRule="auto"/>
      <w:ind w:left="1100"/>
    </w:pPr>
    <w:rPr>
      <w:rFonts w:eastAsia="SimSun"/>
      <w:sz w:val="22"/>
      <w:szCs w:val="22"/>
    </w:rPr>
  </w:style>
  <w:style w:type="paragraph" w:customStyle="1" w:styleId="68">
    <w:name w:val="TOC 71"/>
    <w:basedOn w:val="1"/>
    <w:next w:val="1"/>
    <w:autoRedefine/>
    <w:unhideWhenUsed/>
    <w:qFormat/>
    <w:uiPriority w:val="39"/>
    <w:pPr>
      <w:spacing w:after="100" w:line="259" w:lineRule="auto"/>
      <w:ind w:left="1320"/>
    </w:pPr>
    <w:rPr>
      <w:rFonts w:eastAsia="SimSun"/>
      <w:sz w:val="22"/>
      <w:szCs w:val="22"/>
    </w:rPr>
  </w:style>
  <w:style w:type="paragraph" w:customStyle="1" w:styleId="69">
    <w:name w:val="TOC 81"/>
    <w:basedOn w:val="1"/>
    <w:next w:val="1"/>
    <w:autoRedefine/>
    <w:unhideWhenUsed/>
    <w:qFormat/>
    <w:uiPriority w:val="39"/>
    <w:pPr>
      <w:spacing w:after="100" w:line="259" w:lineRule="auto"/>
      <w:ind w:left="1540"/>
    </w:pPr>
    <w:rPr>
      <w:rFonts w:eastAsia="SimSun"/>
      <w:sz w:val="22"/>
      <w:szCs w:val="22"/>
    </w:rPr>
  </w:style>
  <w:style w:type="paragraph" w:customStyle="1" w:styleId="70">
    <w:name w:val="TOC 91"/>
    <w:basedOn w:val="1"/>
    <w:next w:val="1"/>
    <w:autoRedefine/>
    <w:unhideWhenUsed/>
    <w:qFormat/>
    <w:uiPriority w:val="39"/>
    <w:pPr>
      <w:spacing w:after="100" w:line="259" w:lineRule="auto"/>
      <w:ind w:left="1760"/>
    </w:pPr>
    <w:rPr>
      <w:rFonts w:eastAsia="SimSun"/>
      <w:sz w:val="22"/>
      <w:szCs w:val="22"/>
    </w:rPr>
  </w:style>
  <w:style w:type="character" w:customStyle="1" w:styleId="71">
    <w:name w:val="Unresolved Mention1"/>
    <w:basedOn w:val="11"/>
    <w:semiHidden/>
    <w:unhideWhenUsed/>
    <w:qFormat/>
    <w:uiPriority w:val="99"/>
    <w:rPr>
      <w:color w:val="605E5C"/>
      <w:shd w:val="clear" w:color="auto" w:fill="E1DFDD"/>
    </w:rPr>
  </w:style>
  <w:style w:type="paragraph" w:customStyle="1" w:styleId="72">
    <w:name w:val="n-dieund"/>
    <w:basedOn w:val="1"/>
    <w:qFormat/>
    <w:uiPriority w:val="0"/>
    <w:pPr>
      <w:widowControl w:val="0"/>
      <w:autoSpaceDE w:val="0"/>
      <w:autoSpaceDN w:val="0"/>
      <w:spacing w:before="120" w:after="120" w:line="276" w:lineRule="auto"/>
      <w:ind w:firstLine="709"/>
      <w:jc w:val="both"/>
    </w:pPr>
    <w:rPr>
      <w:rFonts w:ascii=".VnTime" w:hAnsi=".VnTime" w:eastAsia="Times New Roman" w:cs=".VnTime"/>
      <w:kern w:val="0"/>
      <w:sz w:val="28"/>
      <w:szCs w:val="28"/>
      <w14:ligatures w14:val="none"/>
    </w:rPr>
  </w:style>
  <w:style w:type="table" w:customStyle="1" w:styleId="73">
    <w:name w:val="Table Grid1"/>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4">
    <w:name w:val="Table Grid2"/>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75">
    <w:name w:val="Table Grid3"/>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E00D1E1-2F36-45BC-94F4-4D98E0FE2A45}">
  <ds:schemaRefs/>
</ds:datastoreItem>
</file>

<file path=customXml/itemProps3.xml><?xml version="1.0" encoding="utf-8"?>
<ds:datastoreItem xmlns:ds="http://schemas.openxmlformats.org/officeDocument/2006/customXml" ds:itemID="{5647530D-F37B-4E63-B44D-B9893F0BE800}">
  <ds:schemaRefs/>
</ds:datastoreItem>
</file>

<file path=customXml/itemProps4.xml><?xml version="1.0" encoding="utf-8"?>
<ds:datastoreItem xmlns:ds="http://schemas.openxmlformats.org/officeDocument/2006/customXml" ds:itemID="{387C3D91-5326-40ED-84FE-6532862A12CB}">
  <ds:schemaRefs/>
</ds:datastoreItem>
</file>

<file path=docProps/app.xml><?xml version="1.0" encoding="utf-8"?>
<Properties xmlns="http://schemas.openxmlformats.org/officeDocument/2006/extended-properties" xmlns:vt="http://schemas.openxmlformats.org/officeDocument/2006/docPropsVTypes">
  <Template>Normal</Template>
  <Pages>11</Pages>
  <Words>75748</Words>
  <Characters>251927</Characters>
  <Lines>2326</Lines>
  <Paragraphs>655</Paragraphs>
  <TotalTime>7</TotalTime>
  <ScaleCrop>false</ScaleCrop>
  <LinksUpToDate>false</LinksUpToDate>
  <CharactersWithSpaces>326269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2026-04-07T08:03:00Z</dcterms:created>
  <dc:creator>live</dc:creator>
  <cp:lastModifiedBy>Phúc Châu</cp:lastModifiedBy>
  <dcterms:modified xsi:type="dcterms:W3CDTF">2026-09-23T07:51:38Z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y fmtid="{D5CDD505-2E9C-101B-9397-08002B2CF9AE}" pid="3" name="KSOTemplateDocerSaveRecord">
    <vt:lpwstr>eyJoZGlkIjoiMmEwYjE4NWJkZGY2MGY0ZTg1ZWQyMjgxOTg1MWM1N2MiLCJ1c2VySWQiOiIxMzkyMDUzNzYwMDc0In0=</vt:lpwstr>
  </property>
  <property fmtid="{D5CDD505-2E9C-101B-9397-08002B2CF9AE}" pid="4" name="KSOProductBuildVer">
    <vt:lpwstr>1033-12.1.0.28485</vt:lpwstr>
  </property>
  <property fmtid="{D5CDD505-2E9C-101B-9397-08002B2CF9AE}" pid="5" name="ICV">
    <vt:lpwstr>9BDA06A2D1D1470792813EB9643A37DC_12</vt:lpwstr>
  </property>
</Properties>
</file>