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10" w:type="dxa"/>
          <w:bottom w:w="0" w:type="dxa"/>
          <w:right w:w="10" w:type="dxa"/>
        </w:tblCellMar>
      </w:tblPr>
      <w:tblGrid>
        <w:gridCol w:w="3685"/>
        <w:gridCol w:w="5361"/>
      </w:tblGrid>
      <w:tr w14:paraId="5EBFE994">
        <w:tblPrEx>
          <w:tblCellMar>
            <w:top w:w="0" w:type="dxa"/>
            <w:left w:w="10" w:type="dxa"/>
            <w:bottom w:w="0" w:type="dxa"/>
            <w:right w:w="10" w:type="dxa"/>
          </w:tblCellMar>
        </w:tblPrEx>
        <w:tc>
          <w:tcPr>
            <w:tcW w:w="2037" w:type="pct"/>
          </w:tcPr>
          <w:p w14:paraId="15C2E5A6">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QUỐC HỘI</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Luật số: 91/2025/QH15</w:t>
            </w:r>
          </w:p>
        </w:tc>
        <w:tc>
          <w:tcPr>
            <w:tcW w:w="2963" w:type="pct"/>
          </w:tcPr>
          <w:p w14:paraId="70F0BE42">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CỘNG HÒA XÃ HỘI CHỦ NGHĨA VIỆT NAM</w:t>
            </w:r>
            <w:r>
              <w:rPr>
                <w:rFonts w:ascii="Arial" w:hAnsi="Arial" w:cs="Arial"/>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Độc lập – Tự do – Hạnh phúc</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_________________</w:t>
            </w:r>
          </w:p>
        </w:tc>
      </w:tr>
    </w:tbl>
    <w:p>
      <w:pPr>
        <w:spacing w:after="20"/>
      </w:pPr>
      <w:r>
        <w:rPr>
          <w:b/>
          <w:color w:val="1F4E79"/>
          <w:sz w:val="18"/>
        </w:rPr>
        <w:t>GHI CHÚ NGỮ CẢNH — PHẦN BIÊN TẬP, KHÔNG THUỘC NGUYÊN VĂN VĂN BẢN</w:t>
      </w:r>
    </w:p>
    <w:p>
      <w:r>
        <w:rPr>
          <w:b/>
          <w:sz w:val="18"/>
        </w:rPr>
        <w:t>Văn bản: LUẬT BẢO VỆ DỮ LIỆU CÁ NHÂN — 91/2025/QH15</w:t>
      </w:r>
    </w:p>
    <w:p>
      <w:pPr>
        <w:spacing w:after="0" w:line="240" w:lineRule="auto"/>
      </w:pPr>
      <w:r>
        <w:rPr>
          <w:b/>
          <w:color w:val="464646"/>
          <w:sz w:val="17"/>
        </w:rPr>
        <w:t xml:space="preserve">Định danh: </w:t>
      </w:r>
      <w:r>
        <w:rPr>
          <w:color w:val="464646"/>
          <w:sz w:val="17"/>
        </w:rPr>
        <w:t>Luật số 91/2025/QH15, Quốc hội thông qua ngày 26/06/2025.</w:t>
      </w:r>
    </w:p>
    <w:p>
      <w:pPr>
        <w:spacing w:after="0" w:line="240" w:lineRule="auto"/>
      </w:pPr>
      <w:r>
        <w:rPr>
          <w:b/>
          <w:color w:val="464646"/>
          <w:sz w:val="17"/>
        </w:rPr>
        <w:t xml:space="preserve">Phạm vi/đối tượng: </w:t>
      </w:r>
      <w:r>
        <w:rPr>
          <w:color w:val="464646"/>
          <w:sz w:val="17"/>
        </w:rPr>
        <w:t>Quy định quyền, nghĩa vụ của chủ thể dữ liệu và trách nhiệm của cơ quan, tổ chức, cá nhân trong xử lý, bảo vệ dữ liệu cá nhân; phạm vi áp dụng được xác định theo Điều 1–2 của Luật.</w:t>
      </w:r>
    </w:p>
    <w:p>
      <w:pPr>
        <w:spacing w:after="0" w:line="240" w:lineRule="auto"/>
      </w:pPr>
      <w:r>
        <w:rPr>
          <w:b/>
          <w:color w:val="464646"/>
          <w:sz w:val="17"/>
        </w:rPr>
        <w:t xml:space="preserve">Hiệu lực: </w:t>
      </w:r>
      <w:r>
        <w:rPr>
          <w:color w:val="464646"/>
          <w:sz w:val="17"/>
        </w:rPr>
        <w:t>01/01/2026; xem riêng các quy định chuyển tiếp tại Điều 39.</w:t>
      </w:r>
    </w:p>
    <w:p>
      <w:pPr>
        <w:spacing w:after="0" w:line="240" w:lineRule="auto"/>
      </w:pPr>
      <w:r>
        <w:rPr>
          <w:b/>
          <w:color w:val="464646"/>
          <w:sz w:val="17"/>
        </w:rPr>
        <w:t xml:space="preserve">Lịch sử/ngữ cảnh: </w:t>
      </w:r>
      <w:r>
        <w:rPr>
          <w:color w:val="464646"/>
          <w:sz w:val="17"/>
        </w:rPr>
        <w:t>Nghị định 356/2025/NĐ-CP quy định chi tiết và biện pháp thi hành; Nghị định 330/2026/NĐ-CP quy định xử phạt hành chính trong lĩnh vực an ninh mạng và bảo vệ dữ liệu cá nhân. Hai nghị định này là văn bản triển khai/xử phạt, không thay thế bản trích Luật.</w:t>
      </w:r>
    </w:p>
    <w:p>
      <w:pPr>
        <w:spacing w:after="0" w:line="240" w:lineRule="auto"/>
      </w:pPr>
      <w:r>
        <w:rPr>
          <w:b/>
          <w:color w:val="464646"/>
          <w:sz w:val="17"/>
        </w:rPr>
        <w:t xml:space="preserve">Nguồn chính thức: </w:t>
      </w:r>
      <w:r>
        <w:rPr>
          <w:color w:val="464646"/>
          <w:sz w:val="17"/>
        </w:rPr>
        <w:t>https://vanban.chinhphu.vn/?docid=214590&amp;pageid=27160</w:t>
      </w:r>
    </w:p>
    <w:p>
      <w:pPr>
        <w:spacing w:after="40"/>
      </w:pPr>
      <w:r>
        <w:rPr>
          <w:sz w:val="14"/>
        </w:rPr>
        <w:t>————————————————————————————————————————————————————</w:t>
      </w:r>
    </w:p>
    <w:p w14:paraId="6DF68BD1">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1C817F26">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0370B97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LUẬT</w:t>
      </w:r>
    </w:p>
    <w:p w14:paraId="1688F1BD">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BẢO VỆ DỮ LIỆU CÁ NHÂN</w:t>
      </w:r>
    </w:p>
    <w:p w14:paraId="6B5ECADE">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1EAEA6C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Hiến pháp nước Cộng hòa xã hội chủ nghĩa Việt Nam đã được sửa đổi, bổ sung một số điều theo Nghị quyết số 203/2025/QH15;</w:t>
      </w:r>
    </w:p>
    <w:p w14:paraId="2D409581">
      <w:pPr>
        <w:adjustRightInd w:val="0"/>
        <w:snapToGrid w:val="0"/>
        <w:spacing w:after="0" w:line="240" w:lineRule="auto"/>
        <w:ind w:firstLine="720"/>
        <w:jc w:val="both"/>
        <w:rPr>
          <w:rFonts w:ascii="Arial" w:hAnsi="Arial" w:cs="Arial"/>
          <w:i/>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Quốc hội ban hành Luật Bảo vệ dữ liệu cá nhân.</w:t>
      </w:r>
    </w:p>
    <w:p w14:paraId="535B9C4A">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21B449B6">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w:t>
      </w:r>
      <w:r>
        <w:rPr>
          <w:rFonts w:ascii="Arial" w:hAnsi="Arial" w:cs="Arial"/>
          <w:b/>
          <w:color w:val="000000" w:themeColor="text1"/>
          <w:sz w:val="20"/>
          <w:szCs w:val="20"/>
          <w:lang w:val="en-GB"/>
          <w14:textFill>
            <w14:solidFill>
              <w14:schemeClr w14:val="tx1"/>
            </w14:solidFill>
          </w14:textFill>
        </w:rPr>
        <w:t>ư</w:t>
      </w:r>
      <w:r>
        <w:rPr>
          <w:rFonts w:ascii="Arial" w:hAnsi="Arial" w:cs="Arial"/>
          <w:b/>
          <w:color w:val="000000" w:themeColor="text1"/>
          <w:sz w:val="20"/>
          <w:szCs w:val="20"/>
          <w14:textFill>
            <w14:solidFill>
              <w14:schemeClr w14:val="tx1"/>
            </w14:solidFill>
          </w14:textFill>
        </w:rPr>
        <w:t>ơng I</w:t>
      </w:r>
    </w:p>
    <w:p w14:paraId="1C7C8869">
      <w:pPr>
        <w:adjustRightInd w:val="0"/>
        <w:snapToGrid w:val="0"/>
        <w:spacing w:after="0" w:line="240" w:lineRule="auto"/>
        <w:jc w:val="center"/>
        <w:rPr>
          <w:rFonts w:ascii="Arial" w:hAnsi="Arial" w:cs="Arial"/>
          <w:b/>
          <w:color w:val="000000" w:themeColor="text1"/>
          <w:sz w:val="20"/>
          <w:szCs w:val="20"/>
          <w:lang w:val="en-GB"/>
          <w14:textFill>
            <w14:solidFill>
              <w14:schemeClr w14:val="tx1"/>
            </w14:solidFill>
          </w14:textFill>
        </w:rPr>
      </w:pPr>
      <w:r>
        <w:rPr>
          <w:rFonts w:ascii="Arial" w:hAnsi="Arial" w:cs="Arial"/>
          <w:b/>
          <w:color w:val="000000" w:themeColor="text1"/>
          <w:sz w:val="20"/>
          <w:szCs w:val="20"/>
          <w14:textFill>
            <w14:solidFill>
              <w14:schemeClr w14:val="tx1"/>
            </w14:solidFill>
          </w14:textFill>
        </w:rPr>
        <w:t>NHỮNG QUY ĐỊNH CHUNG</w:t>
      </w:r>
    </w:p>
    <w:p w14:paraId="7B2F4462">
      <w:pPr>
        <w:adjustRightInd w:val="0"/>
        <w:snapToGrid w:val="0"/>
        <w:spacing w:after="0" w:line="240" w:lineRule="auto"/>
        <w:jc w:val="center"/>
        <w:rPr>
          <w:rFonts w:ascii="Arial" w:hAnsi="Arial" w:cs="Arial"/>
          <w:color w:val="000000" w:themeColor="text1"/>
          <w:sz w:val="20"/>
          <w:szCs w:val="20"/>
          <w:lang w:val="en-GB"/>
          <w14:textFill>
            <w14:solidFill>
              <w14:schemeClr w14:val="tx1"/>
            </w14:solidFill>
          </w14:textFill>
        </w:rPr>
      </w:pPr>
    </w:p>
    <w:p w14:paraId="4280A93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 Nguyên tắc bảo vệ dữ liệu cá nhân</w:t>
      </w:r>
    </w:p>
    <w:p w14:paraId="5CE8C05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Tuân thủ quy định của Hiến pháp, quy định của Luật này và quy định khác của pháp luật có liên quan.</w:t>
      </w:r>
    </w:p>
    <w:p w14:paraId="682741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Chỉ được thu thập, xử lý dữ liệu cá nhân đúng phạm vi, mục đích cụ thể, rõ ràng, bảo đảm tuân thủ quy định của pháp luật.</w:t>
      </w:r>
    </w:p>
    <w:p w14:paraId="4506473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14:paraId="1CE8026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Thực hiện đồng bộ có hiệu quả các biện pháp, giải pháp về thể chế, kỹ thuật, con người phù hợp để bảo vệ dữ liệu cá nhân.</w:t>
      </w:r>
    </w:p>
    <w:p w14:paraId="0BB0B39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Chủ động phòng ngừa, phát hiện, ngăn chặn, đấu tranh, xử lý kịp thời, nghiêm minh mọi hành vi vi phạm pháp luật về bảo vệ dữ liệu cá nhân.</w:t>
      </w:r>
    </w:p>
    <w:p w14:paraId="14E7362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14:paraId="051423E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 Quyền và nghĩa vụ của chủ thể dữ liệu cá nhân</w:t>
      </w:r>
    </w:p>
    <w:p w14:paraId="70B2D45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Quyền của chủ thể dữ liệu cá nhân bao gồm:</w:t>
      </w:r>
    </w:p>
    <w:p w14:paraId="17893C5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Được biết về hoạt động xử lý dữ liệu cá nhân;</w:t>
      </w:r>
    </w:p>
    <w:p w14:paraId="06DC9F9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Đồng ý hoặc không đồng ý, yêu cầu rút lại sự đồng ý cho phép xử lý dữ liệu cá nhân;</w:t>
      </w:r>
    </w:p>
    <w:p w14:paraId="58E2158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Xem, chỉnh sửa hoặc yêu cầu chỉnh sửa dữ liệu cá nhân;</w:t>
      </w:r>
    </w:p>
    <w:p w14:paraId="745FC6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Yêu cầu cung cấp, xóa, hạn chế xử lý dữ liệu cá nhân; gửi yêu cầu phản đối xử lý dữ liệu cá nhân;</w:t>
      </w:r>
    </w:p>
    <w:p w14:paraId="19514D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Khiếu nại, tố cáo, khởi kiện, yêu cầu bồi thường thiệt hại theo quy định của pháp luật;</w:t>
      </w:r>
    </w:p>
    <w:p w14:paraId="5F240E8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Yêu cầu cơ quan có thẩm quyền hoặc cơ quan, tổ chức, cá nhân liên quan đến xử lý dữ liệu cá nhân thực hiện các biện pháp, giải pháp bảo vệ dữ liệu cá nhân của mình theo quy định của pháp luật.</w:t>
      </w:r>
    </w:p>
    <w:p w14:paraId="054EB16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Nghĩa vụ của chủ thể dữ liệu cá nhân bao gồm:</w:t>
      </w:r>
    </w:p>
    <w:p w14:paraId="36F7A9A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Tự bảo vệ dữ liệu cá nhân của mình;</w:t>
      </w:r>
    </w:p>
    <w:p w14:paraId="56338C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Tôn trọng, bảo vệ dữ liệu cá nhân của người khác;</w:t>
      </w:r>
    </w:p>
    <w:p w14:paraId="1290FDF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Cung cấp đầy đủ, chính xác dữ liệu cá nhân của mình theo quy định của pháp luật, theo hợp đồng hoặc khi đồng ý cho phép xử lý dữ liệu cá nhân của mình;</w:t>
      </w:r>
    </w:p>
    <w:p w14:paraId="5F6C5A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Chấp hành pháp luật về bảo vệ dữ liệu cá nhân và tham gia phòng, chống hoạt động xâm phạm dữ liệu cá nhân.</w:t>
      </w:r>
    </w:p>
    <w:p w14:paraId="5ADAC14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Chủ thể dữ liệu cá nhân khi thực hiện quyền và nghĩa vụ của mình phải tuân thủ đầy đủ các nguyên tắc sau đây:</w:t>
      </w:r>
    </w:p>
    <w:p w14:paraId="15362D9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14:paraId="5A7EECE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được gây khó khăn, cản trở việc thực hiện quyền, nghĩa vụ pháp lý của bên kiểm soát dữ liệu cá nhân, bên kiểm soát và xử lý dữ liệu cá nhân, bên xử lý dữ liệu cá nhân;</w:t>
      </w:r>
    </w:p>
    <w:p w14:paraId="5253B3A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được xâm phạm đến quyền, lợi ích hợp pháp của Nhà nước, cơ quan, tổ chức, cá nhân khác.</w:t>
      </w:r>
    </w:p>
    <w:p w14:paraId="70202E6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Cơ quan, tổ chức, cá nhân có trách nhiệm tạo điều kiện thuận lợi, không được gây khó khăn, cản trở việc thực hiện quyền và nghĩa vụ của chủ thể dữ liệu cá nhân theo quy định của pháp luật.</w:t>
      </w:r>
    </w:p>
    <w:p w14:paraId="1DA07D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p>
    <w:p w14:paraId="30FD988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Chính phủ quy định chi tiết khoản này.</w:t>
      </w:r>
    </w:p>
    <w:p w14:paraId="0BD0B0F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5. Áp dụng pháp luật về bảo vệ dữ liệu cá nhân</w:t>
      </w:r>
    </w:p>
    <w:p w14:paraId="602178E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Hoạt động bảo vệ dữ liệu cá nhân trên lãnh thổ nước Cộng hòa xã hội chủ nghĩa Việt Nam thực hiện theo quy định của Luật này và quy định khác của pháp luật có liên quan.</w:t>
      </w:r>
    </w:p>
    <w:p w14:paraId="7F27FD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14:paraId="3C4256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14:paraId="57EC4A6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14:paraId="423FAC7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7. Hành vi bị nghiêm cấm</w:t>
      </w:r>
    </w:p>
    <w:p w14:paraId="1FC896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14:paraId="6D5468F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Cản trở hoạt động bảo vệ dữ liệu cá nhân.</w:t>
      </w:r>
    </w:p>
    <w:p w14:paraId="5A4C4A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Lợi dụng hoạt động bảo vệ dữ liệu cá nhân để thực hiện hành vi vi phạm pháp luật.</w:t>
      </w:r>
    </w:p>
    <w:p w14:paraId="3BD547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Xử lý dữ liệu cá nhân trái quy định của pháp luật.</w:t>
      </w:r>
    </w:p>
    <w:p w14:paraId="001209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Sử dụng dữ liệu cá nhân của người khác, cho người khác sử dụng dữ liệu cá nhân của mình để thực hiện hành vi trái quy định của pháp luật.</w:t>
      </w:r>
    </w:p>
    <w:p w14:paraId="4F07CFD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Mua, bán dữ liệu cá nhân, trừ trường hợp luật có quy định khác.</w:t>
      </w:r>
    </w:p>
    <w:p w14:paraId="79BD0B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Chiếm đoạt, cố ý làm lộ, làm mất dữ liệu cá nhân.</w:t>
      </w:r>
    </w:p>
    <w:p w14:paraId="6473DA2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8. Xử lý vi phạm pháp luật về bảo vệ dữ liệu cá nhân</w:t>
      </w:r>
    </w:p>
    <w:p w14:paraId="4B8513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14:paraId="4B39212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xử phạt vi phạm hành chính trong lĩnh vực bảo vệ dữ liệu cá nhân thực hiện theo quy định tại các khoản 3, 4, 5, 6 và 7 Điều này và pháp luật về xử lý vi phạm hành chính.</w:t>
      </w:r>
    </w:p>
    <w:p w14:paraId="69BACFC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14:paraId="3EC1FEF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14:paraId="335F96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Mức phạt tiền tối đa trong xử phạt vi phạm hành chính đối với các hành vi vi phạm khác trong lĩnh vực bảo vệ dữ liệu cá nhân là 03 tỷ đồng.</w:t>
      </w:r>
    </w:p>
    <w:p w14:paraId="750CA41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14:paraId="01004D72">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Chính phủ quy định phương pháp tính khoản thu có được từ việc thực hiện hành vi vi phạm pháp luật về bảo vệ dữ liệu cá nhân.</w:t>
      </w:r>
    </w:p>
    <w:p w14:paraId="6F65CDD9">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03A7B35C">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w:t>
      </w:r>
    </w:p>
    <w:p w14:paraId="53987297">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BẢO VỆ DỮ LIỆU CÁ NHÂN</w:t>
      </w:r>
    </w:p>
    <w:p w14:paraId="67628027">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1A70E99A">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Mục 1</w:t>
      </w:r>
    </w:p>
    <w:p w14:paraId="3C3E1DD0">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 xml:space="preserve">BẢO VỆ DỮ LIỆU CÁ NHÂN </w:t>
      </w:r>
      <w:r>
        <w:rPr>
          <w:rFonts w:ascii="Arial" w:hAnsi="Arial" w:cs="Arial"/>
          <w:b/>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TRONG QUÁ TRÌNH XỬ LÝ DỮ LIỆU CÁ NHÂN</w:t>
      </w:r>
    </w:p>
    <w:p w14:paraId="4C2CAD28">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360A848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9. Sự đồng ý của chủ thể dữ liệu cá nhân</w:t>
      </w:r>
    </w:p>
    <w:p w14:paraId="4C8A682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Sự đồng ý của chủ thể dữ liệu cá nhân là việc chủ thể dữ liệu cá nhân cho phép xử lý dữ liệu cá nhân của mình, trừ trường hợp pháp luật có quy định khác.</w:t>
      </w:r>
    </w:p>
    <w:p w14:paraId="74CACD2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Sự đồng ý của chủ thể dữ liệu cá nhân chỉ có hiệu lực khi dựa trên sự tự nguyện và biết rõ các thông tin sau đây:</w:t>
      </w:r>
    </w:p>
    <w:p w14:paraId="232E20D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Loại dữ liệu cá nhân được xử lý, mục đích xử lý dữ liệu cá nhân;</w:t>
      </w:r>
    </w:p>
    <w:p w14:paraId="3BAEF51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Bên kiểm soát dữ liệu cá nhân hoặc bên kiểm soát và xử lý dữ liệu cá nhân;</w:t>
      </w:r>
    </w:p>
    <w:p w14:paraId="41FCEEB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Các quyền, nghĩa vụ của chủ thể dữ liệu cá nhân.</w:t>
      </w:r>
    </w:p>
    <w:p w14:paraId="1F5E8B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Sự đồng ý của chủ thể dữ liệu cá nhân được thể hiện bằng phương thức rõ ràng, cụ thể, có thể in, sao chép bằng văn bản, bao gồm cả dưới dạng điện tử hoặc định dạng kiểm chứng được.</w:t>
      </w:r>
    </w:p>
    <w:p w14:paraId="092A7B0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Sự đồng ý của chủ thể dữ liệu cá nhân phải bảo đảm các nguyên tắc sau đây:</w:t>
      </w:r>
    </w:p>
    <w:p w14:paraId="3DBDBDE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Thể hiện sự đồng ý đối với từng mục đích;</w:t>
      </w:r>
    </w:p>
    <w:p w14:paraId="332A963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được kèm theo điều kiện bắt buộc phải đồng ý với các mục đích khác với nội dung thỏa thuận;</w:t>
      </w:r>
    </w:p>
    <w:p w14:paraId="03D1934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Sự đồng ý có hiệu lực cho đến khi chủ thể dữ liệu cá nhân thay đổi sự đồng ý đó hoặc theo quy định của pháp luật;</w:t>
      </w:r>
    </w:p>
    <w:p w14:paraId="1A0BAF5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Sự im lặng hoặc không phản hồi không được coi là sự đồng ý.</w:t>
      </w:r>
    </w:p>
    <w:p w14:paraId="4D53287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Chính phủ quy định chi tiết khoản 3 Điều này.</w:t>
      </w:r>
    </w:p>
    <w:p w14:paraId="0A4491D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10. Yêu cầu rút lại sự đồng ý, yêu cầu hạn chế xử lý dữ liệu cá nhân</w:t>
      </w:r>
    </w:p>
    <w:p w14:paraId="039A82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Điều 19 của Luật này hoặc trường hợp pháp luật có quy định khác.</w:t>
      </w:r>
    </w:p>
    <w:p w14:paraId="5990FD9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14:paraId="2A5DC48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14:paraId="6A484E3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14:paraId="72EEA85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11. Thu thập, phân tích, tổng hợp dữ liệu cá nhân</w:t>
      </w:r>
    </w:p>
    <w:p w14:paraId="48BE040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được thu thập phải được sự đồng ý của chủ thể dữ liệu cá nhân trước khi thu thập, trừ trường hợp pháp luật có quy định khác.</w:t>
      </w:r>
    </w:p>
    <w:p w14:paraId="3CAE41C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14:paraId="041DA3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Cơ quan, tổ chức, cá nhân không thuộc quy định tại khoản 2 Điều này được phân tích, tổng hợp dữ liệu cá nhân từ nguồn dữ liệu cá nhân được phép xử lý theo quy định của pháp luật.</w:t>
      </w:r>
    </w:p>
    <w:p w14:paraId="3D84E73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15. Cung cấp dữ liệu cá nhân</w:t>
      </w:r>
    </w:p>
    <w:p w14:paraId="2EA6970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Chủ thể dữ liệu cá nhân cung cấp dữ liệu cá nhân cho cơ quan, tổ chức, cá nhân theo quy định của pháp luật hoặc theo thỏa thuận với cơ quan, tổ chức, cá nhân đó.</w:t>
      </w:r>
    </w:p>
    <w:p w14:paraId="47FB9E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cung cấp dữ liệu cá nhân trong các trường hợp sau đây:</w:t>
      </w:r>
    </w:p>
    <w:p w14:paraId="1AEB951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14:paraId="5AC385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Cung cấp cho cơ quan, tổ chức, cá nhân khác khi được chủ thể dữ liệu cá nhân đồng ý, trừ trường hợp pháp luật có quy định khác.</w:t>
      </w:r>
    </w:p>
    <w:p w14:paraId="19F57E2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16. Công khai dữ liệu cá nhân</w:t>
      </w:r>
    </w:p>
    <w:p w14:paraId="79F5B30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14:paraId="61E2D0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Dữ liệu cá nhân chỉ được công khai trong các trường hợp sau đây:</w:t>
      </w:r>
    </w:p>
    <w:p w14:paraId="556532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Khi có sự đồng ý của chủ thể dữ liệu cá nhân;</w:t>
      </w:r>
    </w:p>
    <w:p w14:paraId="264CC32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Thực hiện theo quy định của pháp luật;</w:t>
      </w:r>
    </w:p>
    <w:p w14:paraId="69E7D8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Trường hợp quy định tại điểm b khoản 1 Điều 19 của Luật này;</w:t>
      </w:r>
    </w:p>
    <w:p w14:paraId="7E78198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Thực hiện nghĩa vụ theo hợp đồng.</w:t>
      </w:r>
    </w:p>
    <w:p w14:paraId="607888E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Dữ liệu cá nhân công khai phải bảo đảm phản ánh đúng dữ liệu cá nhân từ nguồn dữ liệu gốc và tạo thuận lợi cho cơ quan, tổ chức, cá nhân trong việc tiếp cận, khai thác, sử dụng.</w:t>
      </w:r>
    </w:p>
    <w:p w14:paraId="0B2870D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Hình thức công khai dữ liệu cá nhân, bao gồm: đăng tải dữ liệu trên trang thông tin điện tử, cổng thông tin điện tử, phương tiện thông tin đại chúng và các hình thức khác theo quy định của pháp luật.</w:t>
      </w:r>
    </w:p>
    <w:p w14:paraId="297EA6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14:paraId="7AC8480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17. Chuyển giao dữ liệu cá nhân</w:t>
      </w:r>
    </w:p>
    <w:p w14:paraId="707F7E4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Việc chuyển giao dữ liệu cá nhân được thực hiện trong các trường hợp sau đây:</w:t>
      </w:r>
    </w:p>
    <w:p w14:paraId="661CEFF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Chuyển giao dữ liệu cá nhân khi có sự đồng ý của chủ thể dữ liệu cá nhân;</w:t>
      </w:r>
    </w:p>
    <w:p w14:paraId="7F2EC62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Chia sẻ dữ liệu cá nhân giữa các bộ phận trong cùng một cơ quan, tổ chức để xử lý dữ liệu cá nhân phù hợp với mục đích xử lý đã xác lập;</w:t>
      </w:r>
    </w:p>
    <w:p w14:paraId="40747D7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14:paraId="4FFE1A2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Bên kiểm soát dữ liệu cá nhân, bên kiểm soát và xử lý dữ liệu cá nhân chuyển giao dữ liệu cá nhân cho bên xử lý dữ liệu cá nhân, bên thứ ba để xử lý dữ liệu cá nhân theo quy định;</w:t>
      </w:r>
    </w:p>
    <w:p w14:paraId="623EB89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Chuyển giao dữ liệu cá nhân theo yêu cầu của cơ quan nhà nước có thẩm quyền;</w:t>
      </w:r>
    </w:p>
    <w:p w14:paraId="1B3C51F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Chuyển giao dữ liệu cá nhân trong các trường hợp quy định tại khoản 1 Điều 19 của Luật này.</w:t>
      </w:r>
    </w:p>
    <w:p w14:paraId="742089A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chuyển giao dữ liệu cá nhân trong các trường hợp quy định tại khoản 1 Điều này có thu phí hoặc không thu phí thì không được xác định là mua, bán dữ liệu cá nhân.</w:t>
      </w:r>
    </w:p>
    <w:p w14:paraId="1F4CC1B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Chính phủ quy định chi tiết Điều này.</w:t>
      </w:r>
    </w:p>
    <w:p w14:paraId="5EB0C71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18. Các hoạt động khác trong xử lý dữ liệu cá nhân</w:t>
      </w:r>
    </w:p>
    <w:p w14:paraId="3ED3E63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14:paraId="6233089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14:paraId="5ADE8A4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14:paraId="266BFA2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19. Xử lý dữ liệu cá nhân trong trường hợp không cần sự đồng ý của chủ thể dữ liệu cá nhân</w:t>
      </w:r>
    </w:p>
    <w:p w14:paraId="17683F4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Các trường hợp xử lý dữ liệu cá nhân không cần sự đồng ý của chủ thể dữ liệu cá nhân bao gồm:</w:t>
      </w:r>
    </w:p>
    <w:p w14:paraId="155128F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14:paraId="659E5EB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Để giải quyết tình trạng khẩn cấp; nguy cơ đe dọa an ninh quốc gia nhưng chưa đến mức ban bố tình trạng khẩn cấp; phòng, chống bạo loạn, khủng bố, phòng, chống tội phạm và vi phạm pháp luật;</w:t>
      </w:r>
    </w:p>
    <w:p w14:paraId="07A415B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Phục vụ hoạt động của cơ quan nhà nước, hoạt động quản lý nhà nước theo quy định của pháp luật;</w:t>
      </w:r>
    </w:p>
    <w:p w14:paraId="3CE16CF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Thực hiện thỏa thuận của chủ thể dữ liệu cá nhân với cơ quan, tổ chức, cá nhân có liên quan theo quy định của pháp luật;</w:t>
      </w:r>
    </w:p>
    <w:p w14:paraId="2F1DF9A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Trường hợp khác theo quy định của pháp luật.</w:t>
      </w:r>
    </w:p>
    <w:p w14:paraId="2BFF3EC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tổ chức, cá nhân có liên quan phải thiết lập cơ chế giám sát khi xử lý dữ liệu cá nhân trong trường hợp không cần sự đồng ý của chủ thể dữ liệu cá nhân bao gồm:</w:t>
      </w:r>
    </w:p>
    <w:p w14:paraId="7A19351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Thiết lập quy trình, quy định xử lý dữ liệu cá nhân và xác định trách nhiệm của cơ quan, tổ chức, cá nhân trong quá trình xử lý dữ liệu cá nhân;</w:t>
      </w:r>
    </w:p>
    <w:p w14:paraId="3416551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Triển khai các biện pháp bảo vệ dữ liệu cá nhân phù hợp; thường xuyên đánh giá rủi ro có thể xảy ra trong quá trình xử lý dữ liệu cá nhân;</w:t>
      </w:r>
    </w:p>
    <w:p w14:paraId="57CA89D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Thực hiện kiểm tra, đánh giá định kỳ việc tuân thủ quy định của pháp luật, quy trình, quy định xử lý dữ liệu cá nhân;</w:t>
      </w:r>
    </w:p>
    <w:p w14:paraId="101742C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Có cơ chế tiếp nhận và xử lý phản ánh, kiến nghị từ cơ quan, tổ chức, cá nhân có liên quan.</w:t>
      </w:r>
    </w:p>
    <w:p w14:paraId="69D7ABC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22. Cập nhật hồ sơ đánh giá tác động xử lý dữ liệu cá nhân và hồ sơ đánh giá tác động chuyển dữ liệu cá nhân xuyên biên giới</w:t>
      </w:r>
    </w:p>
    <w:p w14:paraId="11E562D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14:paraId="280D5D0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trường hợp thay đổi cần cập nhật ngay bao gồm:</w:t>
      </w:r>
    </w:p>
    <w:p w14:paraId="23B75CC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Khi cơ quan, tổ chức, đơn vị được tổ chức lại, chấm dứt hoạt động, giải thể, phá sản theo quy định của pháp luật;</w:t>
      </w:r>
    </w:p>
    <w:p w14:paraId="4C6EA9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Khi có sự thay đổi thông tin về tổ chức, cá nhân cung cấp dịch vụ bảo vệ dữ liệu cá nhân;</w:t>
      </w:r>
    </w:p>
    <w:p w14:paraId="4C56C1D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14:paraId="37562DB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14:paraId="0024A79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Chính phủ quy định chi tiết Điều này.</w:t>
      </w:r>
    </w:p>
    <w:p w14:paraId="193D103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23. Thông báo vi phạm quy định về bảo vệ dữ liệu cá nhân</w:t>
      </w:r>
    </w:p>
    <w:p w14:paraId="56A4AE3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14:paraId="06BCEC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14:paraId="18D8187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Cơ quan, tổ chức, cá nhân thông báo cho cơ quan chuyên trách bảo vệ dữ liệu cá nhân trong các trường hợp sau đây:</w:t>
      </w:r>
    </w:p>
    <w:p w14:paraId="352EF42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Phát hiện hành vi vi phạm quy định về bảo vệ dữ liệu cá nhân;</w:t>
      </w:r>
    </w:p>
    <w:p w14:paraId="6558759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Dữ liệu cá nhân bị xử lý sai mục đích, không đúng thỏa thuận giữa chủ thể dữ liệu cá nhân với bên kiểm soát dữ liệu cá nhân, bên kiểm soát và xử lý dữ liệu cá nhân;</w:t>
      </w:r>
    </w:p>
    <w:p w14:paraId="0DA43FB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bảo đảm quyền hoặc thực hiện không đúng quyền của chủ thể dữ liệu cá nhân;</w:t>
      </w:r>
    </w:p>
    <w:p w14:paraId="712DB7E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Trường hợp khác theo quy định của pháp luật.</w:t>
      </w:r>
    </w:p>
    <w:p w14:paraId="01F52A5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14:paraId="3566AE44">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Chính phủ quy định nội dung thông báo vi phạm quy định về bảo vệ dữ liệu cá nhân.</w:t>
      </w:r>
    </w:p>
    <w:p w14:paraId="6C13E767">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F382BF1">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Mục 2</w:t>
      </w:r>
    </w:p>
    <w:p w14:paraId="68FA80BC">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BẢO VỆ DỮ LIỆU CÁ NHÂN TRONG MỘT SỐ HOẠT ĐỘNG</w:t>
      </w:r>
    </w:p>
    <w:p w14:paraId="105B3753">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6D29915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24. Bảo vệ dữ liệu cá nhân của trẻ em, người bị mất hoặc hạn chế năng lực hành vi dân sự, người có khó khăn trong nhận thức, làm chủ hành vi</w:t>
      </w:r>
    </w:p>
    <w:p w14:paraId="6EBAEAF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Bảo vệ dữ liệu cá nhân của trẻ em, người bị mất hoặc hạn chế năng lực hành vi dân sự, người có khó khăn trong nhận thức, làm chủ hành vi thực hiện theo quy định của Luật này.</w:t>
      </w:r>
    </w:p>
    <w:p w14:paraId="13D5C0F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khoản 1 Điều 19 của Luật này.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14:paraId="0A5830C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Ngừng xử lý dữ liệu cá nhân của trẻ em, người bị mất hoặc hạn chế năng lực hành vi dân sự, người có khó khăn trong nhận thức, làm chủ hành vi trong trường hợp sau đây:</w:t>
      </w:r>
    </w:p>
    <w:p w14:paraId="7453F7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14:paraId="544A754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14:paraId="4781791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25. Bảo vệ dữ liệu cá nhân trong tuyển dụng, quản lý, sử dụng người lao động</w:t>
      </w:r>
    </w:p>
    <w:p w14:paraId="4D1004F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Trách nhiệm bảo vệ dữ liệu cá nhân của cơ quan, tổ chức, cá nhân trong tuyển dụng lao động được quy định như sau:</w:t>
      </w:r>
    </w:p>
    <w:p w14:paraId="7A9BFAE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14:paraId="4CF57B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Thông tin cung cấp phải được xử lý theo quy định của pháp luật và phải được sự đồng ý của người dự tuyển;</w:t>
      </w:r>
    </w:p>
    <w:p w14:paraId="008D33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Phải xóa, hủy thông tin đã cung cấp của người dự tuyển trong trường hợp không tuyển dụng, trừ trường hợp có thỏa thuận khác với người đã dự tuyển;</w:t>
      </w:r>
    </w:p>
    <w:p w14:paraId="43FFAD7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Trách nhiệm bảo vệ dữ liệu cá nhân của cơ quan, tổ chức, cá nhân trong quản lý, sử dụng người lao động được quy định như sau:</w:t>
      </w:r>
    </w:p>
    <w:p w14:paraId="42ADC69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Tuân thủ quy định của Luật này, pháp luật về lao động, việc làm, pháp luật về dữ liệu và quy định khác của pháp luật có liên quan;</w:t>
      </w:r>
    </w:p>
    <w:p w14:paraId="1FA9059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Dữ liệu cá nhân của người lao động phải lưu trữ trong thời hạn theo quy định của pháp luật hoặc theo thỏa thuận;</w:t>
      </w:r>
    </w:p>
    <w:p w14:paraId="3248778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Phải xóa, hủy dữ liệu cá nhân của người lao động khi chấm dứt hợp đồng, trừ trường hợp theo thỏa thuận hoặc pháp luật có quy định khác.</w:t>
      </w:r>
    </w:p>
    <w:p w14:paraId="211E51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xử lý dữ liệu cá nhân của người lao động được thu thập bằng biện pháp công nghệ, kỹ thuật trong quản lý người lao động được quy định như sau:</w:t>
      </w:r>
    </w:p>
    <w:p w14:paraId="23305FA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áp dụng các biện pháp công nghệ, kỹ thuật phù hợp với quy định của pháp luật và bảo đảm quyền, lợi ích của chủ thể dữ liệu cá nhân, trên cơ sở người lao động biết rõ biện pháp đó;</w:t>
      </w:r>
    </w:p>
    <w:p w14:paraId="11D30CB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được xử lý, sử dụng dữ liệu cá nhân thu thập từ các biện pháp công nghệ, kỹ thuật trái quy định của pháp luật.</w:t>
      </w:r>
    </w:p>
    <w:p w14:paraId="689ADF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26. Bảo vệ dữ liệu cá nhân đối với thông tin sức khỏe và trong hoạt động kinh doanh bảo hiểm</w:t>
      </w:r>
    </w:p>
    <w:p w14:paraId="188BA5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Việc bảo vệ dữ liệu cá nhân đối với các thông tin sức khỏe và trong hoạt động kinh doanh bảo hiểm được quy định như sau:</w:t>
      </w:r>
    </w:p>
    <w:p w14:paraId="404826F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Phải có sự đồng ý của chủ thể dữ liệu cá nhân trong quá trình thu thập, xử lý dữ liệu cá nhân, trừ trường hợp quy định tại khoản 1 Điều 19 của Luật này;</w:t>
      </w:r>
    </w:p>
    <w:p w14:paraId="2B0C790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Áp dụng đầy đủ quy định về bảo vệ dữ liệu cá nhân, quy định khác của pháp luật có liên quan.</w:t>
      </w:r>
    </w:p>
    <w:p w14:paraId="188BAF1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khoản 1 Điều 19 của Luật này.</w:t>
      </w:r>
    </w:p>
    <w:p w14:paraId="41C93CB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Tổ chức, cá nhân phát triển ứng dụng về y tế, ứng dụng về kinh doanh bảo hiểm phải tuân thủ đầy đủ quy định về bảo vệ dữ liệu cá nhân.</w:t>
      </w:r>
    </w:p>
    <w:p w14:paraId="602AB1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doanh nghiệp kinh doanh tái bảo hiểm, nhượng tái bảo hiểm và có chuyển dữ liệu cá nhân cho đối tác cần được nêu rõ trong hợp đồng với khách hàng.</w:t>
      </w:r>
    </w:p>
    <w:p w14:paraId="60E5ECA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27. Bảo vệ dữ liệu cá nhân trong hoạt động tài chính, ngân hàng, hoạt động thông tin tín dụng</w:t>
      </w:r>
    </w:p>
    <w:p w14:paraId="6FB5A4A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hoạt động trong lĩnh vực tài chính, ngân hàng, hoạt động thông tin tín dụng có trách nhiệm sau đây:</w:t>
      </w:r>
    </w:p>
    <w:p w14:paraId="2679910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Thực hiện đầy đủ quy định về bảo vệ dữ liệu cá nhân nhạy cảm, các tiêu chuẩn an toàn, bảo mật trong hoạt động tài chính, ngân hàng theo quy định của pháp luật;</w:t>
      </w:r>
    </w:p>
    <w:p w14:paraId="20BD799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14:paraId="1FEF14C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Chỉ thu thập những dữ liệu cá nhân cần thiết phục vụ cho hoạt động thông tin tín dụng từ các nguồn phù hợp với quy định của Luật này và các quy định khác của pháp luật có liên quan;</w:t>
      </w:r>
    </w:p>
    <w:p w14:paraId="31FC54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Thông báo cho chủ thể dữ liệu cá nhân trong trường hợp lộ, mất thông tin về tài khoản ngân hàng, tài chính, tín dụng, thông tin tín dụng.</w:t>
      </w:r>
    </w:p>
    <w:p w14:paraId="383FE6C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14:paraId="0684A8C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Chính phủ quy định chi tiết Điều này.</w:t>
      </w:r>
    </w:p>
    <w:p w14:paraId="2A4B76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28. Bảo vệ dữ liệu cá nhân trong kinh doanh dịch vụ quảng cáo</w:t>
      </w:r>
    </w:p>
    <w:p w14:paraId="2C1DD7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Điều 4 của Luật này.</w:t>
      </w:r>
    </w:p>
    <w:p w14:paraId="0FE824E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chỉ được chuyển dữ liệu cá nhân cho tổ chức, cá nhân kinh doanh dịch vụ quảng cáo theo quy định của pháp luật.</w:t>
      </w:r>
    </w:p>
    <w:p w14:paraId="57DC5A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14:paraId="3B8CB7F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sử dụng dữ liệu cá nhân để quảng cáo phải phù hợp với quy định của pháp luật về phòng, chống tin nhắn rác, thư điện tử rác, cuộc gọi rác và quy định của pháp luật về quảng cáo.</w:t>
      </w:r>
    </w:p>
    <w:p w14:paraId="207B29E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14:paraId="3004016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Tổ chức, cá nhân kinh doanh dịch vụ quảng cáo không được thuê lại hoặc thỏa thuận để tổ chức, cá nhân khác thay mặt mình thực hiện toàn bộ dịch vụ quảng cáo có sử dụng dữ liệu cá nhân.</w:t>
      </w:r>
    </w:p>
    <w:p w14:paraId="24B5940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14:paraId="64FC5CF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8. Tổ chức, cá nhân khi sử dụng dữ liệu cá nhân để quảng cáo theo hành vi hoặc có mục tiêu cụ thể hoặc cá nhân hóa quảng cáo phải tuân thủ quy định tại Điều này và các quy định sau đây:</w:t>
      </w:r>
    </w:p>
    <w:p w14:paraId="4087E8D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thu thập dữ liệu cá nhân thông qua việc theo dõi trang thông tin điện tử, cổng thông tin điện tử, ứng dụng khi có sự đồng ý của chủ thể dữ liệu cá nhân;</w:t>
      </w:r>
    </w:p>
    <w:p w14:paraId="38FD64C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Phải thiết lập phương thức cho phép chủ thể dữ liệu cá nhân từ chối chia sẻ dữ liệu; xác định thời gian lưu trữ; xóa, hủy dữ liệu khi không còn cần thiết.</w:t>
      </w:r>
    </w:p>
    <w:p w14:paraId="6C0F7E0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29. Bảo vệ dữ liệu cá nhân đối với các nền tảng mạng xã hội, dịch vụ truyền thông trực tuyến</w:t>
      </w:r>
    </w:p>
    <w:p w14:paraId="2963CA8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Tổ chức, cá nhân cung cấp dịch vụ mạng xã hội, dịch vụ truyền thông trực tuyến có trách nhiệm sau đây:</w:t>
      </w:r>
    </w:p>
    <w:p w14:paraId="745DAF8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Thông báo rõ ràng nội dung dữ liệu cá nhân thu thập khi chủ thể dữ liệu cá nhân cài đặt và sử dụng mạng xã hội, dịch vụ truyền thông trực tuyến; không thu thập trái phép dữ liệu cá nhân và ngoài phạm vi theo thỏa thuận với khách hàng;</w:t>
      </w:r>
    </w:p>
    <w:p w14:paraId="4923AC0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Không được yêu cầu cung cấp hình ảnh, video chứa nội dung đầy đủ hoặc một phần giấy tờ tùy thân làm yếu tố xác thực tài khoản;</w:t>
      </w:r>
    </w:p>
    <w:p w14:paraId="788A73C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Cung cấp lựa chọn cho phép người dùng từ chối thu thập và chia sẻ tệp dữ liệu (gọi là cookies);</w:t>
      </w:r>
    </w:p>
    <w:p w14:paraId="7289B70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Cung cấp lựa chọn “không theo dõi” hoặc chỉ được theo dõi hoạt động sử dụng mạng xã hội, dịch vụ truyền thông trực tuyến khi có sự đồng ý của người sử dụng;</w:t>
      </w:r>
    </w:p>
    <w:p w14:paraId="2840221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Không nghe lén, nghe trộm hoặc ghi âm cuộc gọi và đọc tin nhắn văn bản khi không có sự đồng ý của chủ thể dữ liệu cá nhân, trừ trường hợp pháp luật có quy định khác;</w:t>
      </w:r>
    </w:p>
    <w:p w14:paraId="3F68F1B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14:paraId="380E1B7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30. Bảo vệ dữ liệu cá nhân trong xử lý dữ liệu lớn, trí tuệ nhân tạo, chuỗi khối, vũ trụ ảo, điện toán đám mây</w:t>
      </w:r>
    </w:p>
    <w:p w14:paraId="1040E5E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14:paraId="24C156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14:paraId="28321F7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14:paraId="25EDFAF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xử lý dữ liệu cá nhân bằng trí tuệ nhân tạo phải thực hiện phân loại theo mức độ rủi ro để có biện pháp bảo vệ dữ liệu cá nhân phù hợp.</w:t>
      </w:r>
    </w:p>
    <w:p w14:paraId="35C27ED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14:paraId="0188200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Chính phủ quy định chi tiết Điều này.</w:t>
      </w:r>
    </w:p>
    <w:p w14:paraId="5E404E1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31. Bảo vệ dữ liệu cá nhân đối với dữ liệu vị trí cá nhân, dữ liệu sinh trắc học</w:t>
      </w:r>
    </w:p>
    <w:p w14:paraId="64004A4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vị trí cá nhân là dữ liệu được xác định thông qua công nghệ định vị để biết vị trí và giúp xác định con người cụ thể.</w:t>
      </w:r>
    </w:p>
    <w:p w14:paraId="7A2F6CF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Dữ liệu sinh trắc học là dữ liệu về thuộc tính vật lý, đặc điểm sinh học cá biệt và ổn định của một người để xác định người đó.</w:t>
      </w:r>
    </w:p>
    <w:p w14:paraId="08756A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bảo vệ dữ liệu cá nhân đối với dữ liệu vị trí cá nhân được quy định như sau:</w:t>
      </w:r>
    </w:p>
    <w:p w14:paraId="1B87421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14:paraId="2EFED29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14:paraId="00E1656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bảo vệ dữ liệu sinh trắc học quy định như sau:</w:t>
      </w:r>
    </w:p>
    <w:p w14:paraId="61FB56D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14:paraId="023F41B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p>
    <w:p w14:paraId="4FC8AC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32. Bảo vệ dữ liệu cá nhân thu được từ hoạt động ghi âm, ghi hình tại nơi công cộng, hoạt động công cộng</w:t>
      </w:r>
    </w:p>
    <w:p w14:paraId="609330D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14:paraId="09C6B51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Để thực hiện nhiệm vụ quốc phòng, bảo vệ an ninh quốc gia, bảo đảm trật tự, an toàn xã hội, bảo vệ quyền, lợi ích hợp pháp của cơ quan, tổ chức, cá nhân;</w:t>
      </w:r>
    </w:p>
    <w:p w14:paraId="271D807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14:paraId="31D6BBB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Trường hợp khác theo quy định của pháp luật.</w:t>
      </w:r>
    </w:p>
    <w:p w14:paraId="15EC047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14:paraId="1A7430C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14:paraId="7680438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14:paraId="31AC1200">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14:paraId="226A30B1">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13B500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III</w:t>
      </w:r>
    </w:p>
    <w:p w14:paraId="4B7B22EB">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LỰC LƯỢNG, ĐIỀU KIỆN BẢO ĐẢM BẢO VỆ DỮ LIỆU CÁ NHÂN</w:t>
      </w:r>
    </w:p>
    <w:p w14:paraId="0A7CED2F">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4DF7788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33. Lực lượng bảo vệ dữ liệu cá nhân</w:t>
      </w:r>
    </w:p>
    <w:p w14:paraId="29D8714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Lực lượng bảo vệ dữ liệu cá nhân bao gồm:</w:t>
      </w:r>
    </w:p>
    <w:p w14:paraId="6F7E38C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Cơ quan chuyên trách bảo vệ dữ liệu cá nhân thuộc Bộ Công an;</w:t>
      </w:r>
    </w:p>
    <w:p w14:paraId="585647B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Bộ phận, nhân sự bảo vệ dữ liệu cá nhân trong cơ quan, tổ chức;</w:t>
      </w:r>
    </w:p>
    <w:p w14:paraId="010B4F9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Tổ chức, cá nhân cung cấp dịch vụ bảo vệ dữ liệu cá nhân;</w:t>
      </w:r>
    </w:p>
    <w:p w14:paraId="29FA231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Tổ chức, cá nhân được huy động tham gia bảo vệ dữ liệu cá nhân.</w:t>
      </w:r>
    </w:p>
    <w:p w14:paraId="7C20CFC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tổ chức có trách nhiệm chỉ định bộ phận, nhân sự đủ điều kiện năng lực bảo vệ dữ liệu cá nhân hoặc thuê tổ chức, cá nhân cung cấp dịch vụ bảo vệ dữ liệu cá nhân.</w:t>
      </w:r>
    </w:p>
    <w:p w14:paraId="11D08B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p>
    <w:p w14:paraId="0873745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34. Tiêu chuẩn, quy chuẩn kỹ thuật về bảo vệ dữ liệu cá nhân</w:t>
      </w:r>
    </w:p>
    <w:p w14:paraId="50425EA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14:paraId="1D35357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14:paraId="1D50A3B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ban hành tiêu chuẩn, quy chuẩn kỹ thuật về bảo vệ dữ liệu cá nhân thực hiện theo quy định của pháp luật về tiêu chuẩn và quy chuẩn kỹ thuật.</w:t>
      </w:r>
    </w:p>
    <w:p w14:paraId="39A597F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35. Kiểm tra hoạt động bảo vệ dữ liệu cá nhân</w:t>
      </w:r>
    </w:p>
    <w:p w14:paraId="20C4D66C">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Việc kiểm tra hoạt động bảo vệ dữ liệu cá nhân được thực hiện theo quy định của Luật này và theo quy định của Chính phủ.</w:t>
      </w:r>
    </w:p>
    <w:p w14:paraId="0CD5CE8E">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A62BD55">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IV</w:t>
      </w:r>
    </w:p>
    <w:p w14:paraId="79064662">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TRÁCH NHIỆM CỦA CƠ QUAN, TỔ CHỨC, CÁ NHÂN  VỀ BẢO VỆ DỮ LIỆU CÁ NHÂN</w:t>
      </w:r>
    </w:p>
    <w:p w14:paraId="21BD978E">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00C71C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36. Trách nhiệm quản lý nhà nước về bảo vệ dữ liệu cá nhân</w:t>
      </w:r>
    </w:p>
    <w:p w14:paraId="718A3C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Chính phủ thống nhất thực hiện quản lý nhà nước về bảo vệ dữ liệu cá nhân.</w:t>
      </w:r>
    </w:p>
    <w:p w14:paraId="5F46FC1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Bộ Công an là cơ quan đầu mối chịu trách nhiệm trước Chính phủ thực hiện quản lý nhà nước về bảo vệ dữ liệu cá nhân, trừ nội dung thuộc phạm vi quản lý của Bộ Quốc phòng.</w:t>
      </w:r>
    </w:p>
    <w:p w14:paraId="4142B13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Bộ Quốc phòng chịu trách nhiệm trước Chính phủ thực hiện quản lý nhà nước về bảo vệ dữ liệu cá nhân thuộc phạm vi quản lý.</w:t>
      </w:r>
    </w:p>
    <w:p w14:paraId="3694514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14:paraId="730019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Ủy ban nhân dân cấp tỉnh thực hiện quản lý nhà nước về bảo vệ dữ liệu cá nhân theo quy định của pháp luật và chức năng, nhiệm vụ được giao.</w:t>
      </w:r>
    </w:p>
    <w:p w14:paraId="65DECFC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37. Trách nhiệm của bên kiểm soát dữ liệu cá nhân, bên xử lý dữ liệu cá nhân, bên kiểm soát và xử lý dữ liệu cá nhân</w:t>
      </w:r>
    </w:p>
    <w:p w14:paraId="2FD64A2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Trách nhiệm của bên kiểm soát dữ liệu cá nhân như sau:</w:t>
      </w:r>
    </w:p>
    <w:p w14:paraId="4AE6B45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14:paraId="0FA184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Quyết định mục đích và phương tiện xử lý dữ liệu cá nhân tại các văn bản, thỏa thuận với chủ thể dữ liệu cá nhân, bảo đảm đúng nguyên tắc và nội dung theo quy định của Luật này;</w:t>
      </w:r>
    </w:p>
    <w:p w14:paraId="426288D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Thực hiện biện pháp quản lý, kỹ thuật phù hợp để bảo vệ dữ liệu cá nhân theo quy định của pháp luật, rà soát và cập nhật các biện pháp này khi cần thiết;</w:t>
      </w:r>
    </w:p>
    <w:p w14:paraId="5927826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Thông báo hành vi vi phạm quy định về bảo vệ dữ liệu cá nhân theo quy định tại Điều 23 của Luật này;</w:t>
      </w:r>
    </w:p>
    <w:p w14:paraId="5BC1B5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Lựa chọn bên xử lý dữ liệu cá nhân phù hợp để xử lý dữ liệu cá nhân;</w:t>
      </w:r>
    </w:p>
    <w:p w14:paraId="316B4F2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Bảo đảm các quyền của chủ thể dữ liệu cá nhân theo quy định tại Điều 4 của Luật này;</w:t>
      </w:r>
    </w:p>
    <w:p w14:paraId="7CC78F6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Chịu trách nhiệm trước chủ thể dữ liệu cá nhân về các thiệt hại do quá trình xử lý dữ liệu cá nhân gây ra;</w:t>
      </w:r>
    </w:p>
    <w:p w14:paraId="0ED4A01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Ngăn chặn hoạt động thu thập dữ liệu cá nhân trái phép từ hệ thống, trang thiết bị, dịch vụ của mình;</w:t>
      </w:r>
    </w:p>
    <w:p w14:paraId="0E0F0F3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i) Phối hợp với Bộ Công an, cơ quan nhà nước có thẩm quyền trong bảo vệ dữ liệu cá nhân, cung cấp thông tin phục vụ điều tra, xử lý hành vi vi phạm pháp luật về bảo vệ dữ liệu cá nhân;</w:t>
      </w:r>
    </w:p>
    <w:p w14:paraId="72C8726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Thực hiện các trách nhiệm khác theo quy định của Luật này và quy định khác của pháp luật có liên quan.</w:t>
      </w:r>
    </w:p>
    <w:p w14:paraId="0EDA7C3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Trách nhiệm của bên xử lý dữ liệu cá nhân như sau:</w:t>
      </w:r>
    </w:p>
    <w:p w14:paraId="6EDC21D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tiếp nhận dữ liệu cá nhân sau khi có thỏa thuận, hợp đồng về xử lý dữ liệu cá nhân với bên kiểm soát dữ liệu cá nhân, bên kiểm soát và xử lý dữ liệu cá nhân;</w:t>
      </w:r>
    </w:p>
    <w:p w14:paraId="0E0C445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Xử lý dữ liệu cá nhân theo đúng thỏa thuận, hợp đồng ký kết với bên kiểm soát dữ liệu cá nhân, bên kiểm soát và xử lý dữ liệu cá nhân;</w:t>
      </w:r>
    </w:p>
    <w:p w14:paraId="07A5F5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Thực hiện đầy đủ các biện pháp bảo vệ dữ liệu cá nhân theo quy định của Luật này và các quy định khác của pháp luật có liên quan;</w:t>
      </w:r>
    </w:p>
    <w:p w14:paraId="04CBD9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Chịu trách nhiệm trước bên kiểm soát dữ liệu cá nhân, bên kiểm soát và xử lý dữ liệu cá nhân về thiệt hại do quá trình xử lý dữ liệu cá nhân gây ra;</w:t>
      </w:r>
    </w:p>
    <w:p w14:paraId="1B612B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Ngăn chặn hoạt động thu thập dữ liệu cá nhân trái phép từ hệ thống, trang thiết bị, dịch vụ của mình;</w:t>
      </w:r>
    </w:p>
    <w:p w14:paraId="79D08AD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Phối hợp với Bộ Công an, cơ quan nhà nước có thẩm quyền trong bảo vệ dữ liệu cá nhân, cung cấp thông tin phục vụ điều tra, xử lý hành vi vi phạm pháp luật về bảo vệ dữ liệu cá nhân;</w:t>
      </w:r>
    </w:p>
    <w:p w14:paraId="506BA3B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Thực hiện các trách nhiệm khác theo quy định của Luật này và quy định khác của pháp luật có liên quan.</w:t>
      </w:r>
    </w:p>
    <w:p w14:paraId="4C755BB5">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Bên kiểm soát và xử lý dữ liệu cá nhân có trách nhiệm thực hiện đầy đủ các quy định tại khoản 1 và khoản 2 Điều này.</w:t>
      </w:r>
    </w:p>
    <w:p w14:paraId="29437163">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4D4C049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V</w:t>
      </w:r>
    </w:p>
    <w:p w14:paraId="785A27BE">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KHOẢN THI HÀNH</w:t>
      </w:r>
    </w:p>
    <w:p w14:paraId="0EF403C1">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5B398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38. Hiệu lực thi hành</w:t>
      </w:r>
    </w:p>
    <w:p w14:paraId="45DB8BD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Luật này có hiệu lực thi hành từ ngày 01 tháng 01 năm 2026.</w:t>
      </w:r>
    </w:p>
    <w:p w14:paraId="128FE43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Doanh nghiệp nhỏ, doanh nghiệp khởi nghiệp được quyền lựa chọn thực hiện hoặc không thực hiện quy định tại Điều 21, Điều 22 và khoản 2 Điều 33 của Luật này 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thể dữ liệu cá nhân.</w:t>
      </w:r>
    </w:p>
    <w:p w14:paraId="3533AF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Hộ kinh doanh, doanh nghiệp siêu nhỏ không phải thực hiện quy định tại Điều 21, Điều 22 và khoản 2 Điều 33 của Luật này, trừ hộ kinh doanh, doanh nghiệp siêu nhỏ kinh doanh dịch vụ xử lý dữ liệu cá nhân, trực tiếp xử lý dữ liệu cá nhân nhạy cảm hoặc xử lý dữ liệu cá nhân của số lượng lớn chủ thể dữ liệu cá nhân.</w:t>
      </w:r>
    </w:p>
    <w:p w14:paraId="1AE796E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Chính phủ quy định chi tiết khoản 2 và khoản 3 Điều này.</w:t>
      </w:r>
    </w:p>
    <w:p w14:paraId="4194FCF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bookmarkStart w:id="3" w:name="_GoBack"/>
      <w:r>
        <w:rPr>
          <w:rFonts w:ascii="Arial" w:hAnsi="Arial" w:cs="Arial"/>
          <w:b/>
          <w:color w:val="000000" w:themeColor="text1"/>
          <w:sz w:val="20"/>
          <w:szCs w:val="20"/>
          <w14:textFill>
            <w14:solidFill>
              <w14:schemeClr w14:val="tx1"/>
            </w14:solidFill>
          </w14:textFill>
        </w:rPr>
        <w:t>Điều 39. Quy định chuyển tiếp</w:t>
      </w:r>
    </w:p>
    <w:p w14:paraId="0BB8D8B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Hoạt động xử lý dữ liệu cá nhân đang thực hiện mà đã được chủ thể dữ liệu cá nhân đồng ý hoặc theo thỏa thuận theo quy định của Nghị định số 13/2023/NĐ-CP ngày 17 tháng 4 năm 2023 của Chính phủ trước ngày Luật này có hiệu lực thi hành thì tiếp tục thực hiện, không phải xin đồng ý lại hoặc thỏa thuận lại.</w:t>
      </w:r>
    </w:p>
    <w:p w14:paraId="4D5F71B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Hồ sơ đánh giá tác động xử lý dữ liệu cá nhân, hồ sơ đánh giá tác động chuyển dữ liệu cá nhân ra nước ngoài theo quy định của Nghị định số 13/2023/NĐ-CP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bookmarkEnd w:id="3"/>
    <w:p w14:paraId="423B948C">
      <w:pPr>
        <w:adjustRightInd w:val="0"/>
        <w:snapToGrid w:val="0"/>
        <w:spacing w:after="120" w:line="240" w:lineRule="auto"/>
        <w:ind w:firstLine="720"/>
        <w:jc w:val="both"/>
        <w:rPr>
          <w:rFonts w:ascii="Arial" w:hAnsi="Arial" w:cs="Arial"/>
          <w:color w:val="000000" w:themeColor="text1"/>
          <w:sz w:val="20"/>
          <w:szCs w:val="20"/>
          <w:vertAlign w:val="superscript"/>
          <w14:textFill>
            <w14:solidFill>
              <w14:schemeClr w14:val="tx1"/>
            </w14:solidFill>
          </w14:textFill>
        </w:rPr>
      </w:pPr>
      <w:r>
        <w:rPr>
          <w:rFonts w:ascii="Arial" w:hAnsi="Arial" w:cs="Arial"/>
          <w:color w:val="000000" w:themeColor="text1"/>
          <w:sz w:val="20"/>
          <w:szCs w:val="20"/>
          <w:vertAlign w:val="superscript"/>
          <w14:textFill>
            <w14:solidFill>
              <w14:schemeClr w14:val="tx1"/>
            </w14:solidFill>
          </w14:textFill>
        </w:rPr>
        <w:t>__________________________________________________________________________</w:t>
      </w:r>
    </w:p>
    <w:p w14:paraId="6199ABDA">
      <w:pPr>
        <w:adjustRightInd w:val="0"/>
        <w:snapToGrid w:val="0"/>
        <w:spacing w:after="120" w:line="240" w:lineRule="auto"/>
        <w:ind w:firstLine="720"/>
        <w:jc w:val="both"/>
        <w:rPr>
          <w:rFonts w:ascii="Arial" w:hAnsi="Arial" w:cs="Arial"/>
          <w:i/>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Luật này được Quốc hội nước Cộng hòa xã hội chủ nghĩa Việt Nam khóa XV, kỳ họp thứ 9 thông qua ngày 26 tháng 6 năm 2025.</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gridCol w:w="4621"/>
      </w:tblGrid>
      <w:tr w14:paraId="325E9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Pr>
          <w:p w14:paraId="4ECF34E8">
            <w:pPr>
              <w:adjustRightInd w:val="0"/>
              <w:snapToGrid w:val="0"/>
              <w:spacing w:after="0" w:line="240" w:lineRule="auto"/>
              <w:jc w:val="center"/>
              <w:rPr>
                <w:rFonts w:ascii="Arial" w:hAnsi="Arial" w:cs="Arial"/>
                <w:iCs/>
                <w:color w:val="000000" w:themeColor="text1"/>
                <w:sz w:val="20"/>
                <w:szCs w:val="20"/>
                <w14:textFill>
                  <w14:solidFill>
                    <w14:schemeClr w14:val="tx1"/>
                  </w14:solidFill>
                </w14:textFill>
              </w:rPr>
            </w:pPr>
          </w:p>
        </w:tc>
        <w:tc>
          <w:tcPr>
            <w:tcW w:w="2500" w:type="pct"/>
          </w:tcPr>
          <w:p w14:paraId="3306ABCF">
            <w:pPr>
              <w:adjustRightInd w:val="0"/>
              <w:snapToGrid w:val="0"/>
              <w:spacing w:after="0" w:line="240" w:lineRule="auto"/>
              <w:jc w:val="center"/>
              <w:rPr>
                <w:rFonts w:ascii="Arial" w:hAnsi="Arial" w:cs="Arial"/>
                <w:b/>
                <w:bCs/>
                <w:iCs/>
                <w:color w:val="000000" w:themeColor="text1"/>
                <w:sz w:val="20"/>
                <w:szCs w:val="20"/>
                <w14:textFill>
                  <w14:solidFill>
                    <w14:schemeClr w14:val="tx1"/>
                  </w14:solidFill>
                </w14:textFill>
              </w:rPr>
            </w:pPr>
            <w:r>
              <w:rPr>
                <w:rFonts w:ascii="Arial" w:hAnsi="Arial" w:cs="Arial"/>
                <w:b/>
                <w:bCs/>
                <w:iCs/>
                <w:color w:val="000000" w:themeColor="text1"/>
                <w:sz w:val="20"/>
                <w:szCs w:val="20"/>
                <w14:textFill>
                  <w14:solidFill>
                    <w14:schemeClr w14:val="tx1"/>
                  </w14:solidFill>
                </w14:textFill>
              </w:rPr>
              <w:t>CHỦ TỊCH QUỐC HỘI</w:t>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p>
          <w:p w14:paraId="7E2D7E98">
            <w:pPr>
              <w:adjustRightInd w:val="0"/>
              <w:snapToGrid w:val="0"/>
              <w:spacing w:after="0" w:line="240" w:lineRule="auto"/>
              <w:jc w:val="center"/>
              <w:rPr>
                <w:rFonts w:ascii="Arial" w:hAnsi="Arial" w:cs="Arial"/>
                <w:iCs/>
                <w:color w:val="000000" w:themeColor="text1"/>
                <w:sz w:val="20"/>
                <w:szCs w:val="20"/>
                <w14:textFill>
                  <w14:solidFill>
                    <w14:schemeClr w14:val="tx1"/>
                  </w14:solidFill>
                </w14:textFill>
              </w:rPr>
            </w:pPr>
            <w:r>
              <w:rPr>
                <w:rFonts w:ascii="Arial" w:hAnsi="Arial" w:cs="Arial"/>
                <w:b/>
                <w:bCs/>
                <w:iCs/>
                <w:color w:val="000000" w:themeColor="text1"/>
                <w:sz w:val="20"/>
                <w:szCs w:val="20"/>
                <w14:textFill>
                  <w14:solidFill>
                    <w14:schemeClr w14:val="tx1"/>
                  </w14:solidFill>
                </w14:textFill>
              </w:rPr>
              <w:t>Trần Thanh Mẫn</w:t>
            </w:r>
          </w:p>
        </w:tc>
      </w:tr>
    </w:tbl>
    <w:p w14:paraId="31BF33A6">
      <w:pPr>
        <w:adjustRightInd w:val="0"/>
        <w:snapToGrid w:val="0"/>
        <w:spacing w:after="0" w:line="240" w:lineRule="auto"/>
        <w:jc w:val="center"/>
        <w:rPr>
          <w:rFonts w:ascii="Arial" w:hAnsi="Arial" w:cs="Arial"/>
          <w:iCs/>
          <w:color w:val="000000" w:themeColor="text1"/>
          <w:sz w:val="20"/>
          <w:szCs w:val="20"/>
          <w14:textFill>
            <w14:solidFill>
              <w14:schemeClr w14:val="tx1"/>
            </w14:solidFill>
          </w14:textFill>
        </w:rPr>
      </w:pPr>
    </w:p>
    <w:p w14:paraId="5F62C38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p>
    <w:sectPr>
      <w:footerReference r:id="rId5" w:type="default"/>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游明朝">
    <w:altName w:val="SimSun"/>
    <w:panose1 w:val="00000000000000000000"/>
    <w:charset w:val="86"/>
    <w:family w:val="auto"/>
    <w:pitch w:val="default"/>
    <w:sig w:usb0="00000000" w:usb1="00000000" w:usb2="00000000" w:usb3="00000000" w:csb0="0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4D572">
    <w:pPr>
      <w:pStyle w:val="4"/>
    </w:pPr>
    <w:bookmarkStart w:id="0" w:name="_Hlk178258942"/>
    <w:bookmarkEnd w:id="0"/>
    <w:bookmarkStart w:id="1" w:name="_Hlk178258943"/>
    <w:bookmarkEnd w:id="1"/>
    <w:bookmarkStart w:id="2" w:name="_Hlk178322814"/>
    <w:bookmarkEnd w:id="2"/>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0D2"/>
    <w:rsid w:val="003B5F59"/>
    <w:rsid w:val="004F43FC"/>
    <w:rsid w:val="006F7F8F"/>
    <w:rsid w:val="007A0C93"/>
    <w:rsid w:val="007E2011"/>
    <w:rsid w:val="008B33BF"/>
    <w:rsid w:val="009C20D2"/>
    <w:rsid w:val="00A50CF0"/>
    <w:rsid w:val="00A53EF1"/>
    <w:rsid w:val="00B37C0F"/>
    <w:rsid w:val="00C21852"/>
    <w:rsid w:val="00CF5F46"/>
    <w:rsid w:val="00DD068B"/>
    <w:rsid w:val="00DF2CDA"/>
    <w:rsid w:val="00F4257B"/>
    <w:rsid w:val="00FC7CEF"/>
    <w:rsid w:val="7DBE79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12084</Words>
  <Characters>40646</Characters>
  <Lines>374</Lines>
  <Paragraphs>105</Paragraphs>
  <TotalTime>26</TotalTime>
  <ScaleCrop>false</ScaleCrop>
  <LinksUpToDate>false</LinksUpToDate>
  <CharactersWithSpaces>52371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2025-07-10T01:25:00Z</dcterms:created>
  <dc:creator>Admin</dc:creator>
  <cp:lastModifiedBy>Phúc Châu</cp:lastModifiedBy>
  <dcterms:modified xsi:type="dcterms:W3CDTF">2026-09-21T09:54:11Z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440FBF8E4CF74F19AEEC103E35DCE6EA_12</vt:lpwstr>
  </property>
</Properties>
</file>