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0" w:type="dxa"/>
          <w:bottom w:w="0" w:type="dxa"/>
          <w:right w:w="0" w:type="dxa"/>
        </w:tblCellMar>
      </w:tblPr>
      <w:tblGrid>
        <w:gridCol w:w="3327"/>
        <w:gridCol w:w="5915"/>
      </w:tblGrid>
      <w:tr w14:paraId="0EA58BC9">
        <w:tblPrEx>
          <w:tblCellMar>
            <w:top w:w="0" w:type="dxa"/>
            <w:left w:w="0" w:type="dxa"/>
            <w:bottom w:w="0" w:type="dxa"/>
            <w:right w:w="0" w:type="dxa"/>
          </w:tblCellMar>
        </w:tblPrEx>
        <w:trPr>
          <w:trHeight w:val="920" w:hRule="atLeast"/>
        </w:trPr>
        <w:tc>
          <w:tcPr>
            <w:tcW w:w="1800" w:type="pct"/>
            <w:tcMar>
              <w:top w:w="0" w:type="dxa"/>
              <w:left w:w="108" w:type="dxa"/>
              <w:bottom w:w="0" w:type="dxa"/>
              <w:right w:w="108" w:type="dxa"/>
            </w:tcMar>
          </w:tcPr>
          <w:p w14:paraId="509BB461">
            <w:pPr>
              <w:jc w:val="center"/>
              <w:rPr>
                <w:rFonts w:ascii="Arial" w:hAnsi="Arial" w:cs="Arial"/>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CHÍNH PHỦ</w:t>
            </w:r>
            <w:r>
              <w:rPr>
                <w:rFonts w:ascii="Arial" w:hAnsi="Arial" w:cs="Arial"/>
                <w:b/>
                <w:bCs/>
                <w:color w:val="000000" w:themeColor="text1"/>
                <w:sz w:val="20"/>
                <w:szCs w:val="20"/>
                <w14:textFill>
                  <w14:solidFill>
                    <w14:schemeClr w14:val="tx1"/>
                  </w14:solidFill>
                </w14:textFill>
              </w:rPr>
              <w:br w:type="textWrapping"/>
            </w:r>
            <w:r>
              <w:rPr>
                <w:rFonts w:ascii="Arial" w:hAnsi="Arial" w:cs="Arial"/>
                <w:bCs/>
                <w:color w:val="000000" w:themeColor="text1"/>
                <w:sz w:val="20"/>
                <w:szCs w:val="20"/>
                <w:vertAlign w:val="superscript"/>
                <w14:textFill>
                  <w14:solidFill>
                    <w14:schemeClr w14:val="tx1"/>
                  </w14:solidFill>
                </w14:textFill>
              </w:rPr>
              <w:t>__________</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Số: 356/2025/NĐ-CP</w:t>
            </w:r>
          </w:p>
        </w:tc>
        <w:tc>
          <w:tcPr>
            <w:tcW w:w="3200" w:type="pct"/>
            <w:tcMar>
              <w:top w:w="0" w:type="dxa"/>
              <w:left w:w="108" w:type="dxa"/>
              <w:bottom w:w="0" w:type="dxa"/>
              <w:right w:w="108" w:type="dxa"/>
            </w:tcMar>
          </w:tcPr>
          <w:p w14:paraId="0F717516">
            <w:pPr>
              <w:jc w:val="center"/>
              <w:rPr>
                <w:rFonts w:ascii="Arial" w:hAnsi="Arial" w:cs="Arial"/>
                <w:i/>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CỘNG HÒA XÃ HỘI CHỦ NGHĨA VIỆT NAM</w:t>
            </w:r>
            <w:r>
              <w:rPr>
                <w:rFonts w:ascii="Arial" w:hAnsi="Arial" w:cs="Arial"/>
                <w:b/>
                <w:bCs/>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14:textFill>
                  <w14:solidFill>
                    <w14:schemeClr w14:val="tx1"/>
                  </w14:solidFill>
                </w14:textFill>
              </w:rPr>
              <w:t xml:space="preserve">Độc lập - Tự do - Hạnh phúc </w:t>
            </w:r>
            <w:r>
              <w:rPr>
                <w:rFonts w:ascii="Arial" w:hAnsi="Arial" w:cs="Arial"/>
                <w:b/>
                <w:bCs/>
                <w:color w:val="000000" w:themeColor="text1"/>
                <w:sz w:val="20"/>
                <w:szCs w:val="20"/>
                <w14:textFill>
                  <w14:solidFill>
                    <w14:schemeClr w14:val="tx1"/>
                  </w14:solidFill>
                </w14:textFill>
              </w:rPr>
              <w:br w:type="textWrapping"/>
            </w:r>
            <w:r>
              <w:rPr>
                <w:rFonts w:ascii="Arial" w:hAnsi="Arial" w:cs="Arial"/>
                <w:bCs/>
                <w:color w:val="000000" w:themeColor="text1"/>
                <w:sz w:val="20"/>
                <w:szCs w:val="20"/>
                <w:vertAlign w:val="superscript"/>
                <w14:textFill>
                  <w14:solidFill>
                    <w14:schemeClr w14:val="tx1"/>
                  </w14:solidFill>
                </w14:textFill>
              </w:rPr>
              <w:t>______________________</w:t>
            </w:r>
            <w:r>
              <w:rPr>
                <w:rFonts w:ascii="Arial" w:hAnsi="Arial" w:cs="Arial"/>
                <w:color w:val="000000" w:themeColor="text1"/>
                <w:sz w:val="20"/>
                <w:szCs w:val="20"/>
                <w:vertAlign w:val="superscript"/>
                <w14:textFill>
                  <w14:solidFill>
                    <w14:schemeClr w14:val="tx1"/>
                  </w14:solidFill>
                </w14:textFill>
              </w:rPr>
              <w:br w:type="textWrapping"/>
            </w:r>
            <w:r>
              <w:rPr>
                <w:rFonts w:ascii="Arial" w:hAnsi="Arial" w:cs="Arial"/>
                <w:i/>
                <w:iCs/>
                <w:color w:val="000000" w:themeColor="text1"/>
                <w:sz w:val="20"/>
                <w:szCs w:val="20"/>
                <w:lang w:val="vi-VN" w:eastAsia="vi-VN" w:bidi="vi-VN"/>
                <w14:textFill>
                  <w14:solidFill>
                    <w14:schemeClr w14:val="tx1"/>
                  </w14:solidFill>
                </w14:textFill>
              </w:rPr>
              <w:t>Hà Nội, ngày 31 tháng 12 năm 2025</w:t>
            </w:r>
          </w:p>
        </w:tc>
      </w:tr>
    </w:tbl>
    <w:p>
      <w:pPr>
        <w:spacing w:after="20"/>
      </w:pPr>
      <w:r>
        <w:rPr>
          <w:b/>
          <w:color w:val="1F4E79"/>
          <w:sz w:val="18"/>
        </w:rPr>
        <w:t>GHI CHÚ NGỮ CẢNH — PHẦN BIÊN TẬP, KHÔNG THUỘC NGUYÊN VĂN VĂN BẢN</w:t>
      </w:r>
    </w:p>
    <w:p>
      <w:r>
        <w:rPr>
          <w:b/>
          <w:sz w:val="18"/>
        </w:rPr>
        <w:t>Văn bản: NGHỊ ĐỊNH HƯỚNG DẪN LUẬT BẢO VỆ DỮ LIỆU CÁ NHÂN — 356/2025/NĐ-CP</w:t>
      </w:r>
    </w:p>
    <w:p>
      <w:pPr>
        <w:spacing w:after="0" w:line="240" w:lineRule="auto"/>
      </w:pPr>
      <w:r>
        <w:rPr>
          <w:b/>
          <w:color w:val="464646"/>
          <w:sz w:val="17"/>
        </w:rPr>
        <w:t xml:space="preserve">Định danh: </w:t>
      </w:r>
      <w:r>
        <w:rPr>
          <w:color w:val="464646"/>
          <w:sz w:val="17"/>
        </w:rPr>
        <w:t>Nghị định số 356/2025/NĐ-CP, Chính phủ, ngày 31/12/2025.</w:t>
      </w:r>
    </w:p>
    <w:p>
      <w:pPr>
        <w:spacing w:after="0" w:line="240" w:lineRule="auto"/>
      </w:pPr>
      <w:r>
        <w:rPr>
          <w:b/>
          <w:color w:val="464646"/>
          <w:sz w:val="17"/>
        </w:rPr>
        <w:t xml:space="preserve">Phạm vi/đối tượng: </w:t>
      </w:r>
      <w:r>
        <w:rPr>
          <w:color w:val="464646"/>
          <w:sz w:val="17"/>
        </w:rPr>
        <w:t>Quy định chi tiết các điều, khoản được Luật 91/2025/QH15 giao và biện pháp thi hành; áp dụng cho cơ quan, tổ chức, cá nhân trong nước và chủ thể nước ngoài thuộc phạm vi xử lý dữ liệu cá nhân được Nghị định quy định.</w:t>
      </w:r>
    </w:p>
    <w:p>
      <w:pPr>
        <w:spacing w:after="0" w:line="240" w:lineRule="auto"/>
      </w:pPr>
      <w:r>
        <w:rPr>
          <w:b/>
          <w:color w:val="464646"/>
          <w:sz w:val="17"/>
        </w:rPr>
        <w:t xml:space="preserve">Hiệu lực: </w:t>
      </w:r>
      <w:r>
        <w:rPr>
          <w:color w:val="464646"/>
          <w:sz w:val="17"/>
        </w:rPr>
        <w:t>01/01/2026.</w:t>
      </w:r>
    </w:p>
    <w:p>
      <w:pPr>
        <w:spacing w:after="0" w:line="240" w:lineRule="auto"/>
      </w:pPr>
      <w:r>
        <w:rPr>
          <w:b/>
          <w:color w:val="464646"/>
          <w:sz w:val="17"/>
        </w:rPr>
        <w:t xml:space="preserve">Lịch sử/ngữ cảnh: </w:t>
      </w:r>
      <w:r>
        <w:rPr>
          <w:color w:val="464646"/>
          <w:sz w:val="17"/>
        </w:rPr>
        <w:t>Văn bản hướng dẫn Luật Bảo vệ dữ liệu cá nhân 91/2025/QH15; không thay thế Luật. Khi dùng một nghĩa vụ cụ thể, cần đọc điều được dẫn chiếu và ngoại lệ tương ứng.</w:t>
      </w:r>
    </w:p>
    <w:p>
      <w:pPr>
        <w:spacing w:after="0" w:line="240" w:lineRule="auto"/>
      </w:pPr>
      <w:r>
        <w:rPr>
          <w:b/>
          <w:color w:val="464646"/>
          <w:sz w:val="17"/>
        </w:rPr>
        <w:t xml:space="preserve">Nguồn chính thức: </w:t>
      </w:r>
      <w:r>
        <w:rPr>
          <w:color w:val="464646"/>
          <w:sz w:val="17"/>
        </w:rPr>
        <w:t>https://vanban.chinhphu.vn/?classid=1&amp;docid=216387&amp;pageid=27160</w:t>
      </w:r>
    </w:p>
    <w:p>
      <w:pPr>
        <w:spacing w:after="40"/>
      </w:pPr>
      <w:r>
        <w:rPr>
          <w:sz w:val="14"/>
        </w:rPr>
        <w:t>————————————————————————————————————————————————————</w:t>
      </w:r>
    </w:p>
    <w:p w14:paraId="7FF0681A">
      <w:pPr>
        <w:rPr>
          <w:rFonts w:ascii="Arial" w:hAnsi="Arial" w:cs="Arial"/>
          <w:color w:val="000000" w:themeColor="text1"/>
          <w:sz w:val="20"/>
          <w:szCs w:val="20"/>
          <w14:textFill>
            <w14:solidFill>
              <w14:schemeClr w14:val="tx1"/>
            </w14:solidFill>
          </w14:textFill>
        </w:rPr>
      </w:pPr>
    </w:p>
    <w:p w14:paraId="44D6A7C9">
      <w:pPr>
        <w:rPr>
          <w:rFonts w:ascii="Arial" w:hAnsi="Arial" w:cs="Arial"/>
          <w:color w:val="000000" w:themeColor="text1"/>
          <w:sz w:val="20"/>
          <w:szCs w:val="20"/>
          <w14:textFill>
            <w14:solidFill>
              <w14:schemeClr w14:val="tx1"/>
            </w14:solidFill>
          </w14:textFill>
        </w:rPr>
      </w:pPr>
    </w:p>
    <w:p w14:paraId="79EF9D1D">
      <w:pPr>
        <w:pStyle w:val="4"/>
        <w:shd w:val="clear" w:color="auto" w:fill="auto"/>
        <w:spacing w:after="0" w:line="240" w:lineRule="auto"/>
        <w:ind w:firstLine="0"/>
        <w:jc w:val="center"/>
        <w:rPr>
          <w:rFonts w:ascii="Arial" w:hAnsi="Arial" w:cs="Arial"/>
          <w:color w:val="000000" w:themeColor="text1"/>
          <w:sz w:val="20"/>
          <w:szCs w:val="20"/>
          <w14:textFill>
            <w14:solidFill>
              <w14:schemeClr w14:val="tx1"/>
            </w14:solidFill>
          </w14:textFill>
        </w:rPr>
      </w:pPr>
      <w:r>
        <w:rPr>
          <w:rFonts w:ascii="Arial" w:hAnsi="Arial" w:cs="Arial"/>
          <w:b/>
          <w:bCs/>
          <w:color w:val="000000" w:themeColor="text1"/>
          <w:sz w:val="20"/>
          <w:szCs w:val="20"/>
          <w:lang w:val="vi-VN" w:eastAsia="vi-VN" w:bidi="vi-VN"/>
          <w14:textFill>
            <w14:solidFill>
              <w14:schemeClr w14:val="tx1"/>
            </w14:solidFill>
          </w14:textFill>
        </w:rPr>
        <w:t>NGHỊ ĐỊNH</w:t>
      </w:r>
    </w:p>
    <w:p w14:paraId="47586673">
      <w:pPr>
        <w:pStyle w:val="4"/>
        <w:shd w:val="clear" w:color="auto" w:fill="auto"/>
        <w:spacing w:after="0" w:line="240" w:lineRule="auto"/>
        <w:ind w:firstLine="0"/>
        <w:jc w:val="center"/>
        <w:rPr>
          <w:rFonts w:ascii="Arial" w:hAnsi="Arial" w:cs="Arial"/>
          <w:b/>
          <w:bCs/>
          <w:color w:val="000000" w:themeColor="text1"/>
          <w:sz w:val="20"/>
          <w:szCs w:val="20"/>
          <w:lang w:val="vi-VN" w:eastAsia="vi-VN" w:bidi="vi-VN"/>
          <w14:textFill>
            <w14:solidFill>
              <w14:schemeClr w14:val="tx1"/>
            </w14:solidFill>
          </w14:textFill>
        </w:rPr>
      </w:pPr>
      <w:r>
        <w:rPr>
          <w:rFonts w:ascii="Arial" w:hAnsi="Arial" w:cs="Arial"/>
          <w:b/>
          <w:bCs/>
          <w:color w:val="000000" w:themeColor="text1"/>
          <w:sz w:val="20"/>
          <w:szCs w:val="20"/>
          <w:lang w:val="vi-VN" w:eastAsia="vi-VN" w:bidi="vi-VN"/>
          <w14:textFill>
            <w14:solidFill>
              <w14:schemeClr w14:val="tx1"/>
            </w14:solidFill>
          </w14:textFill>
        </w:rPr>
        <w:t>Quy định chi tiết một số điều và biện pháp thi hành</w:t>
      </w:r>
      <w:r>
        <w:rPr>
          <w:rFonts w:ascii="Arial" w:hAnsi="Arial" w:cs="Arial"/>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lang w:val="vi-VN" w:eastAsia="vi-VN" w:bidi="vi-VN"/>
          <w14:textFill>
            <w14:solidFill>
              <w14:schemeClr w14:val="tx1"/>
            </w14:solidFill>
          </w14:textFill>
        </w:rPr>
        <w:t>Luật Bảo vệ dữ liệu cá nhân</w:t>
      </w:r>
    </w:p>
    <w:p w14:paraId="255F1CBA">
      <w:pPr>
        <w:pStyle w:val="4"/>
        <w:shd w:val="clear" w:color="auto" w:fill="auto"/>
        <w:spacing w:after="0" w:line="240" w:lineRule="auto"/>
        <w:ind w:firstLine="0"/>
        <w:jc w:val="center"/>
        <w:rPr>
          <w:rFonts w:ascii="Arial" w:hAnsi="Arial" w:cs="Arial"/>
          <w:color w:val="000000" w:themeColor="text1"/>
          <w:sz w:val="20"/>
          <w:szCs w:val="20"/>
          <w14:textFill>
            <w14:solidFill>
              <w14:schemeClr w14:val="tx1"/>
            </w14:solidFill>
          </w14:textFill>
        </w:rPr>
      </w:pPr>
    </w:p>
    <w:p w14:paraId="4CDDC1F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Luật Tổ chức Chính phủ số 63/2025/QH15;</w:t>
      </w:r>
    </w:p>
    <w:p w14:paraId="72671BF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Luật Bảo vệ dữ liệu cá nhân số 91/2025/QH15;</w:t>
      </w:r>
    </w:p>
    <w:p w14:paraId="78A98B0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Luật Dữ liệu số 60/2024/QH15;</w:t>
      </w:r>
    </w:p>
    <w:p w14:paraId="1B478EB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233BEAF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Theo đề nghị của Bộ trưởng Bộ Công an;</w:t>
      </w:r>
    </w:p>
    <w:p w14:paraId="4CB1B456">
      <w:pPr>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Chính phủ ban hành Nghị định quy định chi tiết một số điều và biện pháp thi hành Luật Bảo vệ dữ liệu cá nhân.</w:t>
      </w:r>
    </w:p>
    <w:p w14:paraId="58602055">
      <w:pPr>
        <w:jc w:val="center"/>
        <w:rPr>
          <w:rFonts w:ascii="Arial" w:hAnsi="Arial" w:cs="Arial"/>
          <w:b/>
          <w:color w:val="000000" w:themeColor="text1"/>
          <w:sz w:val="20"/>
          <w:szCs w:val="20"/>
          <w14:textFill>
            <w14:solidFill>
              <w14:schemeClr w14:val="tx1"/>
            </w14:solidFill>
          </w14:textFill>
        </w:rPr>
      </w:pPr>
    </w:p>
    <w:p w14:paraId="7AC53597">
      <w:pPr>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w:t>
      </w:r>
    </w:p>
    <w:p w14:paraId="7AA5E474">
      <w:pPr>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QUY ĐỊNH CHUNG</w:t>
      </w:r>
    </w:p>
    <w:p w14:paraId="56F93A19">
      <w:pPr>
        <w:spacing w:after="120"/>
        <w:ind w:firstLine="720"/>
        <w:jc w:val="both"/>
        <w:rPr>
          <w:rFonts w:ascii="Arial" w:hAnsi="Arial" w:cs="Arial"/>
          <w:color w:val="000000" w:themeColor="text1"/>
          <w:sz w:val="20"/>
          <w:szCs w:val="20"/>
          <w14:textFill>
            <w14:solidFill>
              <w14:schemeClr w14:val="tx1"/>
            </w14:solidFill>
          </w14:textFill>
        </w:rPr>
      </w:pPr>
      <w:r>
        <w:rPr>
          <w:rFonts w:hint="default" w:ascii="Arial" w:hAnsi="Arial" w:cs="Arial"/>
          <w:b/>
          <w:color w:val="000000" w:themeColor="text1"/>
          <w:sz w:val="20"/>
          <w:szCs w:val="20"/>
          <w:lang w:val="vi-VN"/>
          <w14:textFill>
            <w14:solidFill>
              <w14:schemeClr w14:val="tx1"/>
            </w14:solidFill>
          </w14:textFill>
        </w:rPr>
        <w:t>Đ</w:t>
      </w:r>
      <w:r>
        <w:rPr>
          <w:rFonts w:ascii="Arial" w:hAnsi="Arial" w:cs="Arial"/>
          <w:b/>
          <w:color w:val="000000" w:themeColor="text1"/>
          <w:sz w:val="20"/>
          <w:szCs w:val="20"/>
          <w14:textFill>
            <w14:solidFill>
              <w14:schemeClr w14:val="tx1"/>
            </w14:solidFill>
          </w14:textFill>
        </w:rPr>
        <w:t>iều 1. Phạm vi điều chỉnh</w:t>
      </w:r>
    </w:p>
    <w:p w14:paraId="3236AE2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Nghị định này quy định chi tiết khoản 2, khoản 3 Điều 2; khoản 5 Điều 4; khoản 3 Điều 6; khoản 5 Điều 9; khoản 3 Điều 17; khoản 7 Điều 20; khoản 7 Điều 21; khoản 4 Điều 22; khoản 5 Điều 23; khoản 3 Điều 27; khoản 6 Điều 30; điểm b khoản 4 Điều 31; khoản 3 Điều 33; Điều 35; khoản 4 Điều 38 Luật Bảo vệ dữ liệu cá nhân và quy định các biện pháp để tổ chức thi hành Luật về nghiên cứu, phát triển các giải pháp bảo vệ dữ liệu cá nhân, cơ quan chuyên trách bảo vệ dữ liệu cá nhân, Cổng thông tin quốc gia về bảo vệ dữ liệu cá nhân; trách nhiệm của các bộ, ngành, địa phương trong bảo vệ dữ liệu cá nhân; kinh phí bảo đảm hoạt động bảo vệ dữ liệu cá nhân.</w:t>
      </w:r>
    </w:p>
    <w:p w14:paraId="358ACA77">
      <w:pPr>
        <w:spacing w:after="120"/>
        <w:ind w:firstLine="720"/>
        <w:jc w:val="both"/>
        <w:rPr>
          <w:rFonts w:ascii="Arial" w:hAnsi="Arial" w:cs="Arial"/>
          <w:b/>
          <w:color w:val="000000" w:themeColor="text1"/>
          <w:sz w:val="20"/>
          <w:szCs w:val="20"/>
          <w14:textFill>
            <w14:solidFill>
              <w14:schemeClr w14:val="tx1"/>
            </w14:solidFill>
          </w14:textFill>
        </w:rPr>
      </w:pPr>
      <w:bookmarkStart w:id="0" w:name="_GoBack"/>
    </w:p>
    <w:bookmarkEnd w:id="0"/>
    <w:p w14:paraId="76C38BD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 Đối tượng áp dụng</w:t>
      </w:r>
    </w:p>
    <w:p w14:paraId="46D8C57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Cơ quan, tổ chức, cá nhân Việt Nam;</w:t>
      </w:r>
    </w:p>
    <w:p w14:paraId="4112BE7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 Danh mục dữ liệu cá nhân cơ bản</w:t>
      </w:r>
    </w:p>
    <w:p w14:paraId="0721BFF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Dữ liệu cá nhân cơ bản bao gồm:</w:t>
      </w:r>
    </w:p>
    <w:p w14:paraId="34CD127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Họ, chữ đệm và tên khai sinh, tên gọi khác (nếu có);</w:t>
      </w:r>
    </w:p>
    <w:p w14:paraId="3A49FC2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Ngày, tháng, năm sinh; ngày, tháng, năm chết hoặc mất tích;</w:t>
      </w:r>
    </w:p>
    <w:p w14:paraId="435B425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Giới tính;</w:t>
      </w:r>
    </w:p>
    <w:p w14:paraId="1F0D5CE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Nơi sinh, nơi đăng ký khai sinh, nơi đăng ký thường trú, nơi đăng ký tạm trú, nơi ở hiện tại, quê quán, địa chỉ liên hệ;</w:t>
      </w:r>
    </w:p>
    <w:p w14:paraId="5EB1B4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Quốc tịch;</w:t>
      </w:r>
    </w:p>
    <w:p w14:paraId="62572D6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Hình ảnh của cá nhân;</w:t>
      </w:r>
    </w:p>
    <w:p w14:paraId="457587B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Số điện thoại, số định danh cá nhân, số hộ chiếu, số giấy phép lái xe, số biển số xe;</w:t>
      </w:r>
    </w:p>
    <w:p w14:paraId="48E4FD6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8. Tình trạng hôn nhân;</w:t>
      </w:r>
    </w:p>
    <w:p w14:paraId="13DB3F6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9. Thông tin về mối quan hệ gia đình (cha mẹ, con, vợ, chồng);</w:t>
      </w:r>
    </w:p>
    <w:p w14:paraId="5D1C0F1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10. Thông tin về tài khoản số của cá nhân;</w:t>
      </w:r>
    </w:p>
    <w:p w14:paraId="187C83F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11. Các thông tin khác gắn liền với một con người cụ thể hoặc giúp xác định một con người cụ thể không thuộc quy định tại Điều 4 Nghị định này.</w:t>
      </w:r>
    </w:p>
    <w:p w14:paraId="7BDF1F3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4. Danh mục dữ liệu cá nhân nhạy cảm</w:t>
      </w:r>
    </w:p>
    <w:p w14:paraId="39BDCA0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cá nhân nhạy cảm bao gồm:</w:t>
      </w:r>
    </w:p>
    <w:p w14:paraId="40FBBC1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Dữ liệu tiết lộ nguồn gốc chủng tộc, nguồn gốc dân tộc;</w:t>
      </w:r>
    </w:p>
    <w:p w14:paraId="146C9B6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Quan điểm về chính trị, tôn giáo, tín ngưỡng;</w:t>
      </w:r>
    </w:p>
    <w:p w14:paraId="2591688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Thông tin về đời sống riêng tư, bí mật cá nhân, bí mật gia đình;</w:t>
      </w:r>
    </w:p>
    <w:p w14:paraId="5662B9E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Tình trạng sức khỏe;</w:t>
      </w:r>
    </w:p>
    <w:p w14:paraId="2483F1F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Dữ liệu sinh trắc học, đặc điểm di truyền;</w:t>
      </w:r>
    </w:p>
    <w:p w14:paraId="74E5AED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Dữ liệu tiết lộ đời sống tình dục, xu hướng tình dục của cá nhân;</w:t>
      </w:r>
    </w:p>
    <w:p w14:paraId="2A7298A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Dữ liệu về tội phạm, vi phạm pháp luật được thu thập, lưu trữ bởi các cơ quan thực thi pháp luật;</w:t>
      </w:r>
    </w:p>
    <w:p w14:paraId="0957DB7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Vị trí của cá nhân được xác định qua dịch vụ định vị;</w:t>
      </w:r>
    </w:p>
    <w:p w14:paraId="0A8B746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i) Thông tin tên đăng nhập và mật khẩu truy cập tài khoản định danh điện tử của cá nhân; hình ảnh thẻ căn cước, thẻ căn cước công dân, chứng minh nhân dân;</w:t>
      </w:r>
    </w:p>
    <w:p w14:paraId="22FD0C7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k) Tên đăng nhập, mật khẩu truy cập của tài khoản ngân hàng; thông tin thẻ ngân hàng, dữ liệu về lịch sử giao dịch của tài khoản ngân hàng; 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p w14:paraId="60D375B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l) Dữ liệu theo dõi hành vi, hoạt động sử dụng dịch vụ viễn thông, mạng xã hội, dịch vụ truyền thông trực tuyến và các dịch vụ khác trên không gian mạng;</w:t>
      </w:r>
    </w:p>
    <w:p w14:paraId="2B58A4F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m)Dữ liệu cá nhân khác được pháp luật quy định cần giữ bí mật hoặc cần có biện pháp bảo mật chặt chẽ.</w:t>
      </w:r>
    </w:p>
    <w:p w14:paraId="02BD27EB">
      <w:pPr>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Trong quá trình xử lý dữ liệu cá nhân nhạy cảm, cơ quan, tổ chức phải thiết lập quy định phân quyền giới hạn truy cập, quy trình xử lý và các biện pháp bảo mật.</w:t>
      </w:r>
    </w:p>
    <w:p w14:paraId="2DB11ED7">
      <w:pPr>
        <w:jc w:val="center"/>
        <w:rPr>
          <w:rFonts w:ascii="Arial" w:hAnsi="Arial" w:cs="Arial"/>
          <w:b/>
          <w:color w:val="000000" w:themeColor="text1"/>
          <w:sz w:val="20"/>
          <w:szCs w:val="20"/>
          <w14:textFill>
            <w14:solidFill>
              <w14:schemeClr w14:val="tx1"/>
            </w14:solidFill>
          </w14:textFill>
        </w:rPr>
      </w:pPr>
    </w:p>
    <w:p w14:paraId="7EF8E7FC">
      <w:pPr>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II</w:t>
      </w:r>
    </w:p>
    <w:p w14:paraId="2DE8A323">
      <w:pPr>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YÊU CẦU, ĐIỀU KIỆN BẢO VỆ DỮ LIỆU CÁ NHÂN</w:t>
      </w:r>
    </w:p>
    <w:p w14:paraId="50C74177">
      <w:pPr>
        <w:jc w:val="center"/>
        <w:rPr>
          <w:rFonts w:ascii="Arial" w:hAnsi="Arial" w:cs="Arial"/>
          <w:color w:val="000000" w:themeColor="text1"/>
          <w:sz w:val="20"/>
          <w:szCs w:val="20"/>
          <w14:textFill>
            <w14:solidFill>
              <w14:schemeClr w14:val="tx1"/>
            </w14:solidFill>
          </w14:textFill>
        </w:rPr>
      </w:pPr>
    </w:p>
    <w:p w14:paraId="0727649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5. Thực hiện quyền của chủ thể dữ liệu cá nhân</w:t>
      </w:r>
    </w:p>
    <w:p w14:paraId="0D4A15E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Bên kiểm soát dữ liệu cá nhân, bên kiểm soát và xử lý dữ liệu cá nhân phải xây dựng quy trình, thủ tục, biểu mẫu rõ ràng để thực hiện các quyền của chủ thể dữ liệu cá nhân phù hợp với hoạt động xử lý dữ liệu cá nhân và trách nhiệm các bộ phận có liên quan; đảm bảo chủ thể dữ liệu cá nhân được biết về thủ tục thực hiện các quyền quy định tại khoản 1 Điều 4 của Luật Bảo vệ dữ liệu cá nhân.</w:t>
      </w:r>
    </w:p>
    <w:p w14:paraId="6E37D34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Khi nhận được yêu cầu rút lại sự đồng ý cho phép xử lý dữ liệu cá nhân, hạn chế xử lý dữ liệu cá nhân, phản đối xử lý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ngừng xử lý dữ liệu cá nhân và thực hiện trong thời hạn 15 ngày, trừ trường hợp xử lý dữ liệu cá nhân không cần sự đồng ý của chủ thể dữ liệu cá nhân theo quy định tại Điều 19 Luật Bảo vệ dữ liệu cá nhân.Trường hợp cần yêu cầu bên xử lý dữ liệu cá nhân, bên thứ ba ngừng xử lý dữ liệu cá nhân của chủ thể dữ liệu cá nhân thì thực hiện trong thời hạn 20 ngày.</w:t>
      </w:r>
    </w:p>
    <w:p w14:paraId="6EB03A4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Tùy theo tính chất,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14:paraId="79B7C12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Khi nhận được yêu cầu xem, chỉnh sửa hoặc yêu cầu chỉnh sửa dữ liệu cá nhân, cung cấp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và thực hiện trong thời hạn 10 ngày. Trường hợp cần yêu cầu bên xử lý dữ liệu cá nhân, bên thứ ba chỉnh sửa dữ liệu cá nhân của chủ thể dữ liệu cá nhân thì thực hiện trong thời hạn 15 ngày.</w:t>
      </w:r>
    </w:p>
    <w:p w14:paraId="1978F00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Tùy theo tính chất, mức độ phức tạp của yêu cầu, trường hợp cần gia hạn thời gian xử lý thì kéo dài thêm tối đa 01 lần gia hạn trong thời hạn không quá 10 ngày, bên kiểm soát dữ liệu cá nhân, bên kiểm soát và xử lý dữ liệu cá nhân thông báo cho chủ thể dữ liệu cá nhân lý do cần gia hạn và chịu trách nhiệm chứng minh việc gia hạn là cần thiết, hợp lý.</w:t>
      </w:r>
    </w:p>
    <w:p w14:paraId="4F9CD25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Khi nhận được yêu cầu xóa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và thực hiện trong thời hạn 20 ngày. Trường hợp cần yêu cầu bên xử lý dữ liệu cá nhân, bên thứ ba cung cấp, xóa, hạn chế xử lý dữ liệu của chủ thể dữ liệu cá nhân thì thực hiện trong thời hạn 30 ngày.</w:t>
      </w:r>
    </w:p>
    <w:p w14:paraId="4E3E74B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Tùy theo tính chất, mức độ phức tạp của yêu cầu, trường hợp cần gia hạn thời gian xử lý thì kéo dài thêm tối đa 01 lần gia hạn trong thời hạn không quá 20 ngày, bên kiểm soát dữ liệu cá nhân, bên kiểm soát và xử lý dữ liệu cá nhân thông báo cho chủ thể dữ liệu cá nhân lý do cần gia hạn và chịu trách nhiệm chứng minh việc gia hạn là cần thiết, hợp lý.</w:t>
      </w:r>
    </w:p>
    <w:p w14:paraId="4D0FE51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Khi nhận được yêu cầu thực hiện các biện pháp, giải pháp bảo vệ dữ liệu cá nhân của mình theo đúng thủ tục của chủ thể dữ liệu cá nhân, cơ quan có thẩm quyền hoặc cơ quan, tổ chức, cá nhân liên quan đến xử lý dữ liệu cá nhân phải phản hồi trong thời hạn 02 ngày làm việc, cung cấp đầy đủ thông tin cho chủ thể dữ liệu cá nhân về thủ tục và thực hiện trong thời hạn 15 ngày.</w:t>
      </w:r>
    </w:p>
    <w:p w14:paraId="75D4C36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Tùy theo tính chất,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14:paraId="7E591F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6. Phương thức thể hiện sự đồng ý của chủ thể dữ liệu cá nhân</w:t>
      </w:r>
    </w:p>
    <w:p w14:paraId="3C2056C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Các phương thức xin sự đồng ý của chủ thể dữ liệu cá nhân phải bảo đảm khả năng kiểm chứng được về việc xác định chủ thể dữ liệu cá nhân đã thực hiện sự đồng ý, thời điểm và nội dung được đồng ý, bao gồm:</w:t>
      </w:r>
    </w:p>
    <w:p w14:paraId="3FAD2B8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Bằng văn bản;</w:t>
      </w:r>
    </w:p>
    <w:p w14:paraId="716B350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Bằng cuộc gọi ghi âm;</w:t>
      </w:r>
    </w:p>
    <w:p w14:paraId="38DE31B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Cú pháp đồng ý qua tin nhắn điện thoại;</w:t>
      </w:r>
    </w:p>
    <w:p w14:paraId="3F265A8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Qua thư điện tử, trên trang thông tin điện tử, nền tảng, ứng dụng có thiết lập kỹ thuật xin sự đồng ý;</w:t>
      </w:r>
    </w:p>
    <w:p w14:paraId="3D6AC7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Bằng các phương thức khác phù hợp có thể in, sao chép bằng văn bản, bao gồm cả dưới dạng điện tử hoặc định dạng kiểm chứng được.</w:t>
      </w:r>
    </w:p>
    <w:p w14:paraId="4478366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bên kiểm soát và xử lý dữ liệu cá nhân phải lưu trữ sự đồng ý của chủ thể dữ liệu. Trong trường hợp có tranh chấp, trách nhiệm chứng minh sự đồng ý của chủ thể dữ liệu thuộc về bên kiểm soát dữ liệu cá nhân, bên kiểm soát và xử lý dữ liệu cá nhân.</w:t>
      </w:r>
    </w:p>
    <w:p w14:paraId="52CB4C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Bên kiểm soát dữ liệu cá nhân, bên kiểm soát và xử lý dữ liệu cá nhân không được thiết lập phương thức mặc định đồng ý hoặc tạo ra các chỉ dẫn không rõ ràng, gây hiểu lầm giữa đồng ý và không đồng ý cho chủ thể dữ liệu. Các thiết lập mặc định sẵn có phải đảm bảo nguyên tắc bảo vệ dữ liệu cá nhân, tôn trọng các quyền của chủ thể dữ liệu cá nhân.</w:t>
      </w:r>
    </w:p>
    <w:p w14:paraId="5C4F4B3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Đối với việc xin sự đồng ý xử lý dữ liệu cá nhân nhạy cảm, chủ thể dữ liệu phải được thông báo rằng dữ liệu cần xử lý là dữ liệu cá nhân nhạy cảm.</w:t>
      </w:r>
    </w:p>
    <w:p w14:paraId="6904590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7. Chuyển giao dữ liệu cá nhân</w:t>
      </w:r>
    </w:p>
    <w:p w14:paraId="66D89DF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Tổ chức, cá nhân chuyển giao dữ liệu cá nhân theo điểm a, điểm c, điểm d khoản 1 Điều 17 của Luật Bảo vệ dữ liệu cá nhân phải xác lập thỏa thuận về việc chuyển giao dữ liệu cá nhân với bên nhận dữ liệu cá nhân, trong đó nêu rõ các nội dung sau:</w:t>
      </w:r>
    </w:p>
    <w:p w14:paraId="1F31C61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Mục đích chuyển giao dữ liệu cá nhân;</w:t>
      </w:r>
    </w:p>
    <w:p w14:paraId="5388DEE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Đối tượng chủ thể dữ liệu cá nhân và loại dữ liệu cá nhân được chuyển giao phù hợp với mục đích chuyển giao;</w:t>
      </w:r>
    </w:p>
    <w:p w14:paraId="44DD3F5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Thời hạn xử lý dữ liệu cá nhân, yêu cầu về xóa, hủy dữ liệu cá nhân sau khi hoàn thành mục đích chuyển giao;</w:t>
      </w:r>
    </w:p>
    <w:p w14:paraId="76D4594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Cơ sở pháp lý của việc chuyển giao dữ liệu cá nhân;</w:t>
      </w:r>
    </w:p>
    <w:p w14:paraId="4B72D79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Trách nhiệm bảo vệ dữ liệu cá nhân trong quá trình chuyển giao, xử lý dữ liệu cá nhân;</w:t>
      </w:r>
    </w:p>
    <w:p w14:paraId="0FC6403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Trách nhiệm thực hiện các quyền của chủ thể dữ liệu cá nhân;</w:t>
      </w:r>
    </w:p>
    <w:p w14:paraId="439AF8F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Trách nhiệm phối hợp và tuân thủ của các bên trong trường hợp phát hiện vi phạm quy định bảo vệ dữ liệu cá nhân.</w:t>
      </w:r>
    </w:p>
    <w:p w14:paraId="2B4EEEC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chuyển giao dữ liệu cá nhân nhạy cảm phải có biện pháp bảo mật vật lý đối với thiết bị lưu trữ và truyền tải, biện pháp mã hóa, ẩn danh dữ liệu cá nhân và các biện pháp bảo mật khác trong quá trình chuyển giao.</w:t>
      </w:r>
    </w:p>
    <w:p w14:paraId="0E2B459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Trường hợp chuyển giao dữ liệu cá nhân theo điểm a, điểm d khoản 1 Điều 17 của Luật Bảo vệ dữ liệu cá nhân có thu phí để cung cấp dịch vụ cho chủ thể dữ liệu cá nhân hoặc để phục vụ lợi ích hợp pháp của chủ thể dữ liệu cá nhân, tổ chức, cá nhân tuân thủ các quy định như sau:</w:t>
      </w:r>
    </w:p>
    <w:p w14:paraId="2D18E6D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Phải thiết lập hệ thống kỹ thuật, cơ chế minh bạch để chủ thể dữ liệu cá nhân đồng ý chính xác, rõ ràng theo từng lần chuyển giao, trên cơ sở được biết chính xác mục đích chuyển giao, tổ chức, cá nhân tiếp nhận và xử lý dữ liệu cá nhân;</w:t>
      </w:r>
    </w:p>
    <w:p w14:paraId="2F5D19D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Chỉ được xử lý dữ liệu cá nhân đúng cho mục đích chuyển giao được chủ thể dữ liệu cá nhân đồng ý, phù hợp với ngành, nghề đăng ký kinh doanh;</w:t>
      </w:r>
    </w:p>
    <w:p w14:paraId="21B5A62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Loại dữ liệu cá nhân chuyển giao phải giới hạn trong phạm vi mục đích chuyển giao;</w:t>
      </w:r>
    </w:p>
    <w:p w14:paraId="50B4C7F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Không được thu thập, lưu trữ, hình thành kho dữ liệu cá nhân từ hoạt động chuyển giao dữ liệu cá nhân để sử dụng cho các mục đích khác ngoài các mục đích đã được chủ thể dữ liệu cá nhân đồng ý;</w:t>
      </w:r>
    </w:p>
    <w:p w14:paraId="4269253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Xác định rõ vai trò bên kiểm soát dữ liệu cá nhân, bên xử lý dữ liệu cá nhân, bên thứ ba trong hoạt động chuyển giao dữ liệu cá nhân;</w:t>
      </w:r>
    </w:p>
    <w:p w14:paraId="56C6069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Phải có thỏa thuận chuyển giao, xử lý dữ liệu cá nhân trước khi chuyển và cam kết trách nhiệm, nghĩa vụ với chủ thể dữ liệu cá nhân.</w:t>
      </w:r>
    </w:p>
    <w:p w14:paraId="05F8F8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Trường hợp chia sẻ dữ liệu cá nhân giữa các bộ phận trong cùng một cơ quan, tổ chức để xử lý dữ liệu cá nhân phù hợp với mục đích xử lý đã xác lập, cơ quan, tổ chức phải xây dựng quy trình kiểm soát việc chia sẻ, sử dụng dữ liệu cá nhân đúng quy định; có biện pháp phòng, chống việc nhân sự nội bộ cơ quan, tổ chức chia sẻ trái phép dữ liệu cá nhân với bên thứ ba.</w:t>
      </w:r>
    </w:p>
    <w:p w14:paraId="3B6E822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Dữ liệu cá nhân phải được khử nhận dạng trước khi giao dịch trên sàn dữ liệu.</w:t>
      </w:r>
    </w:p>
    <w:p w14:paraId="1984FC2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Cơ quan, tổ chức, cá nhân thực hiện cung cấp dữ liệu cá nhân theo khoản 2 Điều 15 của Luật Bảo vệ dữ liệu cá nhân dựa trên từng yêu cầu cụ thể của chủ thể dữ liệu thì không được coi là chuyển giao dữ liệu và không phải thực hiện theo quy định tại Điều này.</w:t>
      </w:r>
    </w:p>
    <w:p w14:paraId="118E1C8F">
      <w:pPr>
        <w:jc w:val="center"/>
        <w:rPr>
          <w:rFonts w:ascii="Arial" w:hAnsi="Arial" w:cs="Arial"/>
          <w:b/>
          <w:color w:val="000000" w:themeColor="text1"/>
          <w:sz w:val="20"/>
          <w:szCs w:val="20"/>
          <w14:textFill>
            <w14:solidFill>
              <w14:schemeClr w14:val="tx1"/>
            </w14:solidFill>
          </w14:textFill>
        </w:rPr>
      </w:pPr>
    </w:p>
    <w:p w14:paraId="13EA4D5A">
      <w:pPr>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III</w:t>
      </w:r>
    </w:p>
    <w:p w14:paraId="1EA64067">
      <w:pPr>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Hồ sơ, trình tự, thủ tục về dữ liệu cá nhân</w:t>
      </w:r>
    </w:p>
    <w:p w14:paraId="6B016690">
      <w:pPr>
        <w:jc w:val="center"/>
        <w:rPr>
          <w:rFonts w:ascii="Arial" w:hAnsi="Arial" w:cs="Arial"/>
          <w:color w:val="000000" w:themeColor="text1"/>
          <w:sz w:val="20"/>
          <w:szCs w:val="20"/>
          <w14:textFill>
            <w14:solidFill>
              <w14:schemeClr w14:val="tx1"/>
            </w14:solidFill>
          </w14:textFill>
        </w:rPr>
      </w:pPr>
    </w:p>
    <w:p w14:paraId="0827310F">
      <w:pPr>
        <w:spacing w:after="120"/>
        <w:ind w:firstLine="720"/>
        <w:jc w:val="both"/>
        <w:rPr>
          <w:rFonts w:ascii="Arial" w:hAnsi="Arial" w:cs="Arial"/>
          <w:color w:val="000000" w:themeColor="text1"/>
          <w:sz w:val="20"/>
          <w:szCs w:val="20"/>
          <w14:textFill>
            <w14:solidFill>
              <w14:schemeClr w14:val="tx1"/>
            </w14:solidFill>
          </w14:textFill>
        </w:rPr>
      </w:pPr>
    </w:p>
    <w:p w14:paraId="60DE648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21. Dịch vụ xử lý dữ liệu cá nhân</w:t>
      </w:r>
    </w:p>
    <w:p w14:paraId="4EC3D53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Dịch vụ cung cấp và vận hành hệ thống, phần mềm tự động để thay mặt bên kiểm soát, bên kiểm soát và xử lý tiến hành xử lý dữ liệu cá nhân.</w:t>
      </w:r>
    </w:p>
    <w:p w14:paraId="49D7FCC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Dịch vụ chấm điểm, xếp hạng, đánh giá mức độ tín nhiệm của chủ thể dữ liệu cá nhân.</w:t>
      </w:r>
    </w:p>
    <w:p w14:paraId="7E08DE3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Dịch vụ thu thập, xử lý dữ liệu cá nhân trực tuyến từ trang web, ứng dụng, phần mềm và mạng xã hội.</w:t>
      </w:r>
    </w:p>
    <w:p w14:paraId="3541DD3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Dịch vụ thu thập, xử lý dữ liệu cá nhân qua trang web, ứng dụng, phần mềm chăm sóc sức khỏe, theo dõi sức khỏe, dịch vụ y tế.</w:t>
      </w:r>
    </w:p>
    <w:p w14:paraId="3AD05CE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Dịch vụ thu thập, xử lý dữ liệu cá nhân qua ứng dụng, phần mềm giáo dục có yếu tố giám sát như điểm danh, ghi hình, chấm điểm hành vi, nhận diện cảm xúc.</w:t>
      </w:r>
    </w:p>
    <w:p w14:paraId="6689B0A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Dịch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p w14:paraId="4B4C197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Dịch vụ mã hóa dữ liệu cá nhân trong quá trình truyền tải và lưu trữ.</w:t>
      </w:r>
    </w:p>
    <w:p w14:paraId="4178E52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8. Dịch vụ xử lý dữ liệu cá nhân tự động dựa trên công nghệ dữ liệu lớn, trí tuệ nhân tạo, chuỗi khối, vũ trụ ảo.</w:t>
      </w:r>
    </w:p>
    <w:p w14:paraId="55FC18F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9. Dịch vụ nền tảng ứng dụng cung cấp dữ liệu vị trí cá nhân.</w:t>
      </w:r>
    </w:p>
    <w:p w14:paraId="4DBD120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28. Nội dung thông báo vi phạm quy định về bảo vệ dữ liệu cá nhân</w:t>
      </w:r>
    </w:p>
    <w:p w14:paraId="696A6E8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Nội dung thông báo vi phạm quy định về bảo vệ dữ liệu cá nhân, gồm:</w:t>
      </w:r>
    </w:p>
    <w:p w14:paraId="331F7A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Mô tả tính chất của việc vi phạm quy định bảo vệ dữ liệu cá nhân, bao gồm: thời gian, địa điểm, hành vi, tổ chức, cá nhân, các loại dữ liệu cá nhân và số lượng dữ liệu liên quan;</w:t>
      </w:r>
    </w:p>
    <w:p w14:paraId="59AF30F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Chi tiết liên lạc của bộ phận, nhân sự bảo vệ dữ liệu cá nhân hoặc tổ chức, cá nhân cung cấp dịch vụ bảo vệ dữ liệu cá nhân;</w:t>
      </w:r>
    </w:p>
    <w:p w14:paraId="30F5AD4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Mô tả các hậu quả, thiệt hại có thể xảy ra của việc vi phạm quy định bảo vệ dữ liệu cá nhân;</w:t>
      </w:r>
    </w:p>
    <w:p w14:paraId="5C06205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Mô tả biện pháp được đưa ra để giải quyết, giảm thiểu tác hại của hành vi vi phạm quy định bảo vệ dữ liệu cá nhân.</w:t>
      </w:r>
    </w:p>
    <w:p w14:paraId="72137A6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cá nhân, bên kiểm soát và xử lý dữ liệu cá nhân, bên xử lý bên thứ ba gửi thông báo vi phạm quy định về dữ liệu cá nhân đến cơ quan chuyên trách bảo vệ dữ liệu cá nhân hoặc qua cổng thông tin quốc gia về bảo vệ dữ liệu cá nhân theo Mẫu số 08 tại Phụ lục của Nghị định này.</w:t>
      </w:r>
    </w:p>
    <w:p w14:paraId="704AADB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29. Thông báo vi phạm đối với dữ liệu vị trí cá nhân và dữ liệu sinh trắc học</w:t>
      </w:r>
    </w:p>
    <w:p w14:paraId="7BF7DEA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Khi xảy ra sự cố vi phạm dữ liệu cá nhân liên quan đến dữ liệu vị trí hoặc dữ liệu sinh trắc học, bên kiểm soát dữ liệu cá nhân hoặc bên kiểm soát và xử lý dữ liệu cá nhân có trách nhiệm:</w:t>
      </w:r>
    </w:p>
    <w:p w14:paraId="6F26D43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Thông báo cho chủ thể dữ liệu bị ảnh hưởng trong thời hạn không quá 72 giờ kể từ thời điểm phát hiện vi phạm;</w:t>
      </w:r>
    </w:p>
    <w:p w14:paraId="3FA8FAF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Báo cáo cho cơ quan nhà nước có thẩm quyền theo quy định tại Điều 28 Nghị định này;</w:t>
      </w:r>
    </w:p>
    <w:p w14:paraId="50B057E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Ghi nhận, lưu trữ và cập nhật hồ sơ vi phạm phục vụ công tác thanh tra, kiểm tra và xử lý. Tổ chức phải lưu hồ sơ vi phạm trong thời gian tối thiểu 5 năm kể từ ngày khắc phục xong sự cố.</w:t>
      </w:r>
    </w:p>
    <w:p w14:paraId="18291D0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Thông báo cho chủ thể dữ liệu theo điểm a khoản 1 Điều này phải bao gồm tối thiểu các nội dung sau:</w:t>
      </w:r>
    </w:p>
    <w:p w14:paraId="7C4B3C6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Thời điểm và hình thức phát hiện vi phạm;</w:t>
      </w:r>
    </w:p>
    <w:p w14:paraId="6D5A2C3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Loại dữ liệu bị ảnh hưởng (vị trí, sinh trắc học hoặc cả hai);</w:t>
      </w:r>
    </w:p>
    <w:p w14:paraId="375F155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Mức độ nghiêm trọng và các rủi ro có thể xảy ra đối với quyền và lợi ích hợp pháp của chủ thể dữ liệu;</w:t>
      </w:r>
    </w:p>
    <w:p w14:paraId="55C1AE7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Biện pháp đã, đang và sẽ được thực hiện để khắc phục sự cố và giảm thiểu thiệt hại;</w:t>
      </w:r>
    </w:p>
    <w:p w14:paraId="024E4C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Hướng dẫn chủ thể dữ liệu thực hiện các biện pháp phòng ngừa, ngăn chặn tiếp theo;</w:t>
      </w:r>
    </w:p>
    <w:p w14:paraId="10D75C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Thông tin liên hệ của bộ phận, nhân sự bảo vệ dữ liệu cá nhân hoặc tổ chức, cá nhân cung cấp dịch vụ bảo vệ dữ liệu cá nhân; bộ phận tiếp nhận, xử lý sự cố dữ liệu cá nhân tại tổ chức.</w:t>
      </w:r>
    </w:p>
    <w:p w14:paraId="310A1EB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Trường hợp tổ chức, cá nhân không thể thông báo cho tất cả chủ thể dữ liệu cá nhân bị ảnh hưởng trong thời hạn nêu tại khoản 1 Điều này vì lý do kỹ thuật hoặc khẩn cấp, phải thực hiện:</w:t>
      </w:r>
    </w:p>
    <w:p w14:paraId="6C49AEE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Thông báo công khai bằng phương tiện điện tử chính thức của tổ chức qua trang thông tin điện tử, ứng dụng;</w:t>
      </w:r>
    </w:p>
    <w:p w14:paraId="61C8560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Gửi thông báo cho chủ thể dữ liệu cá nhân liên quan ngay khi điều kiện kỹ thuật cho phép.</w:t>
      </w:r>
    </w:p>
    <w:p w14:paraId="5D99DAC2">
      <w:pPr>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Trường hợp tổ chức, cá nhân không thực hiện thông báo đúng hạn hoặc cố tình trì hoãn, né tránh nghĩa vụ thông báo sẽ bị xem xét xử lý vi phạm theo quy định của pháp luật.</w:t>
      </w:r>
    </w:p>
    <w:p w14:paraId="726A1A7E">
      <w:pPr>
        <w:jc w:val="center"/>
        <w:rPr>
          <w:rFonts w:ascii="Arial" w:hAnsi="Arial" w:cs="Arial"/>
          <w:b/>
          <w:color w:val="000000" w:themeColor="text1"/>
          <w:sz w:val="20"/>
          <w:szCs w:val="20"/>
          <w14:textFill>
            <w14:solidFill>
              <w14:schemeClr w14:val="tx1"/>
            </w14:solidFill>
          </w14:textFill>
        </w:rPr>
      </w:pPr>
    </w:p>
    <w:p w14:paraId="09F94DB8">
      <w:pPr>
        <w:tabs>
          <w:tab w:val="left" w:pos="4212"/>
        </w:tabs>
        <w:adjustRightInd w:val="0"/>
        <w:snapToGrid w:val="0"/>
        <w:rPr>
          <w:rFonts w:ascii="Arial" w:hAnsi="Arial" w:cs="Arial"/>
          <w:color w:val="000000" w:themeColor="text1"/>
          <w:sz w:val="20"/>
          <w:szCs w:val="20"/>
          <w14:textFill>
            <w14:solidFill>
              <w14:schemeClr w14:val="tx1"/>
            </w14:solidFill>
          </w14:textFill>
        </w:rPr>
      </w:pPr>
    </w:p>
    <w:sectPr>
      <w:pgSz w:w="11906" w:h="16838"/>
      <w:pgMar w:top="1440" w:right="1440" w:bottom="1440" w:left="144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221"/>
    <w:rsid w:val="00001057"/>
    <w:rsid w:val="0007689A"/>
    <w:rsid w:val="00143F65"/>
    <w:rsid w:val="00265221"/>
    <w:rsid w:val="002E29CC"/>
    <w:rsid w:val="003702D0"/>
    <w:rsid w:val="00483B56"/>
    <w:rsid w:val="00606756"/>
    <w:rsid w:val="006E5405"/>
    <w:rsid w:val="00784F12"/>
    <w:rsid w:val="008D4252"/>
    <w:rsid w:val="008F1A89"/>
    <w:rsid w:val="00B53CA4"/>
    <w:rsid w:val="00D72178"/>
    <w:rsid w:val="00D874CE"/>
    <w:rsid w:val="00E252EE"/>
    <w:rsid w:val="00E81517"/>
    <w:rsid w:val="00E869EE"/>
    <w:rsid w:val="00FB276D"/>
    <w:rsid w:val="0D097A7D"/>
    <w:rsid w:val="214C4D66"/>
    <w:rsid w:val="3FE945E8"/>
    <w:rsid w:val="44076BA3"/>
    <w:rsid w:val="73F00142"/>
    <w:rsid w:val="79BD0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8"/>
    <w:qFormat/>
    <w:uiPriority w:val="0"/>
    <w:pPr>
      <w:widowControl w:val="0"/>
      <w:shd w:val="clear" w:color="auto" w:fill="FFFFFF"/>
      <w:spacing w:after="220" w:line="288" w:lineRule="auto"/>
      <w:ind w:firstLine="400"/>
    </w:pPr>
    <w:rPr>
      <w:sz w:val="26"/>
      <w:szCs w:val="26"/>
    </w:rPr>
  </w:style>
  <w:style w:type="paragraph" w:styleId="5">
    <w:name w:val="footer"/>
    <w:basedOn w:val="1"/>
    <w:link w:val="13"/>
    <w:unhideWhenUsed/>
    <w:qFormat/>
    <w:uiPriority w:val="99"/>
    <w:pPr>
      <w:tabs>
        <w:tab w:val="center" w:pos="4513"/>
        <w:tab w:val="right" w:pos="9026"/>
      </w:tabs>
    </w:pPr>
  </w:style>
  <w:style w:type="paragraph" w:styleId="6">
    <w:name w:val="header"/>
    <w:basedOn w:val="1"/>
    <w:link w:val="12"/>
    <w:unhideWhenUsed/>
    <w:uiPriority w:val="99"/>
    <w:pPr>
      <w:tabs>
        <w:tab w:val="center" w:pos="4513"/>
        <w:tab w:val="right" w:pos="9026"/>
      </w:tabs>
    </w:pPr>
  </w:style>
  <w:style w:type="table" w:styleId="7">
    <w:name w:val="Table Grid"/>
    <w:basedOn w:val="3"/>
    <w:qFormat/>
    <w:uiPriority w:val="39"/>
    <w:pPr>
      <w:spacing w:after="0" w:line="240" w:lineRule="auto"/>
    </w:pPr>
    <w:rPr>
      <w:rFonts w:eastAsiaTheme="minorEastAsia"/>
      <w:kern w:val="2"/>
      <w:sz w:val="24"/>
      <w:szCs w:val="24"/>
      <w:lang w:val="vi-VN" w:eastAsia="vi-V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Body Text Char"/>
    <w:basedOn w:val="2"/>
    <w:link w:val="4"/>
    <w:qFormat/>
    <w:uiPriority w:val="0"/>
    <w:rPr>
      <w:rFonts w:ascii="Times New Roman" w:hAnsi="Times New Roman" w:eastAsia="Times New Roman" w:cs="Times New Roman"/>
      <w:sz w:val="26"/>
      <w:szCs w:val="26"/>
      <w:shd w:val="clear" w:color="auto" w:fill="FFFFFF"/>
    </w:rPr>
  </w:style>
  <w:style w:type="character" w:customStyle="1" w:styleId="9">
    <w:name w:val="Heading #1_"/>
    <w:basedOn w:val="2"/>
    <w:link w:val="10"/>
    <w:qFormat/>
    <w:uiPriority w:val="0"/>
    <w:rPr>
      <w:rFonts w:ascii="Times New Roman" w:hAnsi="Times New Roman" w:eastAsia="Times New Roman" w:cs="Times New Roman"/>
      <w:b/>
      <w:bCs/>
      <w:sz w:val="26"/>
      <w:szCs w:val="26"/>
      <w:shd w:val="clear" w:color="auto" w:fill="FFFFFF"/>
    </w:rPr>
  </w:style>
  <w:style w:type="paragraph" w:customStyle="1" w:styleId="10">
    <w:name w:val="Heading #1"/>
    <w:basedOn w:val="1"/>
    <w:link w:val="9"/>
    <w:qFormat/>
    <w:uiPriority w:val="0"/>
    <w:pPr>
      <w:widowControl w:val="0"/>
      <w:shd w:val="clear" w:color="auto" w:fill="FFFFFF"/>
      <w:spacing w:after="220" w:line="276" w:lineRule="auto"/>
      <w:ind w:firstLine="600"/>
      <w:outlineLvl w:val="0"/>
    </w:pPr>
    <w:rPr>
      <w:b/>
      <w:bCs/>
      <w:sz w:val="26"/>
      <w:szCs w:val="26"/>
    </w:rPr>
  </w:style>
  <w:style w:type="character" w:customStyle="1" w:styleId="11">
    <w:name w:val="Body Text Char1"/>
    <w:basedOn w:val="2"/>
    <w:semiHidden/>
    <w:qFormat/>
    <w:uiPriority w:val="99"/>
    <w:rPr>
      <w:rFonts w:ascii="Times New Roman" w:hAnsi="Times New Roman" w:eastAsia="Times New Roman" w:cs="Times New Roman"/>
      <w:sz w:val="24"/>
      <w:szCs w:val="24"/>
    </w:rPr>
  </w:style>
  <w:style w:type="character" w:customStyle="1" w:styleId="12">
    <w:name w:val="Header Char"/>
    <w:basedOn w:val="2"/>
    <w:link w:val="6"/>
    <w:qFormat/>
    <w:uiPriority w:val="99"/>
    <w:rPr>
      <w:rFonts w:ascii="Times New Roman" w:hAnsi="Times New Roman" w:eastAsia="Times New Roman" w:cs="Times New Roman"/>
      <w:sz w:val="24"/>
      <w:szCs w:val="24"/>
    </w:rPr>
  </w:style>
  <w:style w:type="character" w:customStyle="1" w:styleId="13">
    <w:name w:val="Footer Char"/>
    <w:basedOn w:val="2"/>
    <w:link w:val="5"/>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3679</Words>
  <Characters>12323</Characters>
  <Lines>900</Lines>
  <Paragraphs>253</Paragraphs>
  <TotalTime>0</TotalTime>
  <ScaleCrop>false</ScaleCrop>
  <LinksUpToDate>false</LinksUpToDate>
  <CharactersWithSpaces>15876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2026-01-01T17:25:00Z</dcterms:created>
  <dc:creator>DELL</dc:creator>
  <cp:lastModifiedBy>Phúc Châu</cp:lastModifiedBy>
  <dcterms:modified xsi:type="dcterms:W3CDTF">2026-09-21T10:19:57Z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959F07F1396E43DA91EAB4E482BF88C2_12</vt:lpwstr>
  </property>
</Properties>
</file>