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GHI CHÚ PHẠM VI — NGHỊ ĐỊNH 54/2026/NĐ-CP</w:t>
      </w:r>
    </w:p>
    <w:p>
      <w:pPr>
        <w:jc w:val="center"/>
      </w:pPr>
      <w:r>
        <w:rPr>
          <w:rFonts w:ascii="Arial" w:hAnsi="Arial"/>
          <w:i/>
          <w:color w:val="666666"/>
          <w:sz w:val="22"/>
        </w:rPr>
        <w:t>Bản ghi tra cứu ngắn, không đưa vào kho hỏi đáp thuê trọ</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Nghị định 54/2026/NĐ-CP của Chính phủ.</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Sửa đổi, bổ sung một số nghị định về nhà ở và kinh doanh bất động sản.</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Ban hành và có hiệu lực ngày 09/02/2026.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Trạng thái trong corpus</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Đặt ngoài Data để không tạo chunk nền về thủ tục quản lý/dự án; chưa phải kết luận văn bản không có liên quan trong mọi tranh chấp.</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 đầu vào</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PDF trong Data/housing_contract/nghi dinh 54 nam 2026.pdf; kiểm tra nguồn chính thức ngày 01/10/2026.</w:t>
            </w:r>
          </w:p>
        </w:tc>
      </w:tr>
    </w:tbl>
    <w:p>
      <w:pPr>
        <w:pStyle w:val="Heading1"/>
      </w:pPr>
      <w:r>
        <w:t>Nội dung giữ lại</w:t>
      </w:r>
    </w:p>
    <w:p>
      <w:pPr>
        <w:pStyle w:val="Heading2"/>
      </w:pPr>
      <w:r>
        <w:t>Đánh giá phù hợp đề tài</w:t>
      </w:r>
    </w:p>
    <w:p>
      <w:pPr>
        <w:keepLines/>
      </w:pPr>
      <w:r>
        <w:t>Nghị định sửa đổi các quy định quản lý nhà ở và kinh doanh bất động sản. Các nội dung về tổ chức, dự án và thủ tục hành chính không trực tiếp trả lời câu hỏi thường gặp về hợp đồng thuê phòng riêng của sinh viên, tiền cọc, điện nước hoặc đăng ký tạm trú.</w:t>
      </w:r>
    </w:p>
    <w:p>
      <w:pPr>
        <w:pStyle w:val="Heading2"/>
      </w:pPr>
      <w:r>
        <w:t>Khi nào cần mở lại văn bản</w:t>
      </w:r>
    </w:p>
    <w:p>
      <w:pPr>
        <w:keepLines/>
      </w:pPr>
      <w:r>
        <w:t>Mở nguồn gốc nếu câu hỏi liên quan căn hộ/nhà ở thuộc dự án, chủ thể kinh doanh bất động sản, điều kiện quản lý nhà ở hoặc cần xác định nghĩa vụ của một dự án cụ thể. Không suy luận quyền/nghĩa vụ của người thuê chỉ từ tiêu đề văn bản.</w:t>
      </w:r>
    </w:p>
    <w:p>
      <w:pPr>
        <w:pStyle w:val="Heading2"/>
      </w:pPr>
      <w:r>
        <w:t>Quyết định biên tập</w:t>
      </w:r>
    </w:p>
    <w:p>
      <w:pPr>
        <w:keepLines/>
      </w:pPr>
      <w:r>
        <w:t>Không nạp ghi chú này vào Data. Bản PDF có thể được gỡ khỏi thư mục corpus sau khi bản Word ghi chú này đã được kiểm tra; bản gốc điện tử chính thức vẫn là nguồn kiểm chứng.</w:t>
      </w:r>
    </w:p>
    <w:p>
      <w:pPr>
        <w:pStyle w:val="Heading2"/>
      </w:pPr>
      <w:r>
        <w:t>Lược khỏi corpus</w:t>
      </w:r>
    </w:p>
    <w:p>
      <w:pPr>
        <w:keepLines/>
      </w:pPr>
      <w:r>
        <w:t>Không sao chép biểu mẫu, báo cáo hoặc điều khoản quản lý dự án không gắn với dịch vụ tìm chỗ ở sinh viên.</w:t>
      </w:r>
    </w:p>
    <w:p>
      <w:pPr>
        <w:pStyle w:val="Heading1"/>
      </w:pPr>
      <w:r>
        <w:t>Nguồn đối chiếu</w:t>
      </w:r>
    </w:p>
    <w:p>
      <w:pPr>
        <w:pStyle w:val="ListBullet"/>
        <w:spacing w:after="40"/>
      </w:pPr>
      <w:hyperlink r:id="rId10">
        <w:r>
          <w:rPr>
            <w:color w:val="1F4E79"/>
            <w:u w:val="single"/>
          </w:rPr>
          <w:t>https://vanban.chinhphu.vn/?docid=216924&amp;orggroupid=2&amp;pageid=27160</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docid=216924&amp;orggroupid=2&amp;pageid=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 CHÚ PHẠM VI — NGHỊ ĐỊNH 54/2026/NĐ-CP</dc:title>
  <dc:subject>Bản ghi tra cứu ngắn, không đưa vào kho hỏi đáp thuê trọ</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