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LUẬT 55/2024/QH15</w:t>
      </w:r>
    </w:p>
    <w:p>
      <w:pPr>
        <w:jc w:val="center"/>
      </w:pPr>
      <w:r>
        <w:rPr>
          <w:rFonts w:ascii="Arial" w:hAnsi="Arial"/>
          <w:i/>
          <w:color w:val="666666"/>
          <w:sz w:val="22"/>
        </w:rPr>
        <w:t>Trích tuyển trách nhiệm PCCC đối với nhà ở và người thuê</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Luật Phòng cháy, chữa cháy và cứu nạn, cứu hộ số 55/2024/QH15.</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Quy định phòng cháy, chữa cháy và cứu nạn, cứu hộ; phần này chọn nghĩa vụ của hộ gia đình, cá nhân và bên cho thuê nhà.</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Từ 01/07/2025; một số quy định khác có mốc hiệu lực riêng.</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Quan hệ văn bản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Dùng cùng Nghị định 106/2025/NĐ-CP đã được sửa đổi bởi Nghị định 69/2026/NĐ-CP và Nghị định 347/2026/NĐ-CP. Những thay đổi về thẩm định thiết kế không đồng nghĩa với thay đổi trách nhiệm sinh hoạt của người thuê.</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Data/fire_safety/luat so 55 2024.pdf; đối chiếu bản chính thức ngày 01/10/2026.</w:t>
            </w:r>
          </w:p>
        </w:tc>
      </w:tr>
    </w:tbl>
    <w:p>
      <w:pPr>
        <w:pStyle w:val="Heading1"/>
      </w:pPr>
      <w:r>
        <w:t>Nội dung giữ lại</w:t>
      </w:r>
    </w:p>
    <w:p>
      <w:pPr>
        <w:pStyle w:val="Heading2"/>
      </w:pPr>
      <w:r>
        <w:t>Khoản 6–8 Điều 8 — trách nhiệm trong nhà cho thuê</w:t>
      </w:r>
    </w:p>
    <w:p>
      <w:pPr>
        <w:keepLines/>
      </w:pPr>
      <w:r>
        <w:t>Người trong hộ gia đình có trách nhiệm phòng ngừa cháy, bảo đảm an toàn khi sử dụng nguồn lửa, nguồn nhiệt và thiết bị điện; người cho thuê/cho mượn/cho ở nhờ có trách nhiệm tuyên truyền, đôn đốc, nhắc người thuê tuân thủ. Người thuê, mượn, ở nhờ thực hiện trách nhiệm của mình theo luật, trừ trường hợp có thỏa thuận khác với bên cho thuê.</w:t>
      </w:r>
    </w:p>
    <w:p>
      <w:pPr>
        <w:pStyle w:val="Heading2"/>
      </w:pPr>
      <w:r>
        <w:t>Điều 20 — điều kiện an toàn đối với nhà ở</w:t>
      </w:r>
    </w:p>
    <w:p>
      <w:pPr>
        <w:keepLines/>
      </w:pPr>
      <w:r>
        <w:t>Giữ phần yêu cầu phù hợp câu hỏi thuê phòng: duy trì điều kiện an toàn cháy, sử dụng nguồn lửa/nhiệt và điện cẩn trọng, bảo đảm lối thoát nạn và phương tiện/điều kiện chữa cháy theo quy định áp dụng cho loại nhà.</w:t>
      </w:r>
    </w:p>
    <w:p>
      <w:pPr>
        <w:pStyle w:val="Heading2"/>
      </w:pPr>
      <w:r>
        <w:t>Điều 21 — nhà ở kết hợp sản xuất, kinh doanh</w:t>
      </w:r>
    </w:p>
    <w:p>
      <w:pPr>
        <w:keepLines/>
      </w:pPr>
      <w:r>
        <w:t>Chỉ dùng khi phòng trọ/nhà ở đồng thời có hoạt động sản xuất, kinh doanh thuộc phạm vi điều luật. Không gán toàn bộ nghĩa vụ cơ sở kinh doanh cho người thuê một phòng ở thông thường.</w:t>
      </w:r>
    </w:p>
    <w:p>
      <w:pPr>
        <w:pStyle w:val="Heading2"/>
      </w:pPr>
      <w:r>
        <w:t>Trang tham chiếu bản PDF nguồn</w:t>
      </w:r>
    </w:p>
    <w:p>
      <w:pPr>
        <w:keepLines/>
      </w:pPr>
      <w:r>
        <w:t>Điều 8 nằm khoảng trang PDF 8 (số in Công báo 29); Điều 20–21 khoảng trang PDF 18–19 (số in 40–41). Trang có thể khác ở bản scan khác.</w:t>
      </w:r>
    </w:p>
    <w:p>
      <w:pPr>
        <w:pStyle w:val="Heading2"/>
      </w:pPr>
      <w:r>
        <w:t>Lược khỏi bản trích</w:t>
      </w:r>
    </w:p>
    <w:p>
      <w:pPr>
        <w:keepLines/>
      </w:pPr>
      <w:r>
        <w:t>Các phần về tổ chức lực lượng, thẩm quyền thẩm định thiết kế, phương tiện chuyên ngành và cứu nạn chuyên biệt.</w:t>
      </w:r>
    </w:p>
    <w:p>
      <w:pPr>
        <w:pStyle w:val="Heading1"/>
      </w:pPr>
      <w:r>
        <w:t>Nguồn đối chiếu</w:t>
      </w:r>
    </w:p>
    <w:p>
      <w:pPr>
        <w:pStyle w:val="ListBullet"/>
        <w:spacing w:after="40"/>
      </w:pPr>
      <w:hyperlink r:id="rId10">
        <w:r>
          <w:rPr>
            <w:color w:val="1F4E79"/>
            <w:u w:val="single"/>
          </w:rPr>
          <w:t>https://vanban.chinhphu.vn/?classid=1&amp;docid=212483&amp;orggroupid=1&amp;pageid=27160</w:t>
        </w:r>
      </w:hyperlink>
    </w:p>
    <w:p>
      <w:pPr>
        <w:pStyle w:val="ListBullet"/>
        <w:spacing w:after="40"/>
      </w:pPr>
      <w:hyperlink r:id="rId11">
        <w:r>
          <w:rPr>
            <w:color w:val="1F4E79"/>
            <w:u w:val="single"/>
          </w:rPr>
          <w:t>https://vanban.chinhphu.vn/?classid=1&amp;docid=216534&amp;pageid=27160&amp;typegroupid=3</w:t>
        </w:r>
      </w:hyperlink>
    </w:p>
    <w:p>
      <w:pPr>
        <w:pStyle w:val="ListBullet"/>
        <w:spacing w:after="40"/>
      </w:pPr>
      <w:hyperlink r:id="rId12">
        <w:r>
          <w:rPr>
            <w:color w:val="1F4E79"/>
            <w:u w:val="single"/>
          </w:rPr>
          <w:t>https://vanban.chinhphu.vn/?classid=1&amp;docid=219411&amp;pageid=27160&amp;typegroupid=4</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classid=1&amp;docid=212483&amp;orggroupid=1&amp;pageid=27160" TargetMode="External"/><Relationship Id="rId11" Type="http://schemas.openxmlformats.org/officeDocument/2006/relationships/hyperlink" Target="https://vanban.chinhphu.vn/?classid=1&amp;docid=216534&amp;pageid=27160&amp;typegroupid=3" TargetMode="External"/><Relationship Id="rId12" Type="http://schemas.openxmlformats.org/officeDocument/2006/relationships/hyperlink" Target="https://vanban.chinhphu.vn/?classid=1&amp;docid=219411&amp;pageid=27160&amp;typegroupi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 55/2024/QH15</dc:title>
  <dc:subject>Trích tuyển trách nhiệm PCCC đối với nhà ở và người thuê</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