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BỘ LUẬT DÂN SỰ 91 2015 QH13 TRÍCH TUYỂN</w:t>
      </w:r>
    </w:p>
    <w:p>
      <w:r>
        <w:t>Văn bản gốc: Bộ luật Dân sự số 91/2015/QH13 ngày 24/11/2015, hiệu lực từ 01/01/2017.</w:t>
      </w:r>
    </w:p>
    <w:p>
      <w:r>
        <w:t>Phạm vi bản trích: điều kiện và hình thức giao dịch, đặt cọc, trách nhiệm vi phạm, giao kết và chấm dứt hợp đồng, thuê tài sản; Điều 688–689 dùng để đối chiếu chuyển tiếp và hiệu lực.</w:t>
      </w:r>
    </w:p>
    <w:p>
      <w:r>
        <w:t>Nguồn chính thức: https://vanban.chinhphu.vn/default.aspx?docid=183188&amp;pageid=27160</w:t>
      </w:r>
    </w:p>
    <w:p>
      <w:r>
        <w:t>Bản trích giữ nguyên số điều/khoản của nguồn. Các điều không liên tiếp không được hiểu là liền nhau trong toàn bộ Bộ luật.</w:t>
      </w:r>
    </w:p>
    <w:p>
      <w:pPr>
        <w:pStyle w:val="Heading1"/>
      </w:pPr>
      <w:r>
        <w:t>NỘI DUNG TRÍCH TUYỂN</w:t>
      </w:r>
    </w:p>
    <w:p>
      <w:pPr>
        <w:pStyle w:val="Heading2"/>
      </w:pPr>
      <w:r>
        <w:t>Điều 116. Giao dịch dân sự</w:t>
      </w:r>
    </w:p>
    <w:p>
      <w:r>
        <w:t>Giao dịch dân sự là hợp đồng hoặc hành vi pháp lý đơn phương làm phát sinh, thay đổi hoặc chấm dứt quyền, nghĩa vụ dân sự.</w:t>
      </w:r>
    </w:p>
    <w:p>
      <w:pPr>
        <w:pStyle w:val="Heading2"/>
      </w:pPr>
      <w:r>
        <w:t>Điều 117. Điều kiện có hiệu lực của giao dịch dân sự</w:t>
      </w:r>
    </w:p>
    <w:p>
      <w:r>
        <w:t>1. Giao dịch dân sự có hiệu lực khi có đủ các điều kiện sau đây:</w:t>
      </w:r>
    </w:p>
    <w:p>
      <w:r>
        <w:t>a) Chủ thể có năng lực pháp luật dân sự, năng lực hành vi dân sự phù hợp với giao dịch dân sự được xác lập;</w:t>
      </w:r>
    </w:p>
    <w:p>
      <w:r>
        <w:t>b) Chủ thể tham gia giao dịch dân sự hoàn toàn tự nguyện;</w:t>
      </w:r>
    </w:p>
    <w:p>
      <w:r>
        <w:t>c) Mục đích và nội dung của giao dịch dân sự không vi phạm điều cấm của luật, không trái đạo đức xã hội.</w:t>
      </w:r>
    </w:p>
    <w:p>
      <w:r>
        <w:t>2. Hình thức của giao dịch dân sự là điều kiện có hiệu lực của giao dịch dân sự trong trường hợp luật có quy định.</w:t>
      </w:r>
    </w:p>
    <w:p>
      <w:pPr>
        <w:pStyle w:val="Heading2"/>
      </w:pPr>
      <w:r>
        <w:t>Điều 119. Hình thức giao dịch dân sự</w:t>
      </w:r>
    </w:p>
    <w:p>
      <w:r>
        <w:t>1. Giao dịch dân sự được thể hiện bằng lời nói, bằng văn bản hoặc bằng hành vi cụ thể.</w:t>
      </w:r>
    </w:p>
    <w:p>
      <w:r>
        <w:t>Giao dịch dân sự thông qua phương tiện điện tử dưới hình thức thông điệp dữ liệu theo quy định của pháp luật về giao dịch điện tử được coi là giao dịch bằng văn bản.</w:t>
      </w:r>
    </w:p>
    <w:p>
      <w:r>
        <w:t>2. Trường hợp luật quy định giao dịch dân sự phải được thể hiện bằng văn bản có công chứng, chứng thực, đăng ký thì phải tuân theo quy định đó.</w:t>
      </w:r>
    </w:p>
    <w:p>
      <w:pPr>
        <w:pStyle w:val="Heading2"/>
      </w:pPr>
      <w:r>
        <w:t>Điều 124. Giao dịch dân sự vô hiệu do giả tạo</w:t>
      </w:r>
    </w:p>
    <w:p>
      <w: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r>
        <w:t>2. Trường hợp xác lập giao dịch dân sự giả tạo nhằm trốn tránh nghĩa vụ với người thứ ba thì giao dịch dân sự đó vô hiệu.</w:t>
      </w:r>
    </w:p>
    <w:p>
      <w:pPr>
        <w:pStyle w:val="Heading2"/>
      </w:pPr>
      <w:r>
        <w:t>Điều 127. Giao dịch dân sự vô hiệu do bị lừa dối, đe dọa, cưỡng ép</w:t>
      </w:r>
    </w:p>
    <w:p>
      <w:r>
        <w:t>Khi một bên tham gia giao dịch dân sự do bị lừa dối hoặc bị đe dọa, cưỡng ép thì có quyền yêu cầu Tòa án tuyên bố giao dịch dân sự đó là vô hiệu.</w:t>
      </w:r>
    </w:p>
    <w:p>
      <w: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r>
        <w:t>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pPr>
        <w:pStyle w:val="Heading2"/>
      </w:pPr>
      <w:r>
        <w:t>Điều 131. Hậu quả pháp lý của giao dịch dân sự vô hiệu</w:t>
      </w:r>
    </w:p>
    <w:p>
      <w:r>
        <w:t>1. Giao dịch dân sự vô hiệu không làm phát sinh, thay đổi, chấm dứt quyền, nghĩa vụ dân sự của các bên kể từ thời điểm giao dịch được xác lập.</w:t>
      </w:r>
    </w:p>
    <w:p>
      <w:r>
        <w:t>2. Khi giao dịch dân sự vô hiệu thì các bên khôi phục lại tình trạng ban đầu, hoàn trả cho nhau những gì đã nhận.</w:t>
      </w:r>
    </w:p>
    <w:p>
      <w:r>
        <w:t>Trường hợp không thể hoàn trả được bằng hiện vật thì trị giá thành tiền để hoàn trả.</w:t>
      </w:r>
    </w:p>
    <w:p>
      <w:r>
        <w:t>3. Bên ngay tình trong việc thu hoa lợi, lợi tức không phải hoàn trả lại hoa lợi, lợi tức đó.</w:t>
      </w:r>
    </w:p>
    <w:p>
      <w:r>
        <w:t>4. Bên có lỗi gây thiệt hại thì phải bồi thường.</w:t>
      </w:r>
    </w:p>
    <w:p>
      <w:r>
        <w:t>5. Việc giải quyết hậu quả của giao dịch dân sự vô hiệu liên quan đến quyền nhân thân do Bộ luật này, luật khác có liên quan quy định.</w:t>
      </w:r>
    </w:p>
    <w:p>
      <w:pPr>
        <w:pStyle w:val="Heading2"/>
      </w:pPr>
      <w:r>
        <w:t>Điều 328. Đặt cọc</w:t>
      </w:r>
    </w:p>
    <w:p>
      <w: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w:t>
      </w:r>
    </w:p>
    <w:p>
      <w:pPr>
        <w:pStyle w:val="Heading2"/>
      </w:pPr>
      <w:r>
        <w:t>Điều 351. Trách nhiệm dân sự do vi phạm nghĩa vụ</w:t>
      </w:r>
    </w:p>
    <w:p>
      <w:r>
        <w:t>1. Bên có nghĩa vụ mà vi phạm nghĩa vụ thì phải chịu trách nhiệm dân sự đối với bên có quyền.</w:t>
      </w:r>
    </w:p>
    <w:p>
      <w:r>
        <w:t>Vi phạm nghĩa vụ là việc bên có nghĩa vụ không thực hiện nghĩa vụ đúng thời hạn, thực hiện không đầy đủ nghĩa vụ hoặc thực hiện không đúng nội dung của nghĩa vụ.</w:t>
      </w:r>
    </w:p>
    <w:p>
      <w:r>
        <w:t>2. Trường hợp bên có nghĩa vụ không thực hiện đúng nghĩa vụ do sự kiện bất khả kháng thì không phải chịu trách nhiệm dân sự, trừ trường hợp có thoả thuận khác hoặc pháp luật có quy định khác.</w:t>
      </w:r>
    </w:p>
    <w:p>
      <w:r>
        <w:t>3. Bên có nghĩa vụ không phải chịu trách nhiệm dân sự nếu chứng minh được nghĩa vụ không thực hiện được là hoàn toàn do lỗi của bên có quyền.</w:t>
      </w:r>
    </w:p>
    <w:p>
      <w:pPr>
        <w:pStyle w:val="Heading2"/>
      </w:pPr>
      <w:r>
        <w:t>Điều 357. Trách nhiệm do chậm thực hiện nghĩa vụ trả tiền</w:t>
      </w:r>
    </w:p>
    <w:p>
      <w:r>
        <w:t>1. Trường hợp bên có nghĩa vụ chậm trả tiền thì bên đó phải trả lãi đối với số tiền chậm trả tương ứng với thời gian chậm trả.</w:t>
      </w:r>
    </w:p>
    <w:p>
      <w:r>
        <w:t>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p>
    <w:p>
      <w:pPr>
        <w:pStyle w:val="Heading2"/>
      </w:pPr>
      <w:r>
        <w:t>Điều 360. Trách nhiệm bồi thường thiệt hại do vi phạm nghĩa vụ</w:t>
      </w:r>
    </w:p>
    <w:p>
      <w:r>
        <w:t>Trường hợp có thiệt hại do vi phạm nghĩa vụ gây ra thì bên có nghĩa vụ phải bồi thường toàn bộ thiệt hại, trừ trường hợp có thỏa thuận khác hoặc luật có quy định khác.</w:t>
      </w:r>
    </w:p>
    <w:p>
      <w:pPr>
        <w:pStyle w:val="Heading2"/>
      </w:pPr>
      <w:r>
        <w:t>Điều 361. Thiệt hại do vi phạm nghĩa vụ</w:t>
      </w:r>
    </w:p>
    <w:p>
      <w:r>
        <w:t>1. Thiệt hại do vi phạm nghĩa vụ bao gồm thiệt hại về vật chất và thiệt hại về tinh thần.</w:t>
      </w:r>
    </w:p>
    <w:p>
      <w: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r>
        <w:t>3. Thiệt hại về tinh thần là tổn thất về tinh thần do bị xâm phạm đến tính mạng, sức khỏe, danh dự, nhân phẩm, uy tín và các lợi ích nhân thân khác của một chủ thể.</w:t>
      </w:r>
    </w:p>
    <w:p>
      <w:pPr>
        <w:pStyle w:val="Heading2"/>
      </w:pPr>
      <w:r>
        <w:t>Điều 385. Khái niệm hợp đồng</w:t>
      </w:r>
    </w:p>
    <w:p>
      <w:r>
        <w:t>Hợp đồng là sự thoả thuận giữa các bên về việc xác lập, thay đổi hoặc chấm dứt quyền, nghĩa vụ dân sự.</w:t>
      </w:r>
    </w:p>
    <w:p>
      <w:pPr>
        <w:pStyle w:val="Heading2"/>
      </w:pPr>
      <w:r>
        <w:t>Điều 387. Thông tin trong giao kết hợp đồng</w:t>
      </w:r>
    </w:p>
    <w:p>
      <w:r>
        <w:t>1. Trường hợp một bên có thông tin ảnh hưởng đến việc chấp nhận giao kết hợp đồng của bên kia thì phải thông báo cho bên kia biết.</w:t>
      </w:r>
    </w:p>
    <w:p>
      <w: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r>
        <w:t>3. Bên vi phạm quy định tại khoản 1, khoản 2 Điều này mà gây thiệt hại thì phải bồi thường.</w:t>
      </w:r>
    </w:p>
    <w:p>
      <w:pPr>
        <w:pStyle w:val="Heading2"/>
      </w:pPr>
      <w:r>
        <w:t>Điều 398. Nội dung của hợp đồng</w:t>
      </w:r>
    </w:p>
    <w:p>
      <w:r>
        <w:t>1. Các bên trong hợp đồng có quyền thỏa thuận về nội dung trong hợp đồng.</w:t>
      </w:r>
    </w:p>
    <w:p>
      <w:r>
        <w:t>2. Hợp đồng có thể có các nội dung sau đây:</w:t>
      </w:r>
    </w:p>
    <w:p>
      <w:r>
        <w:t>a) Đối tượng của hợp đồng;</w:t>
      </w:r>
    </w:p>
    <w:p>
      <w:r>
        <w:t>b) Số lượng, chất lượng;</w:t>
      </w:r>
    </w:p>
    <w:p>
      <w:r>
        <w:t>c) Giá, phương thức thanh toán;</w:t>
      </w:r>
    </w:p>
    <w:p>
      <w:r>
        <w:t>d) Thời hạn, địa điểm, phương thức thực hiện hợp đồng;</w:t>
      </w:r>
    </w:p>
    <w:p>
      <w:r>
        <w:t>đ) Quyền, nghĩa vụ của các bên;</w:t>
      </w:r>
    </w:p>
    <w:p>
      <w:r>
        <w:t>e) Trách nhiệm do vi phạm hợp đồng;</w:t>
      </w:r>
    </w:p>
    <w:p>
      <w:r>
        <w:t>g) Phương thức giải quyết tranh chấp.</w:t>
      </w:r>
    </w:p>
    <w:p>
      <w:pPr>
        <w:pStyle w:val="Heading2"/>
      </w:pPr>
      <w:r>
        <w:t>Điều 400. Thời điểm giao kết hợp đồng</w:t>
      </w:r>
    </w:p>
    <w:p>
      <w:r>
        <w:t>1. Hợp đồng được giao kết vào thời điểm bên đề nghị nhận được chấp nhận giao kết.</w:t>
      </w:r>
    </w:p>
    <w:p>
      <w:r>
        <w:t>2. Trường hợp các bên có thỏa thuận im lặng là sự trả lời chấp nhận giao kết hợp đồng trong một thời hạn thì thời điểm giao kết hợp đồng là thời điểm cuối cùng của thời hạn đó.</w:t>
      </w:r>
    </w:p>
    <w:p>
      <w:r>
        <w:t>3. Thời điểm giao kết hợp đồng bằng lời nói là thời điểm các bên đã thỏa thuận về nội dung của hợp đồng.</w:t>
      </w:r>
    </w:p>
    <w:p>
      <w:r>
        <w:t>4. Thời điểm giao kết hợp đồng bằng văn bản là thời điểm bên sau cùng ký vào văn bản hay bằng hình thức chấp nhận khác được thể hiện trên văn bản.</w:t>
      </w:r>
    </w:p>
    <w:p>
      <w:r>
        <w:t>Trường hợp hợp đồng giao kết bằng lời nói và sau đó được xác lập bằng văn bản thì thời điểm giao kết hợp đồng được xác định theo khoản 3 Điều này.</w:t>
      </w:r>
    </w:p>
    <w:p>
      <w:pPr>
        <w:pStyle w:val="Heading2"/>
      </w:pPr>
      <w:r>
        <w:t>Điều 401. Hiệu lực của hợp đồng</w:t>
      </w:r>
    </w:p>
    <w:p>
      <w:r>
        <w:t>1. Hợp đồng được giao kết hợp pháp có hiệu lực từ thời điểm giao kết, trừ trường hợp có thỏa thuận khác hoặc luật liên quan có quy định khác.</w:t>
      </w:r>
    </w:p>
    <w:p>
      <w: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pPr>
        <w:pStyle w:val="Heading2"/>
      </w:pPr>
      <w:r>
        <w:t>Điều 403. Phụ lục hợp đồng</w:t>
      </w:r>
    </w:p>
    <w:p>
      <w: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pPr>
        <w:pStyle w:val="Heading2"/>
      </w:pPr>
      <w:r>
        <w:t>Điều 404. Giải thích hợp đồng</w:t>
      </w:r>
    </w:p>
    <w:p>
      <w: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r>
        <w:t>2. Khi hợp đồng có điều khoản hoặc ngôn từ có thể hiểu theo nhiều nghĩa khác nhau thì phải giải thích theo nghĩa phù hợp nhất với mục đích, tính chất của hợp đồng.</w:t>
      </w:r>
    </w:p>
    <w:p>
      <w:r>
        <w:t>3. Khi hợp đồng có điều khoản hoặc ngôn từ khó hiểu thì phải được giải thích theo tập quán tại địa điểm giao kết hợp đồng.</w:t>
      </w:r>
    </w:p>
    <w:p>
      <w:r>
        <w:t>4. Các điều khoản trong hợp đồng phải được giải thích trong mối liên hệ với nhau, sao cho ý nghĩa của các điều khoản đó phù hợp với toàn bộ nội dung hợp đồng.</w:t>
      </w:r>
    </w:p>
    <w:p>
      <w:r>
        <w:t>5. Trường hợp có sự mâu thuẫn giữa ý chí chung của các bên với ngôn từ sử dụng trong hợp đồng thì ý chí chung của các bên được dùng để giải thích hợp đồng.</w:t>
      </w:r>
    </w:p>
    <w:p>
      <w:r>
        <w:t>6. Trường hợp bên soạn thảo đưa vào hợp đồng nội dung bất lợi cho bên kia thì khi giải thích hợp đồng phải theo hướng có lợi cho bên kia.</w:t>
      </w:r>
    </w:p>
    <w:p>
      <w:pPr>
        <w:pStyle w:val="Heading2"/>
      </w:pPr>
      <w:r>
        <w:t>Điều 405. Hợp đồng theo mẫu</w:t>
      </w:r>
    </w:p>
    <w:p>
      <w: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r>
        <w:t>Hợp đồng theo mẫu phải được công khai để bên được đề nghị biết hoặc phải biết về những nội dung của hợp đồng.</w:t>
      </w:r>
    </w:p>
    <w:p>
      <w:r>
        <w:t>Trình tự, thể thức công khai hợp đồng theo mẫu thực hiện theo quy định của pháp luật.</w:t>
      </w:r>
    </w:p>
    <w:p>
      <w:r>
        <w:t>2. Trường hợp hợp đồng theo mẫu có điều khoản không rõ ràng thì bên đưa ra hợp đồng theo mẫu phải chịu bất lợi khi giải thích điều khoản đó.</w:t>
      </w:r>
    </w:p>
    <w:p>
      <w: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pPr>
        <w:pStyle w:val="Heading2"/>
      </w:pPr>
      <w:r>
        <w:t>Điều 406. Điều kiện giao dịch chung trong giao kết hợp đồng</w:t>
      </w:r>
    </w:p>
    <w:p>
      <w: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r>
        <w:t>2. Điều kiện giao dịch chung chỉ có hiệu lực với bên xác lập giao dịch trong trường hợp điều kiện giao dịch này đã được công khai để bên xác lập giao dịch biết hoặc phải biết về điều kiện đó.</w:t>
      </w:r>
    </w:p>
    <w:p>
      <w:r>
        <w:t>Trình tự, thể thức công khai điều kiện giao dịch chung thực hiện theo quy định của pháp luật.</w:t>
      </w:r>
    </w:p>
    <w:p>
      <w: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pPr>
        <w:pStyle w:val="Heading2"/>
      </w:pPr>
      <w:r>
        <w:t>Điều 407. Hợp đồng vô hiệu</w:t>
      </w:r>
    </w:p>
    <w:p>
      <w:r>
        <w:t>1. Quy định về giao dịch dân sự vô hiệu từ Điều 123 đến Điều 133 của Bộ luật này cũng được áp dụng đối với hợp đồng vô hiệu.</w:t>
      </w:r>
    </w:p>
    <w:p>
      <w:r>
        <w:t>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r>
        <w:t>3. Sự vô hiệu của hợp đồng phụ không làm chấm dứt hợp đồng chính, trừ trường hợp các bên thoả thuận hợp đồng phụ là một phần không thể tách rời của hợp đồng chính.</w:t>
      </w:r>
    </w:p>
    <w:p>
      <w:pPr>
        <w:pStyle w:val="Heading2"/>
      </w:pPr>
      <w:r>
        <w:t>Điều 418. Thoả thuận phạt vi phạm</w:t>
      </w:r>
    </w:p>
    <w:p>
      <w:r>
        <w:t>1. Phạt vi phạm là sự thoả thuận giữa các bên trong hợp đồng, theo đó bên vi phạm nghĩa vụ phải nộp một khoản tiền cho bên bị vi phạm.</w:t>
      </w:r>
    </w:p>
    <w:p>
      <w:r>
        <w:t>2. Mức phạt vi phạm do các bên thoả thuận, trừ trường hợp luật liên quan có quy định khác.</w:t>
      </w:r>
    </w:p>
    <w:p>
      <w:r>
        <w:t>3. Các bên có thể thoả thuận về việc bên vi phạm nghĩa vụ chỉ phải chịu phạt vi phạm mà không phải bồi thường thiệt hại hoặc vừa phải chịu phạt vi phạm và vừa phải bồi thường thiệt hại.</w:t>
      </w:r>
    </w:p>
    <w:p>
      <w:r>
        <w:t>Trường hợp các bên có thoả thuận về phạt vi phạm nhưng không thỏa thuận về việc vừa phải chịu phạt vi phạm và vừa phải bồi thường thiệt hại thì bên vi phạm nghĩa vụ chỉ phải chịu phạt vi phạm.</w:t>
      </w:r>
    </w:p>
    <w:p>
      <w:pPr>
        <w:pStyle w:val="Heading2"/>
      </w:pPr>
      <w:r>
        <w:t>Điều 419. Thiệt hại được bồi thường do vi phạm hợp đồng</w:t>
      </w:r>
    </w:p>
    <w:p>
      <w:r>
        <w:t>1. Thiệt hại được bồi thường do vi phạm nghĩa vụ theo hợp đồng được xác định theo quy định tại khoản 2 Điều này, Điều 13 và Điều 360 của Bộ luật này.</w:t>
      </w:r>
    </w:p>
    <w:p>
      <w: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r>
        <w:t>3. Theo yêu cầu của người có quyền, Tòa án có thể buộc người có nghĩa vụ bồi thường thiệt hại về tinh thần cho người có quyền. Mức bồi thường do Tòa án quyết định căn cứ vào nội dung vụ việc.</w:t>
      </w:r>
    </w:p>
    <w:p>
      <w:pPr>
        <w:pStyle w:val="Heading2"/>
      </w:pPr>
      <w:r>
        <w:t>Điều 421. Sửa đổi hợp đồng</w:t>
      </w:r>
    </w:p>
    <w:p>
      <w:r>
        <w:t>1. Các bên có thể thoả thuận sửa đổi hợp đồng.</w:t>
      </w:r>
    </w:p>
    <w:p>
      <w:r>
        <w:t>2. Hợp đồng có thể được sửa đổi theo quy định tại Điều 420 của Bộ luật này.</w:t>
      </w:r>
    </w:p>
    <w:p>
      <w:r>
        <w:t>3. Hợp đồng sửa đổi phải tuân theo hình thức của hợp đồng ban đầu.</w:t>
      </w:r>
    </w:p>
    <w:p>
      <w:pPr>
        <w:pStyle w:val="Heading2"/>
      </w:pPr>
      <w:r>
        <w:t>Điều 422. Chấm dứt hợp đồng</w:t>
      </w:r>
    </w:p>
    <w:p>
      <w:r>
        <w:t>Hợp đồng chấm dứt trong trường hợp sau đây:</w:t>
      </w:r>
    </w:p>
    <w:p>
      <w:r>
        <w:t>1. Hợp đồng đã được hoàn thành;</w:t>
      </w:r>
    </w:p>
    <w:p>
      <w:r>
        <w:t>2. Theo thoả thuận của các bên;</w:t>
      </w:r>
    </w:p>
    <w:p>
      <w:r>
        <w:t>3. Cá nhân giao kết hợp đồng chết, pháp nhân giao kết hợp đồng chấm dứt tồn tại mà hợp đồng phải do chính cá nhân, pháp nhân đó thực hiện;</w:t>
      </w:r>
    </w:p>
    <w:p>
      <w:r>
        <w:t>4. Hợp đồng bị huỷ bỏ, bị đơn phương chấm dứt thực hiện;</w:t>
      </w:r>
    </w:p>
    <w:p>
      <w:r>
        <w:t>5. Hợp đồng không thể thực hiện được do đối tượng của hợp đồng không còn;</w:t>
      </w:r>
    </w:p>
    <w:p>
      <w:r>
        <w:t>6. Hợp đồng chấm dứt theo quy định tại Điều 420 của Bộ luật này;</w:t>
      </w:r>
    </w:p>
    <w:p>
      <w:r>
        <w:t>7. Trường hợp khác do luật quy định.</w:t>
      </w:r>
    </w:p>
    <w:p>
      <w:pPr>
        <w:pStyle w:val="Heading2"/>
      </w:pPr>
      <w:r>
        <w:t>Điều 423. Huỷ bỏ hợp đồng</w:t>
      </w:r>
    </w:p>
    <w:p>
      <w:r>
        <w:t>1. Một bên có quyền huỷ bỏ hợp đồng và không phải bồi thường thiệt hại trong trường hợp sau đây:</w:t>
      </w:r>
    </w:p>
    <w:p>
      <w:r>
        <w:t>a) Bên kia vi phạm hợp đồng là điều kiện huỷ bỏ mà các bên đã thoả thuận;</w:t>
      </w:r>
    </w:p>
    <w:p>
      <w:r>
        <w:t>b) Bên kia vi phạm nghiêm trọng nghĩa vụ hợp đồng;</w:t>
      </w:r>
    </w:p>
    <w:p>
      <w:r>
        <w:t>c) Trường hợp khác do luật quy định.</w:t>
      </w:r>
    </w:p>
    <w:p>
      <w:r>
        <w:t>2. Vi phạm nghiêm trọng là việc không thực hiện đúng nghĩa vụ của một bên đến mức làm cho bên kia không đạt được mục đích của việc giao kết hợp đồng.</w:t>
      </w:r>
    </w:p>
    <w:p>
      <w:r>
        <w:t>3. Bên hủy bỏ hợp đồng phải thông báo ngay cho bên kia biết về việc hủy bỏ, nếu không thông báo mà gây thiệt hại thì phải bồi thường.</w:t>
      </w:r>
    </w:p>
    <w:p>
      <w:pPr>
        <w:pStyle w:val="Heading2"/>
      </w:pPr>
      <w:r>
        <w:t>Điều 427. Hậu quả của việc huỷ bỏ hợp đồng</w:t>
      </w:r>
    </w:p>
    <w:p>
      <w: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r>
        <w:t>2. Các bên phải hoàn trả cho nhau những gì đã nhận sau khi trừ chi phí hợp lý trong thực hiện hợp đồng và chi phí bảo quản, phát triển tài sản.</w:t>
      </w:r>
    </w:p>
    <w:p>
      <w:r>
        <w:t>Việc hoàn trả được thực hiện bằng hiện vật. Trường hợp không hoàn trả được bằng hiện vật thì được trị giá thành tiền để hoàn trả.</w:t>
      </w:r>
    </w:p>
    <w:p>
      <w:r>
        <w:t>Trường hợp các bên cùng có nghĩa vụ hoàn trả thì việc hoàn trả phải được thực hiện cùng một thời điểm, trừ trường hợp có thỏa thuận khác hoặc pháp luật có quy định khác.</w:t>
      </w:r>
    </w:p>
    <w:p>
      <w:r>
        <w:t>3. Bên bị thiệt hại do hành vi vi phạm nghĩa vụ của bên kia được bồi thường.</w:t>
      </w:r>
    </w:p>
    <w:p>
      <w:r>
        <w:t>4. Việc giải quyết hậu quả của việc hủy bỏ hợp đồng liên quan đến quyền nhân thân do Bộ luật này và luật khác có liên quan quy định.</w:t>
      </w:r>
    </w:p>
    <w:p>
      <w:r>
        <w:t>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p>
    <w:p>
      <w:pPr>
        <w:pStyle w:val="Heading2"/>
      </w:pPr>
      <w:r>
        <w:t>Điều 428. Đơn phương chấm dứt thực hiện hợp đồng</w:t>
      </w:r>
    </w:p>
    <w:p>
      <w: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r>
        <w:t>2. Bên đơn phương chấm dứt thực hiện hợp đồng phải thông báo ngay cho bên kia biết về việc chấm dứt hợp đồng, nếu không thông báo mà gây thiệt hại thì phải bồi thường.</w:t>
      </w:r>
    </w:p>
    <w:p>
      <w: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r>
        <w:t>4. Bên bị thiệt hại do hành vi không thực hiện đúng nghĩa vụ trong hợp đồng của bên kia được bồi thường.</w:t>
      </w:r>
    </w:p>
    <w:p>
      <w: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pPr>
        <w:pStyle w:val="Heading2"/>
      </w:pPr>
      <w:r>
        <w:t>Điều 429. Thời hiệu khởi kiện về hợp đồng</w:t>
      </w:r>
    </w:p>
    <w:p>
      <w:r>
        <w:t>Thời hiệu khởi kiện để yêu cầu Tòa án giải quyết tranh chấp hợp đồng là 03 năm, kể từ ngày người có quyền yêu cầu biết hoặc phải biết quyền và lợi ích hợp pháp của mình bị xâm phạm.</w:t>
      </w:r>
    </w:p>
    <w:p>
      <w:pPr>
        <w:pStyle w:val="Heading2"/>
      </w:pPr>
      <w:r>
        <w:t>Điều 472. Hợp đồng thuê tài sản</w:t>
      </w:r>
    </w:p>
    <w:p>
      <w:r>
        <w:t>Hợp đồng thuê tài sản là sự thỏa thuận giữa các bên, theo đó bên cho thuê giao tài sản cho bên thuê để sử dụng trong một thời hạn, bên thuê phải trả tiền thuê.</w:t>
      </w:r>
    </w:p>
    <w:p>
      <w:r>
        <w:t>Hợp đồng thuê nhà ở, hợp đồng thuê nhà để sử dụng vào mục đích khác được thực hiện theo quy định của Bộ luật này, Luật nhà ở và quy định khác của pháp luật có liên quan.</w:t>
      </w:r>
    </w:p>
    <w:p>
      <w:pPr>
        <w:pStyle w:val="Heading2"/>
      </w:pPr>
      <w:r>
        <w:t>Điều 473. Giá thuê</w:t>
      </w:r>
    </w:p>
    <w:p>
      <w:r>
        <w:t>1. Giá thuê do các bên thoả thuận hoặc do người thứ ba xác định theo yêu cầu của các bên, trừ trường hợp luật có quy định khác.</w:t>
      </w:r>
    </w:p>
    <w:p>
      <w:r>
        <w:t>2. Trường hợp không có thỏa thuận hoặc thỏa thuận không rõ ràng thì giá thuê được xác định theo giá thị trường tại địa điểm và thời điểm giao kết hợp đồng thuê.</w:t>
      </w:r>
    </w:p>
    <w:p>
      <w:pPr>
        <w:pStyle w:val="Heading2"/>
      </w:pPr>
      <w:r>
        <w:t>Điều 474. Thời hạn thuê</w:t>
      </w:r>
    </w:p>
    <w:p>
      <w:r>
        <w:t>1. Thời hạn thuê do các bên thoả thuận; nếu không có thoả thuận thì được xác định theo mục đích thuê.</w:t>
      </w:r>
    </w:p>
    <w:p>
      <w:r>
        <w:t>2. Trường hợp các bên không thoả thuận về thời hạn thuê và thời hạn thuê không thể xác định được theo mục đích thuê thì mỗi bên có quyền chấm dứt hợp đồng bất cứ lúc nào, nhưng phải thông báo cho bên kia trước một thời gian hợp lý.</w:t>
      </w:r>
    </w:p>
    <w:p>
      <w:pPr>
        <w:pStyle w:val="Heading2"/>
      </w:pPr>
      <w:r>
        <w:t>Điều 475. Cho thuê lại</w:t>
      </w:r>
    </w:p>
    <w:p>
      <w:r>
        <w:t>Bên thuê có quyền cho thuê lại tài sản mà mình đã thuê, nếu được bên cho thuê đồng ý.</w:t>
      </w:r>
    </w:p>
    <w:p>
      <w:pPr>
        <w:pStyle w:val="Heading2"/>
      </w:pPr>
      <w:r>
        <w:t>Điều 476. Giao tài sản thuê</w:t>
      </w:r>
    </w:p>
    <w:p>
      <w:r>
        <w:t>1. Bên cho thuê phải giao tài sản cho bên thuê đúng số lượng, chất lượng, chủng loại, tình trạng, thời điểm, địa điểm đã thoả thuận và cung cấp thông tin cần thiết về việc sử dụng tài sản đó.</w:t>
      </w:r>
    </w:p>
    <w:p>
      <w:r>
        <w:t>2. Trường hợp bên cho thuê chậm giao tài sản thì bên thuê có thể gia hạn giao tài sản hoặc hủy bỏ hợp đồng và yêu cầu bồi thường thiệt hại; nếu tài sản thuê không đúng chất lượng như thoả thuận thì bên thuê có quyền yêu cầu bên cho thuê sửa chữa, giảm giá thuê hoặc hủy bỏ hợp đồng và yêu cầu bồi thường thiệt hại.</w:t>
      </w:r>
    </w:p>
    <w:p>
      <w:pPr>
        <w:pStyle w:val="Heading2"/>
      </w:pPr>
      <w:r>
        <w:t>Điều 477. Nghĩa vụ bảo đảm giá trị sử dụng của tài sản thuê</w:t>
      </w:r>
    </w:p>
    <w:p>
      <w:r>
        <w:t>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r>
        <w:t>2. Trường hợp tài sản thuê bị giảm sút giá trị sử dụng mà không do lỗi của bên thuê thì bên thuê có quyền yêu cầu bên cho thuê thực hiện một hoặc một số biện pháp sau đây:</w:t>
      </w:r>
    </w:p>
    <w:p>
      <w:r>
        <w:t>a) Sửa chữa tài sản;</w:t>
      </w:r>
    </w:p>
    <w:p>
      <w:r>
        <w:t>b) Giảm giá thuê;</w:t>
      </w:r>
    </w:p>
    <w:p>
      <w: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pPr>
        <w:pStyle w:val="Heading2"/>
      </w:pPr>
      <w:r>
        <w:t>Điều 478. Nghĩa vụ bảo đảm quyền sử dụng tài sản cho bên thuê</w:t>
      </w:r>
    </w:p>
    <w:p>
      <w:r>
        <w:t>1. Bên cho thuê phải bảo đảm quyền sử dụng tài sản ổn định cho bên thuê.</w:t>
      </w:r>
    </w:p>
    <w:p>
      <w: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pPr>
        <w:pStyle w:val="Heading2"/>
      </w:pPr>
      <w:r>
        <w:t>Điều 479. Nghĩa vụ bảo quản tài sản thuê</w:t>
      </w:r>
    </w:p>
    <w:p>
      <w:r>
        <w:t>1. Bên thuê phải bảo quản tài sản thuê, phải bảo dưỡng và sửa chữa nhỏ; nếu làm mất, hư hỏng thì phải bồi thường.</w:t>
      </w:r>
    </w:p>
    <w:p>
      <w:r>
        <w:t>Bên thuê không chịu trách nhiệm về những hao mòn tự nhiên do sử dụng tài sản thuê.</w:t>
      </w:r>
    </w:p>
    <w:p>
      <w:r>
        <w:t>2. Bên thuê có thể tu sửa và làm tăng giá trị tài sản thuê, nếu được bên cho thuê đồng ý và có quyền yêu cầu bên cho thuê thanh toán chi phí hợp lý.</w:t>
      </w:r>
    </w:p>
    <w:p>
      <w:pPr>
        <w:pStyle w:val="Heading2"/>
      </w:pPr>
      <w:r>
        <w:t>Điều 480. Nghĩa vụ sử dụng tài sản thuê đúng công dụng, mục đích</w:t>
      </w:r>
    </w:p>
    <w:p>
      <w:r>
        <w:t>1. Bên thuê phải sử dụng tài sản thuê theo đúng công dụng của tài sản và đúng mục đích đã thoả thuận.</w:t>
      </w:r>
    </w:p>
    <w:p>
      <w:r>
        <w:t>2. Trường hợp bên thuê sử dụng tài sản không đúng mục đích, không đúng công dụng thì bên cho thuê có quyền đơn phương chấm dứt thực hiện hợp đồng và yêu cầu bồi thường thiệt hại.</w:t>
      </w:r>
    </w:p>
    <w:p>
      <w:pPr>
        <w:pStyle w:val="Heading2"/>
      </w:pPr>
      <w:r>
        <w:t>Điều 481. Trả tiền thuê</w:t>
      </w:r>
    </w:p>
    <w:p>
      <w:r>
        <w:t>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
        <w:t>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pPr>
        <w:pStyle w:val="Heading2"/>
      </w:pPr>
      <w:r>
        <w:t>Điều 482. Trả lại tài sản thuê</w:t>
      </w:r>
    </w:p>
    <w:p>
      <w:r>
        <w:rPr>
          <w:i/>
        </w:rPr>
        <w:t>Ghi chú tuyển chọn: Chỉ giữ khoản 1 và khoản 4 về tình trạng tài sản khi trả và trách nhiệm khi chậm trả; bỏ phần về động sản, gia súc ngoài phạm vi nhà trọ.</w:t>
      </w:r>
    </w:p>
    <w:p>
      <w:r>
        <w:t>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pPr>
        <w:pStyle w:val="Heading2"/>
      </w:pPr>
      <w:r>
        <w:t>Điều 688. Điều khoản chuyển tiếp</w:t>
      </w:r>
    </w:p>
    <w:p>
      <w:r>
        <w:t>1. Đối với giao dịch dân sự được xác lập trước ngày Bộ luật này có hiệu lực thì việc áp dụng pháp luật được quy định như sau:</w:t>
      </w:r>
    </w:p>
    <w:p>
      <w:r>
        <w:t>a) Giao dịch dân sự chưa được thực hiện mà có nội dung, hình thức khác với quy định của Bộ luật này thì chủ thể giao dịch tiếp tục thực hiện theo quy định của Bộ luật dân sự số 33/2005/QH11 và các văn bản quy phạm pháp luật quy định chi tiết Bộ luật dân sự số 33/2005/QH11, trừ trường hợp các bên của giao dịch dân sự có thỏa thuận về việc sửa đổi, bổ sung nội dung, hình thức của giao dịch để phù hợp với Bộ luật này và để áp dụng quy định của Bộ luật này.</w:t>
      </w:r>
    </w:p>
    <w:p>
      <w:r>
        <w:t>Giao dịch dân sự đang được thực hiện mà có nội dung, hình thức khác với quy định của Bộ luật này thì áp dụng quy định của Bộ luật dân sự số 33/2005/QH11 và các văn bản quy phạm pháp luật quy định chi tiết Bộ luật dân sự số 33/2005/QH11;</w:t>
      </w:r>
    </w:p>
    <w:p>
      <w:r>
        <w:t>b) Giao dịch dân sự chưa được thực hiện hoặc đang được thực hiện mà có nội dung và hình thức phù hợp với quy định của Bộ luật này thì áp dụng quy định của Bộ luật này;</w:t>
      </w:r>
    </w:p>
    <w:p>
      <w:r>
        <w:t>c) Giao dịch dân sự được thực hiện xong trước ngày Bộ luật này có hiệu lực mà có tranh chấp thì áp dụng quy định của Bộ luật dân sự số 33/2005/QH11 và các văn bản quy phạm pháp luật quy định chi tiết Bộ luật dân sự số 33/2005/QH11 để giải quyết;</w:t>
      </w:r>
    </w:p>
    <w:p>
      <w:r>
        <w:t>d) Thời hiệu được áp dụng theo quy định của Bộ luật này.</w:t>
      </w:r>
    </w:p>
    <w:p>
      <w: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pPr>
        <w:pStyle w:val="Heading2"/>
      </w:pPr>
      <w:r>
        <w:t>Điều 689. Hiệu lực thi hành</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