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LUẬT CƯ TRÚ 68/2020/QH14</w:t>
      </w:r>
    </w:p>
    <w:p>
      <w:pPr>
        <w:jc w:val="center"/>
      </w:pPr>
      <w:r>
        <w:rPr>
          <w:rFonts w:ascii="Arial" w:hAnsi="Arial"/>
          <w:i/>
          <w:color w:val="666666"/>
          <w:sz w:val="22"/>
        </w:rPr>
        <w:t>Trích tuyển đăng ký tạm trú và thông báo lưu trú</w:t>
      </w:r>
    </w:p>
    <w:p>
      <w:pPr>
        <w:jc w:val="center"/>
      </w:pPr>
      <w:r>
        <w:rPr>
          <w:b/>
          <w:color w:val="1F4E79"/>
          <w:sz w:val="17"/>
        </w:rPr>
        <w:t>BẢN TRÍCH TUYỂN NGHIÊN CỨU — KHÔNG THAY THẾ VĂN BẢN GỐC</w:t>
      </w:r>
    </w:p>
    <w:tbl>
      <w:tblPr>
        <w:tblW w:type="auto" w:w="0"/>
        <w:jc w:val="center"/>
        <w:tblLayout w:type="fixed"/>
        <w:tblLook w:firstColumn="1" w:firstRow="1" w:lastColumn="0" w:lastRow="0" w:noHBand="0" w:noVBand="1" w:val="04A0"/>
      </w:tblPr>
      <w:tblGrid>
        <w:gridCol w:w="2016"/>
        <w:gridCol w:w="7560"/>
      </w:tblGrid>
      <w:tr>
        <w:tc>
          <w:tcPr>
            <w:tcW w:type="dxa" w:w="2016"/>
            <w:vAlign w:val="center"/>
            <w:tcBorders>
              <w:top w:val="single" w:sz="4" w:color="B7C9D6"/>
              <w:left w:val="single" w:sz="4" w:color="B7C9D6"/>
              <w:bottom w:val="single" w:sz="4" w:color="B7C9D6"/>
              <w:right w:val="single" w:sz="4" w:color="B7C9D6"/>
            </w:tcBorders>
            <w:shd w:fill="EAF2F8"/>
          </w:tcPr>
          <w:p>
            <w:pPr>
              <w:spacing w:after="20"/>
            </w:pPr>
            <w:r>
              <w:rPr>
                <w:rFonts w:ascii="Arial" w:hAnsi="Arial"/>
                <w:b/>
                <w:color w:val="17365D"/>
                <w:sz w:val="17"/>
              </w:rPr>
              <w:t>Loại, số hiệu</w:t>
            </w:r>
          </w:p>
        </w:tc>
        <w:tc>
          <w:tcPr>
            <w:tcW w:type="dxa" w:w="7560"/>
            <w:vAlign w:val="center"/>
            <w:tcBorders>
              <w:top w:val="single" w:sz="4" w:color="B7C9D6"/>
              <w:left w:val="single" w:sz="4" w:color="B7C9D6"/>
              <w:bottom w:val="single" w:sz="4" w:color="B7C9D6"/>
              <w:right w:val="single" w:sz="4" w:color="B7C9D6"/>
            </w:tcBorders>
          </w:tcPr>
          <w:p>
            <w:pPr>
              <w:spacing w:after="20" w:line="240" w:lineRule="auto"/>
            </w:pPr>
            <w:r>
              <w:rPr>
                <w:rFonts w:ascii="Arial" w:hAnsi="Arial"/>
                <w:sz w:val="17"/>
              </w:rPr>
              <w:t>Luật Cư trú số 68/2020/QH14.</w:t>
            </w:r>
          </w:p>
        </w:tc>
      </w:tr>
      <w:tr>
        <w:tc>
          <w:tcPr>
            <w:tcW w:type="dxa" w:w="2016"/>
            <w:vAlign w:val="center"/>
            <w:tcBorders>
              <w:top w:val="single" w:sz="4" w:color="B7C9D6"/>
              <w:left w:val="single" w:sz="4" w:color="B7C9D6"/>
              <w:bottom w:val="single" w:sz="4" w:color="B7C9D6"/>
              <w:right w:val="single" w:sz="4" w:color="B7C9D6"/>
            </w:tcBorders>
            <w:shd w:fill="EAF2F8"/>
          </w:tcPr>
          <w:p>
            <w:pPr>
              <w:spacing w:after="20"/>
            </w:pPr>
            <w:r>
              <w:rPr>
                <w:rFonts w:ascii="Arial" w:hAnsi="Arial"/>
                <w:b/>
                <w:color w:val="17365D"/>
                <w:sz w:val="17"/>
              </w:rPr>
              <w:t>Phạm vi, đối tượng</w:t>
            </w:r>
          </w:p>
        </w:tc>
        <w:tc>
          <w:tcPr>
            <w:tcW w:type="dxa" w:w="7560"/>
            <w:vAlign w:val="center"/>
            <w:tcBorders>
              <w:top w:val="single" w:sz="4" w:color="B7C9D6"/>
              <w:left w:val="single" w:sz="4" w:color="B7C9D6"/>
              <w:bottom w:val="single" w:sz="4" w:color="B7C9D6"/>
              <w:right w:val="single" w:sz="4" w:color="B7C9D6"/>
            </w:tcBorders>
          </w:tcPr>
          <w:p>
            <w:pPr>
              <w:spacing w:after="20" w:line="240" w:lineRule="auto"/>
            </w:pPr>
            <w:r>
              <w:rPr>
                <w:rFonts w:ascii="Arial" w:hAnsi="Arial"/>
                <w:sz w:val="17"/>
              </w:rPr>
              <w:t>Quy định quyền, nghĩa vụ và thủ tục cư trú của công dân Việt Nam; phần trích ưu tiên sinh viên thuê chỗ ở.</w:t>
            </w:r>
          </w:p>
        </w:tc>
      </w:tr>
      <w:tr>
        <w:tc>
          <w:tcPr>
            <w:tcW w:type="dxa" w:w="2016"/>
            <w:vAlign w:val="center"/>
            <w:tcBorders>
              <w:top w:val="single" w:sz="4" w:color="B7C9D6"/>
              <w:left w:val="single" w:sz="4" w:color="B7C9D6"/>
              <w:bottom w:val="single" w:sz="4" w:color="B7C9D6"/>
              <w:right w:val="single" w:sz="4" w:color="B7C9D6"/>
            </w:tcBorders>
            <w:shd w:fill="EAF2F8"/>
          </w:tcPr>
          <w:p>
            <w:pPr>
              <w:spacing w:after="20"/>
            </w:pPr>
            <w:r>
              <w:rPr>
                <w:rFonts w:ascii="Arial" w:hAnsi="Arial"/>
                <w:b/>
                <w:color w:val="17365D"/>
                <w:sz w:val="17"/>
              </w:rPr>
              <w:t>Hiệu lực</w:t>
            </w:r>
          </w:p>
        </w:tc>
        <w:tc>
          <w:tcPr>
            <w:tcW w:type="dxa" w:w="7560"/>
            <w:vAlign w:val="center"/>
            <w:tcBorders>
              <w:top w:val="single" w:sz="4" w:color="B7C9D6"/>
              <w:left w:val="single" w:sz="4" w:color="B7C9D6"/>
              <w:bottom w:val="single" w:sz="4" w:color="B7C9D6"/>
              <w:right w:val="single" w:sz="4" w:color="B7C9D6"/>
            </w:tcBorders>
          </w:tcPr>
          <w:p>
            <w:pPr>
              <w:spacing w:after="20" w:line="240" w:lineRule="auto"/>
            </w:pPr>
            <w:r>
              <w:rPr>
                <w:rFonts w:ascii="Arial" w:hAnsi="Arial"/>
                <w:sz w:val="17"/>
              </w:rPr>
              <w:t>Từ 01/07/2021. Dùng bản đã cập nhật các sửa đổi có hiệu lực đến 01/10/2026.</w:t>
            </w:r>
          </w:p>
        </w:tc>
      </w:tr>
      <w:tr>
        <w:tc>
          <w:tcPr>
            <w:tcW w:type="dxa" w:w="2016"/>
            <w:vAlign w:val="center"/>
            <w:tcBorders>
              <w:top w:val="single" w:sz="4" w:color="B7C9D6"/>
              <w:left w:val="single" w:sz="4" w:color="B7C9D6"/>
              <w:bottom w:val="single" w:sz="4" w:color="B7C9D6"/>
              <w:right w:val="single" w:sz="4" w:color="B7C9D6"/>
            </w:tcBorders>
            <w:shd w:fill="EAF2F8"/>
          </w:tcPr>
          <w:p>
            <w:pPr>
              <w:spacing w:after="20"/>
            </w:pPr>
            <w:r>
              <w:rPr>
                <w:rFonts w:ascii="Arial" w:hAnsi="Arial"/>
                <w:b/>
                <w:color w:val="17365D"/>
                <w:sz w:val="17"/>
              </w:rPr>
              <w:t>Quan hệ văn bản</w:t>
            </w:r>
          </w:p>
        </w:tc>
        <w:tc>
          <w:tcPr>
            <w:tcW w:type="dxa" w:w="7560"/>
            <w:vAlign w:val="center"/>
            <w:tcBorders>
              <w:top w:val="single" w:sz="4" w:color="B7C9D6"/>
              <w:left w:val="single" w:sz="4" w:color="B7C9D6"/>
              <w:bottom w:val="single" w:sz="4" w:color="B7C9D6"/>
              <w:right w:val="single" w:sz="4" w:color="B7C9D6"/>
            </w:tcBorders>
          </w:tcPr>
          <w:p>
            <w:pPr>
              <w:spacing w:after="20" w:line="240" w:lineRule="auto"/>
            </w:pPr>
            <w:r>
              <w:rPr>
                <w:rFonts w:ascii="Arial" w:hAnsi="Arial"/>
                <w:sz w:val="17"/>
              </w:rPr>
              <w:t>Có sửa đổi bởi Luật 59/2024/QH15 và Luật 118/2025/QH15 (hiệu lực phần liên quan từ 01/07/2026); hướng dẫn bởi Nghị định 154/2024 đã sửa bởi Nghị định 58/2026 và Thông tư 116/2026.</w:t>
            </w:r>
          </w:p>
        </w:tc>
      </w:tr>
      <w:tr>
        <w:tc>
          <w:tcPr>
            <w:tcW w:type="dxa" w:w="2016"/>
            <w:vAlign w:val="center"/>
            <w:tcBorders>
              <w:top w:val="single" w:sz="4" w:color="B7C9D6"/>
              <w:left w:val="single" w:sz="4" w:color="B7C9D6"/>
              <w:bottom w:val="single" w:sz="4" w:color="B7C9D6"/>
              <w:right w:val="single" w:sz="4" w:color="B7C9D6"/>
            </w:tcBorders>
            <w:shd w:fill="EAF2F8"/>
          </w:tcPr>
          <w:p>
            <w:pPr>
              <w:spacing w:after="20"/>
            </w:pPr>
            <w:r>
              <w:rPr>
                <w:rFonts w:ascii="Arial" w:hAnsi="Arial"/>
                <w:b/>
                <w:color w:val="17365D"/>
                <w:sz w:val="17"/>
              </w:rPr>
              <w:t>Nguồn đầu vào</w:t>
            </w:r>
          </w:p>
        </w:tc>
        <w:tc>
          <w:tcPr>
            <w:tcW w:type="dxa" w:w="7560"/>
            <w:vAlign w:val="center"/>
            <w:tcBorders>
              <w:top w:val="single" w:sz="4" w:color="B7C9D6"/>
              <w:left w:val="single" w:sz="4" w:color="B7C9D6"/>
              <w:bottom w:val="single" w:sz="4" w:color="B7C9D6"/>
              <w:right w:val="single" w:sz="4" w:color="B7C9D6"/>
            </w:tcBorders>
          </w:tcPr>
          <w:p>
            <w:pPr>
              <w:spacing w:after="20" w:line="240" w:lineRule="auto"/>
            </w:pPr>
            <w:r>
              <w:rPr>
                <w:rFonts w:ascii="Arial" w:hAnsi="Arial"/>
                <w:sz w:val="17"/>
              </w:rPr>
              <w:t>PDF trong Data/residence/luat so 68 nam 2020.pdf; đối chiếu văn bản chính thức ngày 01/10/2026.</w:t>
            </w:r>
          </w:p>
        </w:tc>
      </w:tr>
    </w:tbl>
    <w:p>
      <w:pPr>
        <w:pStyle w:val="Heading1"/>
      </w:pPr>
      <w:r>
        <w:t>Nội dung giữ lại</w:t>
      </w:r>
    </w:p>
    <w:p>
      <w:pPr>
        <w:pStyle w:val="Heading2"/>
      </w:pPr>
      <w:r>
        <w:t>Điều 27 — đăng ký tạm trú</w:t>
      </w:r>
    </w:p>
    <w:p>
      <w:pPr>
        <w:keepLines/>
      </w:pPr>
      <w:r>
        <w:t>Người đến sinh sống tại chỗ ở hợp pháp ngoài đơn vị hành chính cấp xã nơi đã đăng ký thường trú từ 30 ngày trở lên để lao động, học tập hoặc vì mục đích khác phải đăng ký tạm trú, trừ địa điểm không được đăng ký theo Điều 23. Thời hạn tạm trú tối đa 02 năm và có thể gia hạn nhiều lần.</w:t>
      </w:r>
    </w:p>
    <w:p>
      <w:pPr>
        <w:pStyle w:val="Heading2"/>
      </w:pPr>
      <w:r>
        <w:t>Điều 28 — hồ sơ, tiếp nhận, thời hạn</w:t>
      </w:r>
    </w:p>
    <w:p>
      <w:pPr>
        <w:keepLines/>
      </w:pPr>
      <w:r>
        <w:t>Hồ sơ gồm tờ khai thay đổi thông tin cư trú và giấy tờ chứng minh chỗ ở hợp pháp; người chưa thành niên cần ý kiến của cha, mẹ hoặc người giám hộ theo luật. Nộp cho cơ quan đăng ký cư trú; hồ sơ đầy đủ, hợp lệ được giải quyết trong 03 ngày làm việc.</w:t>
      </w:r>
    </w:p>
    <w:p>
      <w:pPr>
        <w:pStyle w:val="Heading2"/>
      </w:pPr>
      <w:r>
        <w:t>Điều 30 đã sửa đổi — thông báo lưu trú qua đêm</w:t>
      </w:r>
    </w:p>
    <w:p>
      <w:pPr>
        <w:keepLines/>
      </w:pPr>
      <w:r>
        <w:t>Từ 01/07/2026, khi có người lưu trú qua đêm, thành viên hộ gia đình hoặc đại diện cơ sở có trách nhiệm thông báo; nếu người đến ở tại nhà riêng mà chủ nhà/thành viên hộ gia đình không có mặt thì người đến lưu trú tự thông báo. Nội dung gồm danh tính, lý do, thời gian và địa chỉ; thông báo trước 23 giờ ngày bắt đầu, hoặc trước 08 giờ hôm sau nếu đến sau 23 giờ.</w:t>
      </w:r>
    </w:p>
    <w:p>
      <w:pPr>
        <w:pStyle w:val="Heading2"/>
      </w:pPr>
      <w:r>
        <w:t>Điều 31 đã sửa đổi — khai báo tạm vắng</w:t>
      </w:r>
    </w:p>
    <w:p>
      <w:pPr>
        <w:keepLines/>
      </w:pPr>
      <w:r>
        <w:t>Giữ thông tin rằng khai báo tạm vắng có hình thức điện tử qua Cổng Dịch vụ công quốc gia hoặc VNeID theo quy định sửa đổi. Không trộn nghĩa vụ tạm vắng với đăng ký tạm trú.</w:t>
      </w:r>
    </w:p>
    <w:p>
      <w:pPr>
        <w:pStyle w:val="Heading2"/>
      </w:pPr>
      <w:r>
        <w:t>Lược khỏi bản trích</w:t>
      </w:r>
    </w:p>
    <w:p>
      <w:pPr>
        <w:keepLines/>
      </w:pPr>
      <w:r>
        <w:t>Thường trú, quản lý hộ khẩu, các trường hợp đặc thù không liên quan trực tiếp đến sinh viên thuê trọ; nội dung chi tiết giấy tờ xem thêm Nghị định 154/2024 đã cập nhật.</w:t>
      </w:r>
    </w:p>
    <w:p>
      <w:pPr>
        <w:pStyle w:val="Heading1"/>
      </w:pPr>
      <w:r>
        <w:t>Nguồn đối chiếu</w:t>
      </w:r>
    </w:p>
    <w:p>
      <w:pPr>
        <w:pStyle w:val="ListBullet"/>
        <w:spacing w:after="40"/>
      </w:pPr>
      <w:hyperlink r:id="rId10">
        <w:r>
          <w:rPr>
            <w:color w:val="1F4E79"/>
            <w:u w:val="single"/>
          </w:rPr>
          <w:t>https://vanban.chinhphu.vn/?docid=202609&amp;pageid=27160</w:t>
        </w:r>
      </w:hyperlink>
    </w:p>
    <w:p>
      <w:pPr>
        <w:pStyle w:val="ListBullet"/>
        <w:spacing w:after="40"/>
      </w:pPr>
      <w:hyperlink r:id="rId11">
        <w:r>
          <w:rPr>
            <w:color w:val="1F4E79"/>
            <w:u w:val="single"/>
          </w:rPr>
          <w:t>https://vanban.chinhphu.vn/?classid=1&amp;docid=216534&amp;pageid=27160&amp;typegroupid=3</w:t>
        </w:r>
      </w:hyperlink>
    </w:p>
    <w:p>
      <w:pPr>
        <w:pStyle w:val="ListBullet"/>
        <w:spacing w:after="40"/>
      </w:pPr>
      <w:hyperlink r:id="rId12">
        <w:r>
          <w:rPr>
            <w:color w:val="1F4E79"/>
            <w:u w:val="single"/>
          </w:rPr>
          <w:t>https://vanban.chinhphu.vn/?docid=216977&amp;orggroupid=2&amp;pageid=27160</w:t>
        </w:r>
      </w:hyperlink>
    </w:p>
    <w:p>
      <w:pPr>
        <w:spacing w:before="140"/>
      </w:pPr>
      <w:r>
        <w:rPr>
          <w:b/>
        </w:rPr>
        <w:t xml:space="preserve">Ghi chú: </w:t>
      </w:r>
      <w:r>
        <w:t>Đây là bản rút gọn có biên tập để phục vụ nghiên cứu và truy xuất theo điều khoản. Khi trả lời một tình huống thực tế, cần kiểm tra bản gốc, văn bản sửa đổi, điều khoản chuyển tiếp và dữ kiện cụ thể.</w:t>
      </w:r>
    </w:p>
    <w:sectPr w:rsidR="00FC693F" w:rsidRPr="0006063C" w:rsidSect="00034616">
      <w:footerReference w:type="default" r:id="rId9"/>
      <w:pgSz w:w="11906" w:h="16838"/>
      <w:pgMar w:top="936"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66666"/>
        <w:sz w:val="16"/>
      </w:rPr>
      <w:t xml:space="preserve">Bản trích phục vụ nghiên cứu  •  Kiểm tra 01/10/2026  •  Trang </w:t>
    </w: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232D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60"/>
      <w:outlineLvl w:val="0"/>
    </w:pPr>
    <w:rPr>
      <w:rFonts w:asciiTheme="majorHAnsi" w:eastAsiaTheme="majorEastAsia" w:hAnsiTheme="majorHAnsi" w:cstheme="majorBidi" w:ascii="Arial" w:hAnsi="Arial"/>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rial" w:hAnsi="Arial"/>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60" w:line="240" w:lineRule="auto" w:before="140"/>
      <w:contextualSpacing/>
    </w:pPr>
    <w:rPr>
      <w:rFonts w:asciiTheme="majorHAnsi" w:eastAsiaTheme="majorEastAsia" w:hAnsiTheme="majorHAnsi" w:cstheme="majorBidi" w:ascii="Arial" w:hAnsi="Arial"/>
      <w:b/>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vanban.chinhphu.vn/?docid=202609&amp;pageid=27160" TargetMode="External"/><Relationship Id="rId11" Type="http://schemas.openxmlformats.org/officeDocument/2006/relationships/hyperlink" Target="https://vanban.chinhphu.vn/?classid=1&amp;docid=216534&amp;pageid=27160&amp;typegroupid=3" TargetMode="External"/><Relationship Id="rId12" Type="http://schemas.openxmlformats.org/officeDocument/2006/relationships/hyperlink" Target="https://vanban.chinhphu.vn/?docid=216977&amp;orggroupid=2&amp;pageid=2716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LUẬT CƯ TRÚ 68/2020/QH14</dc:title>
  <dc:subject>Trích tuyển đăng ký tạm trú và thông báo lưu trú</dc:subject>
  <dc:creator>Bản trích nghiên cứu — kiểm tra 01/10/2026</dc:creator>
  <cp:keywords/>
  <dc:description>generated by python-docx</dc:description>
  <cp:lastModifiedBy/>
  <cp:revision>1</cp:revision>
  <dcterms:created xsi:type="dcterms:W3CDTF">2013-12-23T23:15:00Z</dcterms:created>
  <dcterms:modified xsi:type="dcterms:W3CDTF">2013-12-23T23:15:00Z</dcterms:modified>
  <cp:category/>
</cp:coreProperties>
</file>