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Layout w:type="autofit"/>
        <w:tblCellMar>
          <w:top w:w="0" w:type="dxa"/>
          <w:left w:w="10" w:type="dxa"/>
          <w:bottom w:w="0" w:type="dxa"/>
          <w:right w:w="10" w:type="dxa"/>
        </w:tblCellMar>
      </w:tblPr>
      <w:tblGrid>
        <w:gridCol w:w="3828"/>
        <w:gridCol w:w="5218"/>
      </w:tblGrid>
      <w:tr w14:paraId="1F0F10D9">
        <w:tblPrEx>
          <w:tblCellMar>
            <w:top w:w="0" w:type="dxa"/>
            <w:left w:w="10" w:type="dxa"/>
            <w:bottom w:w="0" w:type="dxa"/>
            <w:right w:w="10" w:type="dxa"/>
          </w:tblCellMar>
        </w:tblPrEx>
        <w:tc>
          <w:tcPr>
            <w:tcW w:w="2116" w:type="pct"/>
          </w:tcPr>
          <w:p w14:paraId="26535ADF">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CHÍNH PHỦ</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vertAlign w:val="superscript"/>
                <w14:textFill>
                  <w14:solidFill>
                    <w14:schemeClr w14:val="tx1"/>
                  </w14:solidFill>
                </w14:textFill>
              </w:rPr>
              <w:t>_______</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lang w:val="en-US"/>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Số: 282/2025/NĐ-CP</w:t>
            </w:r>
          </w:p>
        </w:tc>
        <w:tc>
          <w:tcPr>
            <w:tcW w:w="2884" w:type="pct"/>
          </w:tcPr>
          <w:p w14:paraId="66D1F0C8">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CỘNG HÒA XÃ HỘI CHỦ NGHĨA VIỆT NAM</w:t>
            </w:r>
            <w:r>
              <w:rPr>
                <w:rFonts w:ascii="Arial" w:hAnsi="Arial" w:cs="Arial"/>
                <w:color w:val="000000" w:themeColor="text1"/>
                <w:sz w:val="20"/>
                <w:szCs w:val="20"/>
                <w14:textFill>
                  <w14:solidFill>
                    <w14:schemeClr w14:val="tx1"/>
                  </w14:solidFill>
                </w14:textFill>
              </w:rPr>
              <w:br w:type="textWrapping"/>
            </w:r>
            <w:r>
              <w:rPr>
                <w:rFonts w:ascii="Arial" w:hAnsi="Arial" w:cs="Arial"/>
                <w:b/>
                <w:color w:val="000000" w:themeColor="text1"/>
                <w:sz w:val="20"/>
                <w:szCs w:val="20"/>
                <w14:textFill>
                  <w14:solidFill>
                    <w14:schemeClr w14:val="tx1"/>
                  </w14:solidFill>
                </w14:textFill>
              </w:rPr>
              <w:t>Độc lập – Tự do – Hạnh phúc</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vertAlign w:val="superscript"/>
                <w14:textFill>
                  <w14:solidFill>
                    <w14:schemeClr w14:val="tx1"/>
                  </w14:solidFill>
                </w14:textFill>
              </w:rPr>
              <w:t>_________________</w:t>
            </w:r>
            <w:r>
              <w:rPr>
                <w:rFonts w:ascii="Arial" w:hAnsi="Arial" w:cs="Arial"/>
                <w:color w:val="000000" w:themeColor="text1"/>
                <w:sz w:val="20"/>
                <w:szCs w:val="20"/>
                <w14:textFill>
                  <w14:solidFill>
                    <w14:schemeClr w14:val="tx1"/>
                  </w14:solidFill>
                </w14:textFill>
              </w:rPr>
              <w:br w:type="textWrapping"/>
            </w:r>
            <w:r>
              <w:rPr>
                <w:rFonts w:ascii="Arial" w:hAnsi="Arial" w:cs="Arial"/>
                <w:i/>
                <w:color w:val="000000" w:themeColor="text1"/>
                <w:sz w:val="20"/>
                <w:szCs w:val="20"/>
                <w14:textFill>
                  <w14:solidFill>
                    <w14:schemeClr w14:val="tx1"/>
                  </w14:solidFill>
                </w14:textFill>
              </w:rPr>
              <w:t>Hà Nội, ngày 30 tháng 10 năm 2025</w:t>
            </w:r>
          </w:p>
        </w:tc>
      </w:tr>
    </w:tbl>
    <w:p w14:paraId="7A556B6A">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p>
    <w:p w14:paraId="313969BE">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p>
    <w:p w14:paraId="20060B15">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NGHỊ ĐỊNH</w:t>
      </w:r>
    </w:p>
    <w:p w14:paraId="22E3EB97">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 xml:space="preserve">Quy định xử phạt vi phạm hành chính trong lĩnh vực an ninh, trật tự, </w:t>
      </w:r>
      <w:r>
        <w:rPr>
          <w:rFonts w:ascii="Arial" w:hAnsi="Arial" w:cs="Arial"/>
          <w:b/>
          <w:color w:val="000000" w:themeColor="text1"/>
          <w:sz w:val="20"/>
          <w:szCs w:val="20"/>
          <w14:textFill>
            <w14:solidFill>
              <w14:schemeClr w14:val="tx1"/>
            </w14:solidFill>
          </w14:textFill>
        </w:rPr>
        <w:br w:type="textWrapping"/>
      </w:r>
      <w:r>
        <w:rPr>
          <w:rFonts w:ascii="Arial" w:hAnsi="Arial" w:cs="Arial"/>
          <w:b/>
          <w:color w:val="000000" w:themeColor="text1"/>
          <w:sz w:val="20"/>
          <w:szCs w:val="20"/>
          <w14:textFill>
            <w14:solidFill>
              <w14:schemeClr w14:val="tx1"/>
            </w14:solidFill>
          </w14:textFill>
        </w:rPr>
        <w:t>an toàn xã hội; phòng, chống tệ nạn xã hội; phòng, chống bạo lực gia đình</w:t>
      </w:r>
    </w:p>
    <w:p w14:paraId="40A50E6E">
      <w:pPr>
        <w:adjustRightInd w:val="0"/>
        <w:snapToGrid w:val="0"/>
        <w:spacing w:after="0" w:line="240" w:lineRule="auto"/>
        <w:jc w:val="center"/>
        <w:rPr>
          <w:rFonts w:ascii="Arial" w:hAnsi="Arial" w:cs="Arial"/>
          <w:bCs/>
          <w:color w:val="000000" w:themeColor="text1"/>
          <w:sz w:val="20"/>
          <w:szCs w:val="20"/>
          <w:vertAlign w:val="superscript"/>
          <w14:textFill>
            <w14:solidFill>
              <w14:schemeClr w14:val="tx1"/>
            </w14:solidFill>
          </w14:textFill>
        </w:rPr>
      </w:pPr>
      <w:r>
        <w:rPr>
          <w:rFonts w:ascii="Arial" w:hAnsi="Arial" w:cs="Arial"/>
          <w:bCs/>
          <w:color w:val="000000" w:themeColor="text1"/>
          <w:sz w:val="20"/>
          <w:szCs w:val="20"/>
          <w:vertAlign w:val="superscript"/>
          <w14:textFill>
            <w14:solidFill>
              <w14:schemeClr w14:val="tx1"/>
            </w14:solidFill>
          </w14:textFill>
        </w:rPr>
        <w:t>_________</w:t>
      </w:r>
    </w:p>
    <w:p w14:paraId="7A908F7B">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1848E235">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296764AF">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w:t>
      </w:r>
    </w:p>
    <w:p w14:paraId="7E8E43AB">
      <w:pPr>
        <w:adjustRightInd w:val="0"/>
        <w:snapToGrid w:val="0"/>
        <w:spacing w:after="0" w:line="240" w:lineRule="auto"/>
        <w:jc w:val="center"/>
        <w:rPr>
          <w:rFonts w:ascii="Arial" w:hAnsi="Arial" w:cs="Arial"/>
          <w:b/>
          <w:color w:val="000000" w:themeColor="text1"/>
          <w:sz w:val="20"/>
          <w:szCs w:val="20"/>
          <w:lang w:val="en-US"/>
          <w14:textFill>
            <w14:solidFill>
              <w14:schemeClr w14:val="tx1"/>
            </w14:solidFill>
          </w14:textFill>
        </w:rPr>
      </w:pPr>
      <w:r>
        <w:rPr>
          <w:rFonts w:ascii="Arial" w:hAnsi="Arial" w:cs="Arial"/>
          <w:b/>
          <w:color w:val="000000" w:themeColor="text1"/>
          <w:sz w:val="20"/>
          <w:szCs w:val="20"/>
          <w14:textFill>
            <w14:solidFill>
              <w14:schemeClr w14:val="tx1"/>
            </w14:solidFill>
          </w14:textFill>
        </w:rPr>
        <w:t>NHỮNG QUY ĐỊNH CHUNG</w:t>
      </w:r>
    </w:p>
    <w:p w14:paraId="03D1128B">
      <w:pPr>
        <w:adjustRightInd w:val="0"/>
        <w:snapToGrid w:val="0"/>
        <w:spacing w:after="0" w:line="240" w:lineRule="auto"/>
        <w:jc w:val="center"/>
        <w:rPr>
          <w:rFonts w:ascii="Arial" w:hAnsi="Arial" w:cs="Arial"/>
          <w:color w:val="000000" w:themeColor="text1"/>
          <w:sz w:val="20"/>
          <w:szCs w:val="20"/>
          <w:lang w:val="en-US"/>
          <w14:textFill>
            <w14:solidFill>
              <w14:schemeClr w14:val="tx1"/>
            </w14:solidFill>
          </w14:textFill>
        </w:rPr>
      </w:pPr>
    </w:p>
    <w:p w14:paraId="32C6FCD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 Phạm vi điều chỉnh</w:t>
      </w:r>
    </w:p>
    <w:p w14:paraId="16DFB35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Nghị định này quy định các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an ninh, trật tự, an toàn xã hội; phòng, chống tệ nạn xã hội; phòng, chống bạo lực gia đình.</w:t>
      </w:r>
    </w:p>
    <w:p w14:paraId="1EEF7FD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Các hành vi vi phạm hành chính trong các lĩnh vực khác trực tiếp liên quan đến lĩnh vực an ninh, trật tự, an toàn xã hội; phòng, chống tệ nạn xã hội; phòng, chống bạo lực gia đình không được quy định tại Nghị định này thì áp dụng quy định tại các Nghị định khác của Chính phủ về xử phạt vi phạm hành chính trong lĩnh vực quản lý nhà nước có liên quan để xử phạt.</w:t>
      </w:r>
    </w:p>
    <w:p w14:paraId="6507811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 Đối tượng áp dụng</w:t>
      </w:r>
    </w:p>
    <w:p w14:paraId="6BF12FF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Cá nhân, tổ chức Việt Nam; cá nhân, tổ chức nước ngoài có hành vi vi phạm hành chính trong lĩnh vực an ninh, trật tự, an toàn xã hội; phòng, chống tệ nạn xã hội; phòng, chống bạo lực gia đình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w:t>
      </w:r>
    </w:p>
    <w:p w14:paraId="1ECA0F4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Công dân, tổ chức Việt Nam thực hiện hành vi vi phạm quy định tại Nghị định này ở ngoài lãnh thổ nước Cộng hòa xã hội chủ nghĩa Việt Nam có thể bị xử phạt vi phạm hành chính theo quy định của Nghị định này.</w:t>
      </w:r>
    </w:p>
    <w:p w14:paraId="48B96DC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Cơ quan, người có thẩm quyền xử phạt vi phạm hành chính trong lĩnh vực an ninh, trật tự, an toàn xã hội; phòng, chống tệ nạn xã hội; phòng, chống bạo lực gia đình và cá nhân, tổ chức có liên quan.</w:t>
      </w:r>
    </w:p>
    <w:p w14:paraId="0CB4B08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 Hình thức xử phạt vi phạm hành chính, biện pháp khắc phục hậu quả, quy định về vi phạm hành chính đã kết thúc, vi phạm hành chính đang được thực hiện và xử phạt vi phạm hành chính đối với trường hợp vi phạm nhiều lần</w:t>
      </w:r>
    </w:p>
    <w:p w14:paraId="0AE5DB7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Các hình thức xử phạt chính quy định tại Nghị định này bao gồm:</w:t>
      </w:r>
    </w:p>
    <w:p w14:paraId="2F21B16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Phạt cảnh cáo;</w:t>
      </w:r>
    </w:p>
    <w:p w14:paraId="3A9EE32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Phạt tiền.</w:t>
      </w:r>
    </w:p>
    <w:p w14:paraId="7C7E28B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Các hình thức xử phạt bổ sung quy định tại Nghị định này bao gồm:</w:t>
      </w:r>
    </w:p>
    <w:p w14:paraId="0EEDAA0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Tước quyền sử dụng giấy phép, chứng chỉ hành nghề có thời hạn;</w:t>
      </w:r>
    </w:p>
    <w:p w14:paraId="4E9FF65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Đình chỉ hoạt động có thời hạn;</w:t>
      </w:r>
    </w:p>
    <w:p w14:paraId="69BABC8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Tịch thu tang vật vi phạm hành chính, phương tiện được sử dụng để vi phạm hành chính (sau đây gọi chung là tang vật, phương tiện vi phạm hành chính);</w:t>
      </w:r>
    </w:p>
    <w:p w14:paraId="3BE04F9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Trục xuất.</w:t>
      </w:r>
    </w:p>
    <w:p w14:paraId="275AB3B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Các biện pháp khắc phục hậu quả:</w:t>
      </w:r>
    </w:p>
    <w:p w14:paraId="5DAE4FF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Biện pháp khắc phục hậu quả quy định tại các điểm a, c, e và i khoản 1 Điều 28 Luật Xử lý vi phạm hành chính (được sửa đổi, bổ sung năm 2020 và năm 2025) (sau đây gọi chung là Luật Xử lý vi phạm hành chính);</w:t>
      </w:r>
    </w:p>
    <w:p w14:paraId="033ED60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Các biện pháp khác được quy định cụ thể tại Chương II Nghị định này.</w:t>
      </w:r>
    </w:p>
    <w:p w14:paraId="1CA5AAD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Thủ tục thi hành biện pháp khắc phục hậu quả buộc nộp lại giấy phép, chứng chỉ hành nghề:</w:t>
      </w:r>
    </w:p>
    <w:p w14:paraId="1A974A2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Người có thẩm quyền ra quyết định, cá nhân, tổ chức vi phạm có trách nhiệm thi hành biện pháp khắc phục hậu quả buộc nộp lại giấy phép, chứng chỉ hành nghề thực hiện theo quy định tại các khoản 1, 2, 3 và 4 Điều 85 Luật Xử lý vi phạm hành chính;</w:t>
      </w:r>
    </w:p>
    <w:p w14:paraId="3904A16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Người có thẩm quyền ra quyết định thi hành biện pháp khắc phục hậu quả theo quy định tại điểm a khoản này phải thông báo bằng văn bản cho cơ quan, người có thẩm quyền đã cấp giấy phép, chứng chỉ hành nghề;</w:t>
      </w:r>
    </w:p>
    <w:p w14:paraId="01B16B4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Trường hợp giấy phép, chứng chỉ hành nghề được cấp dưới dạng điện tử hoặc được thể hiện dưới hình thức thông điệp dữ liệu thì cơ quan, người có thẩm quyền thực hiện buộc nộp lại giấy phép, chứng chỉ hành nghề trên môi trường điện tử theo quy định nếu đáp ứng được điều kiện về cơ sở hạ tầng, kỹ thuật, thông tin. Việc buộc nộp lại giấy phép, chứng chỉ hành nghề được cập nhật trạng thái trên cơ sở dữ liệu hoặc căn cước điện tử, tài khoản định danh điện tử theo đúng quy định.</w:t>
      </w:r>
    </w:p>
    <w:p w14:paraId="0E6C46E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Hành vi vi phạm hành chính đã kết thúc, hành vi vi phạm hành chính đang được thực hiện được xác định căn cứ quy định tại khoản 1 Điều 8 Nghị định số 118/2021/NĐ-CP ngày 23 tháng 12 năm 2021 của Chính phủ quy định chi tiết một số điều và biện pháp thi hành Luật Xử lý vi phạm hành chính (đã được sửa đổi, bổ sung tại Nghị định số 68/2025/NĐ-CP ngày 18 tháng 3 năm 2025 của Chính phủ và Nghị định số 190/2025/NĐ-CP ngày 01 tháng 7 năm 2025 của Chính phủ).</w:t>
      </w:r>
    </w:p>
    <w:p w14:paraId="6AE7C3E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Tổ chức, cá nhân thực hiện vi phạm hành chính nhiều lần thì bị xử phạt về từng hành vi vi phạm, trừ trường hợp thực hiện từng hành vi vi phạm quy định tại điểm c khoản 2 Điều 12; các điểm e và i khoản 2, các điểm p, q và t khoản 3, các điểm d và đ khoản 4 Điều 15; các Điều 32, 33 và 36 Nghị định này, được phát hiện ở cùng một thời điểm nhưng chưa bị xử lý và chưa hết thời hiệu xử phạt vi phạm hành chính thì xử phạt vi phạm hành chính một lần về hành vi vi phạm, đồng thời áp dụng tình tiết tăng nặng vi phạm hành chính nhiều lần đối với hành vi vi phạm hành chính đó.</w:t>
      </w:r>
    </w:p>
    <w:p w14:paraId="6E11F8F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5. Quy định về mức phạt tiền tối đa, tổ chức bị xử phạt vi phạm hành chính</w:t>
      </w:r>
    </w:p>
    <w:p w14:paraId="4289765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Mức phạt tiền tối đa trong lĩnh vực phòng, chống bạo lực gia đình đối với cá nhân là 30.000.000 đồng, đối với tổ chức là 60.000.000 đồng; mức phạt tiền tối đa trong lĩnh vực an ninh, trật tự, an toàn xã hội đối với cá nhân là 40.000.000 đồng, đối với tổ chức là 80.000.000 đồng; mức phạt tiền tối đa trong lĩnh vực phòng, chống tệ nạn xã hội đối với cá nhân là 75.000.000 đồng, đối với tổ chức là 150.000.000 đồng.</w:t>
      </w:r>
    </w:p>
    <w:p w14:paraId="2E8EF58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Mức phạt tiền quy định tại Chương II Nghị định này là mức phạt được áp dụng đối với hành vi vi phạm hành chính của cá nhân. Đối với tổ chức có cùng hành vi vi phạm, mức phạt tiền gấp 02 lần mức phạt tiền đối với cá nhân.</w:t>
      </w:r>
    </w:p>
    <w:p w14:paraId="3D6EF04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Tổ chức quy định tại các khoản 1 và 2 Điều này bao gồm:</w:t>
      </w:r>
    </w:p>
    <w:p w14:paraId="640577C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Tổ chức kinh tế và các đơn vị phụ thuộc được thành lập theo quy định của pháp luật;</w:t>
      </w:r>
    </w:p>
    <w:p w14:paraId="40D1549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Mặt trận Tổ quốc Việt Nam, tổ chức chính trị - xã hội, tổ chức chính trị xã hội - nghề nghiệp, tổ chức xã hội, tổ chức xã hội - nghề nghiệp, quỹ xã hội, quỹ từ thiện, tổ chức phi chính phủ và tổ chức trực thuộc các cơ quan tổ chức này;</w:t>
      </w:r>
    </w:p>
    <w:p w14:paraId="39A7781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Cơ quan nhà nước, đơn vị vũ trang nhân dân, cơ quan thuộc hệ thống tổ chức Đảng Cộng sản Việt Nam (trừ các cơ quan, đơn vị có hành vi vi phạm mà hành vi đó thuộc nhiệm vụ quản lý nhà nước được giao);</w:t>
      </w:r>
    </w:p>
    <w:p w14:paraId="68B672D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Đơn vị sự nghiệp;</w:t>
      </w:r>
    </w:p>
    <w:p w14:paraId="3A60078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Tổ chức tôn giáo, tổ chức tôn giáo trực thuộc, tổ chức nước ngoài;</w:t>
      </w:r>
    </w:p>
    <w:p w14:paraId="110CCD9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Tổ chức khác được thành lập theo quy định của pháp luật.</w:t>
      </w:r>
    </w:p>
    <w:p w14:paraId="3336BDC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Hộ gia đình, hộ kinh doanh đăng ký kinh doanh theo quy định của pháp luật vi phạm các quy định của Nghị định này bị xử phạt như đối với cá nhân.</w:t>
      </w:r>
    </w:p>
    <w:p w14:paraId="561BDC3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6. Thời hiệu xử phạt vi phạm hành chính</w:t>
      </w:r>
    </w:p>
    <w:p w14:paraId="05DC81D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Thời hiệu xử phạt vi phạm hành chính trong lĩnh vực an ninh, trật tự, an toàn xã hội; phòng, chống tệ nạn xã hội; phòng, chống bạo lực gia đình là 01 năm.</w:t>
      </w:r>
    </w:p>
    <w:p w14:paraId="776E476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Thời điểm để tính thời hiệu xử phạt vi phạm hành chính quy định tại khoản 1 Điều này thực hiện theo quy định tại Điều 6 Luật Xử lý vi phạm hành chính.</w:t>
      </w:r>
    </w:p>
    <w:p w14:paraId="7697B20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9. Vi phạm quy định về bảo đảm sự yên tĩnh chung</w:t>
      </w:r>
    </w:p>
    <w:p w14:paraId="34962EB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Phạt cảnh cáo hoặc phạt tiền từ 500.000 đồng đến 1.000.000 đồng đối với một trong những hành vi sau đây:</w:t>
      </w:r>
    </w:p>
    <w:p w14:paraId="008AA00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Không thực hiện các quy định về giữ yên tĩnh của cơ sở khám bệnh, chữa bệnh, nhà điều dưỡng, trường học hoặc ở những nơi khác có quy định phải giữ yên tĩnh chung;</w:t>
      </w:r>
    </w:p>
    <w:p w14:paraId="612946C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Bán hàng ăn uống, giải khát quá giờ quy định của Ủy ban nhân dân tỉnh, thành phố trực thuộc trung ương.</w:t>
      </w:r>
    </w:p>
    <w:p w14:paraId="078D99F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Phạt tiền từ 1.000.000 đồng đến 2.000.000 đồng đối với hành vi dùng loa phóng thanh, chiêng, trống, còi, kèn hoặc các phương tiện khác để cổ động ở nơi công cộng mà không được phép của các cơ quan có thẩm quyền.</w:t>
      </w:r>
    </w:p>
    <w:p w14:paraId="5E584AD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Các hành vi vi phạm hành chính về tiếng ồn chưa được quy định tại Nghị định này được xử lý, xử phạt theo quy định tại Nghị định của Chính phủ quy định xử phạt vi phạm hành chính trong lĩnh vực bảo vệ môi trường và các văn bản quy phạm pháp luật có liên quan.</w:t>
      </w:r>
    </w:p>
    <w:p w14:paraId="7C3CA14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Hình thức xử phạt bổ sung:</w:t>
      </w:r>
    </w:p>
    <w:p w14:paraId="3D03117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Tịch thu tang vật, phương tiện vi phạm hành chính đối với hành vi vi phạm quy định tại khoản 2 Điều này.</w:t>
      </w:r>
    </w:p>
    <w:p w14:paraId="39C17D1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10. Vi phạm quy định về đăng ký và quản lý cư trú</w:t>
      </w:r>
    </w:p>
    <w:p w14:paraId="4EE7943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Phạt cảnh cáo hoặc phạt tiền từ 500.000 đồng đến 1.000.000 đồng đối với một trong những hành vi sau đây:</w:t>
      </w:r>
    </w:p>
    <w:p w14:paraId="252D23A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Không thực hiện đúng quy định của pháp luật về đăng ký thường trú, đăng ký tạm trú, xóa đăng ký thường trú, xóa đăng ký tạm trú, tách hộ, điều chỉnh thông tin về cư trú trong Cơ sở dữ liệu về cư trú hoặc khai báo thông tin về cư trú;</w:t>
      </w:r>
    </w:p>
    <w:p w14:paraId="4FBD56D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Không thực hiện đúng quy định của pháp luật về thông báo lưu trú, khai báo tạm vắng;</w:t>
      </w:r>
    </w:p>
    <w:p w14:paraId="2DB9778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Không xuất trình giấy tờ liên quan đến cư trú hoặc thông tin về cư trú trên ứng dụng định danh quốc gia theo yêu cầu kiểm tra của cơ quan, người có thẩm quyền.</w:t>
      </w:r>
    </w:p>
    <w:p w14:paraId="3F2A844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Phạt tiền từ 2.000.000 đồng đến 4.000.000 đồng đối với một trong những hành vi sau đây:</w:t>
      </w:r>
    </w:p>
    <w:p w14:paraId="5D22622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Tẩy xóa, sửa chữa làm sai lệch nội dung xác nhận thông tin về cư trú, giấy tờ khác liên quan đến cư trú;</w:t>
      </w:r>
    </w:p>
    <w:p w14:paraId="0B1C466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Mua, bán, thuê, cho thuê xác nhận thông tin về cư trú, giấy tờ khác liên quan đến cư trú để thực hiện hành vi trái quy định của pháp luật;</w:t>
      </w:r>
    </w:p>
    <w:p w14:paraId="56C5241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Mượn, cho mượn hoặc sử dụng xác nhận thông tin về cư trú, giấy tờ khác liên quan đến cư trú để thực hiện hành vi trái quy định của pháp luật;</w:t>
      </w:r>
    </w:p>
    <w:p w14:paraId="6406AEA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Đã cư trú tại chỗ ở hợp pháp mới, đủ điều kiện đăng ký cư trú nhưng không làm thủ tục thay đổi nơi đăng ký cư trú theo quy định của pháp luật;</w:t>
      </w:r>
    </w:p>
    <w:p w14:paraId="6F66C86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Cơ sở kinh doanh lưu trú, nhà ở tập thể, cơ sở chữa bệnh, cơ sở lưu trú du lịch, cơ sở lưu trú ở khu công nghiệp và các cơ sở khác không thực hiện thông báo lưu trú từ 01 đến 03 người lưu trú;</w:t>
      </w:r>
    </w:p>
    <w:p w14:paraId="552411A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Tổ chức, kích động, xúi giục, lôi kéo, dụ dỗ, môi giới, cưỡng bức người khác vi phạm pháp luật về cư trú;</w:t>
      </w:r>
    </w:p>
    <w:p w14:paraId="63C630D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Cầm cố, nhận cầm cố giấy tờ, tài liệu về cư trú;</w:t>
      </w:r>
    </w:p>
    <w:p w14:paraId="454DC8D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Hủy hoại giấy tờ, tài liệu về cư trú.</w:t>
      </w:r>
    </w:p>
    <w:p w14:paraId="541F5E5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Phạt tiền từ 4.000.000 đồng đến 8.000.000 đồng đối với một trong những hành vi sau đây:</w:t>
      </w:r>
    </w:p>
    <w:p w14:paraId="5272EED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Cho người khác đăng ký cư trú vào chỗ ở của mình để vụ lợi;</w:t>
      </w:r>
    </w:p>
    <w:p w14:paraId="1E41BA0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Cơ sở kinh doanh lưu trú, nhà ở tập thể, cơ sở chữa bệnh, cơ sở lưu trú du lịch, cơ sở lưu trú ở khu công nghiệp và các cơ sở khác không thực hiện thông báo lưu trú từ 04 đến 08 người lưu trú;</w:t>
      </w:r>
    </w:p>
    <w:p w14:paraId="5A894A3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Cản trở công dân thực hiện quyền tự do cư trú;</w:t>
      </w:r>
    </w:p>
    <w:p w14:paraId="5FF042D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Cản trở, không chấp hành việc kiểm tra thường trú, kiểm tra tạm trú, kiểm tra lưu trú, kiểm tra tạm vắng, kiểm tra cư trú theo quy định của pháp luật.</w:t>
      </w:r>
    </w:p>
    <w:p w14:paraId="1F413AC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Phạt tiền từ 8.000.000 đồng đến 12.000.000 đồng đối với một trong những hành vi sau đây:</w:t>
      </w:r>
    </w:p>
    <w:p w14:paraId="2478A3C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Cung cấp thông tin, giấy tờ, tài liệu sai sự thật về cư trú để được đăng ký thường trú, đăng ký tạm trú, khai báo thông tin về cư trú, tách hộ, điều chỉnh thông tin về cư trú trong Cơ sở dữ liệu về cư trú, xóa đăng ký thường trú, xóa đăng ký tạm trú, gia hạn tạm trú, khai báo tạm vắng, cấp giấy tờ khác liên quan đến cư trú hoặc thực hiện hành vi trái pháp luật khác;</w:t>
      </w:r>
    </w:p>
    <w:p w14:paraId="432F1D8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Làm giả dữ liệu, sử dụng dữ liệu giả về cư trú để được đăng ký thường trú, đăng ký tạm trú, khai báo thông tin về cư trú, tách hộ, điều chỉnh thông tin về cư trú trong Cơ sở dữ liệu về cư trú, xóa đăng ký thường trú, xóa đăng ký tạm trú, gia hạn tạm trú, khai báo tạm vắng, cấp giấy tờ khác liên quan đến cư trú hoặc thực hiện hành vi trái pháp luật khác;</w:t>
      </w:r>
    </w:p>
    <w:p w14:paraId="018D560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Làm giả thông tin về cư trú, sử dụng thông tin về cư trú giả trên ứng dụng định danh quốc gia;</w:t>
      </w:r>
    </w:p>
    <w:p w14:paraId="262B3AE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Cơ sở kinh doanh lưu trú, nhà ở tập thể, cơ sở chữa bệnh, cơ sở lưu trú du lịch, cơ sở lưu trú ở khu công nghiệp và các cơ sở khác không thực hiện thông báo lưu trú từ 09 người lưu trú trở lên.</w:t>
      </w:r>
    </w:p>
    <w:p w14:paraId="637F149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Hình thức xử phạt bổ sung:</w:t>
      </w:r>
    </w:p>
    <w:p w14:paraId="1D44FEE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Tịch thu tang vật, phương tiện vi phạm hành chính đối với hành vi vi phạm quy định tại các điểm a và h khoản 2; các điểm a, b và c khoản 4 Điều này.</w:t>
      </w:r>
    </w:p>
    <w:p w14:paraId="7AF43F4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Biện pháp khắc phục hậu quả:</w:t>
      </w:r>
    </w:p>
    <w:p w14:paraId="072D8D8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Buộc nộp lại số lợi bất hợp pháp có được do thực hiện hành vi vi phạm quy định tại các điểm b và g khoản 2; điểm a khoản 3 Điều này.</w:t>
      </w:r>
    </w:p>
    <w:p w14:paraId="799BF13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11. Vi phạm quy định về cấp, quản lý, sử dụng thẻ căn cước công dân, thẻ căn cước, căn cước điện tử hoặc giấy chứng nhận căn cước</w:t>
      </w:r>
    </w:p>
    <w:p w14:paraId="6E820ED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Phạt cảnh cáo hoặc phạt tiền từ 500.000 đồng đến 1.000.000 đồng đối với một trong những hành vi sau đây:</w:t>
      </w:r>
    </w:p>
    <w:p w14:paraId="0E80471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Không xuất trình thẻ căn cước công dân, thẻ căn cước, căn cước điện tử, giấy chứng nhận căn cước khi có yêu cầu kiểm tra của cơ quan, người có thẩm quyền;</w:t>
      </w:r>
    </w:p>
    <w:p w14:paraId="6A350AD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Không thực hiện đúng quy định của pháp luật về cấp, cấp đổi, cấp lại thẻ căn cước, giấy chứng nhận căn cước, căn cước điện tử, trừ trường hợp quy định tại khoản 3 Điều này;</w:t>
      </w:r>
    </w:p>
    <w:p w14:paraId="0FEE864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Không nộp thẻ căn cước công dân, thẻ căn cước hoặc giấy chứng nhận căn cước cho cơ quan thi hành lệnh tạm giữ, tạm giam, cơ quan thi hành án phạt tù, cơ quan thi hành quyết định đưa vào trường giáo dưỡng, cơ sở giáo dục bắt buộc, cơ sở cai nghiện bắt buộc theo quy định của pháp luật; không nộp thẻ căn cước công dân, thẻ căn cước, giấy chứng nhận căn cước cho cơ quan quản lý căn cước trong trường hợp cấp đổi thẻ căn cước, giấy chứng nhận căn cước hoặc hủy, xác lập lại số định danh cá nhân.</w:t>
      </w:r>
    </w:p>
    <w:p w14:paraId="4CA1D19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Phạt tiền từ 2.000.000 đồng đến 4.000.000 đồng đối với một trong những hành vi sau đây:</w:t>
      </w:r>
    </w:p>
    <w:p w14:paraId="76F192F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sử dụng trái phép thẻ căn cước công dân, thẻ căn cước, căn cước điện tử, giấy chứng nhận căn cước, giấy xác nhận số định danh cá nhân đã hủy với số định danh cá nhân đã xác lập lại của người khác;</w:t>
      </w:r>
    </w:p>
    <w:p w14:paraId="2CA0387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Tẩy xóa, sửa chữa làm sai lệch nội dung của thẻ căn cước công dân, thẻ căn cước, giấy chứng nhận căn cước, giấy xác nhận số định danh cá nhân đã hủy với số định danh cá nhân đã xác lập lại;</w:t>
      </w:r>
    </w:p>
    <w:p w14:paraId="19A4121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Hủy hoại, cố ý làm hư hỏng thẻ căn cước công dân, thẻ căn cước, giấy chứng nhận căn cước, giấy xác nhận số định danh cá nhân đã hủy với số định danh cá nhân đã xác lập lại;</w:t>
      </w:r>
    </w:p>
    <w:p w14:paraId="4657C24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Không nộp lại thẻ căn cước công dân hoặc thẻ căn cước cho cơ quan có thẩm quyền khi được thôi, bị tước quốc tịch, bị hủy bỏ quyết định cho nhập quốc tịch Việt Nam; không nộp lại giấy chứng nhận căn cước khi người gốc Việt Nam chưa xác định được quốc tịch được nhập quốc tịch Việt Nam hoặc xác nhận có quốc tịch Việt Nam hoặc xác định có quốc tịch nước ngoài.</w:t>
      </w:r>
    </w:p>
    <w:p w14:paraId="2FC5965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Phạt tiền từ 4.000.000 đồng đến 8.000.000 đồng đối với một trong những hành vi sau đây:</w:t>
      </w:r>
    </w:p>
    <w:p w14:paraId="4A25019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giả dữ liệu, sử dụng dữ liệu giả để được cấp thẻ căn cước, căn cước điện tử, giấy chứng nhận căn cước, giấy xác nhận số định danh cá nhân đã hủy với số định danh cá nhân đã xác lập lại;</w:t>
      </w:r>
    </w:p>
    <w:p w14:paraId="08BBA97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Cung cấp thông tin, tài liệu sai sự thật để được cấp thẻ căn cước, căn cước điện tử, giấy chứng nhận căn cước, giấy xác nhận số định danh cá nhân đã hủy với số định danh cá nhân đã xác lập lại.</w:t>
      </w:r>
    </w:p>
    <w:p w14:paraId="22622F3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Phạt tiền từ 8.000.000 đồng đến 10.000.000 đồng đối với một trong những hành vi sau đây:</w:t>
      </w:r>
    </w:p>
    <w:p w14:paraId="2BBA7F7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Sử dụng thẻ căn cước công dân giả, thẻ căn cước giả, căn cước điện tử giả, giấy chứng nhận căn cước giả, giấy xác nhận số định danh cá nhân đã hủy với số định danh cá nhân đã xác lập lại giả; sử dụng thẻ căn cước công dân, thẻ căn cước đã hết giá trị sử dụng để thực hiện hành vi trái pháp luật;</w:t>
      </w:r>
    </w:p>
    <w:p w14:paraId="2CB9B9D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Cầm cố, nhận cầm cố thẻ căn cước công dân, thẻ căn cước, giấy chứng nhận căn cước hoặc giấy xác nhận số định danh cá nhân đã hủy với số định danh cá nhân đã xác lập lại;</w:t>
      </w:r>
    </w:p>
    <w:p w14:paraId="6C1A9E3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Thuê, cho thuê thẻ căn cước công dân, thẻ căn cước, giấy chứng nhận căn cước hoặc giấy xác nhận số định danh cá nhân đã hủy với số định danh cá nhân đã xác lập lại.</w:t>
      </w:r>
    </w:p>
    <w:p w14:paraId="543426D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Hình thức xử phạt bổ sung:</w:t>
      </w:r>
    </w:p>
    <w:p w14:paraId="6FC2694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Tịch thu tang vật, phương tiện vi phạm hành chính đối với hành vi vi phạm quy định tại các điểm b và c khoản 2, khoản 3 và khoản 4 Điều này.</w:t>
      </w:r>
    </w:p>
    <w:p w14:paraId="104CE57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Biện pháp khắc phục hậu quả:</w:t>
      </w:r>
    </w:p>
    <w:p w14:paraId="710AD93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Buộc nộp lại thẻ căn cước công dân, thẻ căn cước, giấy chứng nhận căn cước, giấy xác nhận số định danh cá nhân đã hủy với số định danh cá nhân đã xác lập lại đối với hành vi vi phạm quy định tại điểm c khoản 1, điểm a và d khoản 2 Điều này;</w:t>
      </w:r>
    </w:p>
    <w:p w14:paraId="483C29E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Buộc nộp lại số lợi bất hợp pháp có được do thực hiện hành vi vi phạm quy định tại các điểm b và c khoản 4 Điều này.</w:t>
      </w:r>
    </w:p>
    <w:p w14:paraId="701C952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69. Hiệu lực thi hành</w:t>
      </w:r>
    </w:p>
    <w:p w14:paraId="1392119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Nghị định này có hiệu lực thi hành từ ngày 15 tháng 12 năm 2025, trừ trường hợp quy định tại khoản 2 Điều này.</w:t>
      </w:r>
    </w:p>
    <w:p w14:paraId="65BABEB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Quy định tại Điều 14 Nghị định này có hiệu lực thi hành từ ngày 01 tháng 01 năm 2026.</w:t>
      </w:r>
    </w:p>
    <w:p w14:paraId="4833C7B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Trường hợp các văn bản quy phạm pháp luật được dẫn chiếu trong Nghị định này được sửa đổi, bổ sung, thay thế thì nội dung dẫn chiếu thực hiện theo văn bản quy phạm pháp luật được sửa đổi, bổ sung, thay thế.</w:t>
      </w:r>
    </w:p>
    <w:p w14:paraId="0582027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Nghị định này thay thế Nghị định số 144/2021/NĐ-CP ngày 31 tháng 12 năm 2021 của Chính phủ quy định xử phạt vi phạm hành chính trong lĩnh vực an ninh, trật tự, an toàn xã hội; phòng, chống tệ nạn xã hội; phòng cháy, chữa cháy; cứu nạn, cứu hộ; phòng, chống bạo lực gia đình.</w:t>
      </w:r>
    </w:p>
    <w:p w14:paraId="67A5452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Bãi bỏ Điều 47 Nghị định số 82/2020/NĐ-CP ngày 15 tháng 7 năm 2020 của Chính phủ quy định xử phạt vi phạm hành chính trong lĩnh vực bổ trợ tư pháp; hành chính tư pháp; hôn nhân và gia đình; thi hành án dân sự; phá sản doanh nghiệp, hợp tác xã (đã được sửa đổi, bổ sung tại Nghị định số 117/2024/NĐ-CP ngày 18 tháng 9 năm 2024 của Chính phủ).</w:t>
      </w:r>
    </w:p>
    <w:p w14:paraId="4A5BC72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70. Điều khoản chuyển tiếp</w:t>
      </w:r>
    </w:p>
    <w:p w14:paraId="3DF4346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Đối với hành vi vi phạm hành chính trong lĩnh vực an ninh, trật tự, an toàn xã hội; phòng, chống tệ nạn xã hội; phòng, chống bạo lực gia đình; hàng không dân dụng xảy ra và kết thúc trước thời điểm Nghị định này có hiệu lực mà bị phát hiện hoặc đang xem xét, giải quyết khi Nghị định này đã có hiệu lực thì áp dụng Nghị định của Chính phủ về xử phạt vi phạm hành chính và các văn bản quy phạm pháp luật có liên quan có hiệu lực tại thời điểm thực hiện hành vi vi phạm để xử lý.</w:t>
      </w:r>
    </w:p>
    <w:p w14:paraId="5C8A47D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Đối với hành vi vi phạm hành chính trong lĩnh vực an ninh, trật tự, an toàn xã hội; phòng, chống tệ nạn xã hội; phòng, chống bạo lực gia đình; hàng không dân dụng xảy ra trước thời điểm Nghị định này có hiệu lực nhưng vẫn đang diễn ra khi Nghị định này đã có hiệu lực thì áp dụng quy định của Nghị định này để xử lý.</w:t>
      </w:r>
    </w:p>
    <w:p w14:paraId="3FF25AA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Luật Xử lý vi phạm hành chính, Nghị định của Chính phủ về xử phạt vi phạm hành chính và các văn bản quy phạm pháp luật có liên quan có hiệu lực tại thời điểm ban hành quyết định xử phạt vi phạm hành chính để xử lý.</w:t>
      </w:r>
    </w:p>
    <w:p w14:paraId="7D008A5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bookmarkStart w:id="0" w:name="_GoBack"/>
      <w:bookmarkEnd w:id="0"/>
    </w:p>
    <w:sectPr>
      <w:pgSz w:w="11906" w:h="16838"/>
      <w:pgMar w:top="1440" w:right="1440" w:bottom="1440" w:left="1440" w:header="0" w:footer="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F41"/>
    <w:rsid w:val="000E3C98"/>
    <w:rsid w:val="00137FA9"/>
    <w:rsid w:val="00226A99"/>
    <w:rsid w:val="002A2875"/>
    <w:rsid w:val="00396F41"/>
    <w:rsid w:val="00505CED"/>
    <w:rsid w:val="006433EC"/>
    <w:rsid w:val="00655CB7"/>
    <w:rsid w:val="006803A0"/>
    <w:rsid w:val="007A6DA2"/>
    <w:rsid w:val="00804C68"/>
    <w:rsid w:val="008D361D"/>
    <w:rsid w:val="00912E33"/>
    <w:rsid w:val="00971AE1"/>
    <w:rsid w:val="00985829"/>
    <w:rsid w:val="00A405C3"/>
    <w:rsid w:val="00C35F29"/>
    <w:rsid w:val="00EC4BA3"/>
    <w:rsid w:val="00F36A00"/>
    <w:rsid w:val="00F50E9B"/>
    <w:rsid w:val="00F55C38"/>
    <w:rsid w:val="00FC6C7B"/>
    <w:rsid w:val="0F2140C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vi-VN" w:eastAsia="vi-V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513"/>
        <w:tab w:val="right" w:pos="9026"/>
      </w:tabs>
      <w:spacing w:after="0" w:line="240" w:lineRule="auto"/>
    </w:pPr>
  </w:style>
  <w:style w:type="paragraph" w:styleId="5">
    <w:name w:val="header"/>
    <w:basedOn w:val="1"/>
    <w:link w:val="6"/>
    <w:unhideWhenUsed/>
    <w:qFormat/>
    <w:uiPriority w:val="99"/>
    <w:pPr>
      <w:tabs>
        <w:tab w:val="center" w:pos="4513"/>
        <w:tab w:val="right" w:pos="9026"/>
      </w:tabs>
      <w:spacing w:after="0" w:line="240" w:lineRule="auto"/>
    </w:pPr>
  </w:style>
  <w:style w:type="character" w:customStyle="1" w:styleId="6">
    <w:name w:val="Header Char"/>
    <w:basedOn w:val="2"/>
    <w:link w:val="5"/>
    <w:uiPriority w:val="99"/>
  </w:style>
  <w:style w:type="character" w:customStyle="1" w:styleId="7">
    <w:name w:val="Footer Char"/>
    <w:basedOn w:val="2"/>
    <w:link w:val="4"/>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42185</Words>
  <Characters>150284</Characters>
  <Lines>1364</Lines>
  <Paragraphs>384</Paragraphs>
  <TotalTime>35</TotalTime>
  <ScaleCrop>false</ScaleCrop>
  <LinksUpToDate>false</LinksUpToDate>
  <CharactersWithSpaces>191162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2025-11-05T01:19:00Z</dcterms:created>
  <dc:creator>Admin</dc:creator>
  <cp:lastModifiedBy>Phúc Châu</cp:lastModifiedBy>
  <dcterms:modified xsi:type="dcterms:W3CDTF">2026-09-26T09:18:04Z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27EFA9FFE457476DBDE9507B65571E43_12</vt:lpwstr>
  </property>
</Properties>
</file>