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9CA10">
      <w:pPr>
        <w:spacing w:before="120" w:after="0" w:line="240" w:lineRule="auto"/>
        <w:ind w:firstLine="3828"/>
        <w:jc w:val="center"/>
        <w:rPr>
          <w:rFonts w:ascii="Times New Roman" w:hAnsi="Times New Roman" w:eastAsia="Calibri" w:cs="Times New Roman"/>
          <w:b/>
          <w:bCs/>
          <w:color w:val="000000" w:themeColor="text1"/>
          <w:kern w:val="0"/>
          <w14:textFill>
            <w14:solidFill>
              <w14:schemeClr w14:val="tx1"/>
            </w14:solidFill>
          </w14:textFill>
          <w14:ligatures w14:val="none"/>
        </w:rPr>
      </w:pPr>
      <w:r>
        <w:rPr>
          <w:rFonts w:ascii="Times New Roman" w:hAnsi="Times New Roman" w:eastAsia="Calibri" w:cs="Times New Roman"/>
          <w:b/>
          <w:bCs/>
          <w:color w:val="000000" w:themeColor="text1"/>
          <w:kern w:val="0"/>
          <w14:textFill>
            <w14:solidFill>
              <w14:schemeClr w14:val="tx1"/>
            </w14:solidFill>
          </w14:textFill>
          <w14:ligatures w14:val="none"/>
        </w:rPr>
        <w:t>CỘNG HÒA XÃ HỘI CHỦ NGHĨA VIỆT NAM</w:t>
      </w:r>
    </w:p>
    <w:p w14:paraId="5C09C491">
      <w:pPr>
        <w:spacing w:before="120" w:after="0" w:line="240" w:lineRule="auto"/>
        <w:ind w:firstLine="3828"/>
        <w:jc w:val="center"/>
        <w:rPr>
          <w:rFonts w:ascii="Times New Roman" w:hAnsi="Times New Roman" w:eastAsia="Calibri" w:cs="Times New Roman"/>
          <w:b/>
          <w:color w:val="000000" w:themeColor="text1"/>
          <w:kern w:val="0"/>
          <w:sz w:val="26"/>
          <w:szCs w:val="26"/>
          <w14:textFill>
            <w14:solidFill>
              <w14:schemeClr w14:val="tx1"/>
            </w14:solidFill>
          </w14:textFill>
          <w14:ligatures w14:val="none"/>
        </w:rPr>
      </w:pPr>
      <w:r>
        <w:rPr>
          <w:rFonts w:ascii="Times New Roman" w:hAnsi="Times New Roman" w:eastAsia="Calibri" w:cs="Times New Roman"/>
          <w:b/>
          <w:bCs/>
          <w:color w:val="000000" w:themeColor="text1"/>
          <w:kern w:val="0"/>
          <w:sz w:val="26"/>
          <w:szCs w:val="26"/>
          <w14:textFill>
            <w14:solidFill>
              <w14:schemeClr w14:val="tx1"/>
            </w14:solidFill>
          </w14:textFill>
          <w14:ligatures w14:val="none"/>
        </w:rPr>
        <w:t>Độc lập - Tự do - Hạnh phúc</w:t>
      </w:r>
    </w:p>
    <w:p w14:paraId="7DC6D925">
      <w:pPr>
        <w:spacing w:before="120" w:after="0" w:line="240" w:lineRule="auto"/>
        <w:jc w:val="center"/>
        <w:rPr>
          <w:rFonts w:ascii="Times New Roman" w:hAnsi="Times New Roman" w:eastAsia="Calibri" w:cs="Times New Roman"/>
          <w:b/>
          <w:color w:val="000000" w:themeColor="text1"/>
          <w:kern w:val="0"/>
          <w:sz w:val="28"/>
          <w:szCs w:val="28"/>
          <w14:textFill>
            <w14:solidFill>
              <w14:schemeClr w14:val="tx1"/>
            </w14:solidFill>
          </w14:textFill>
          <w14:ligatures w14:val="none"/>
        </w:rPr>
      </w:pPr>
      <w:r>
        <w:rPr>
          <w:rFonts w:ascii="Times New Roman" w:hAnsi="Times New Roman" w:eastAsia="Calibri" w:cs="Times New Roman"/>
          <w:b/>
          <w:color w:val="000000" w:themeColor="text1"/>
          <w:kern w:val="0"/>
          <w:sz w:val="28"/>
          <w:szCs w:val="28"/>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3082290</wp:posOffset>
                </wp:positionH>
                <wp:positionV relativeFrom="paragraph">
                  <wp:posOffset>43815</wp:posOffset>
                </wp:positionV>
                <wp:extent cx="2047240" cy="0"/>
                <wp:effectExtent l="0" t="0" r="0" b="0"/>
                <wp:wrapNone/>
                <wp:docPr id="1725325740" name="Straight Connector 6"/>
                <wp:cNvGraphicFramePr/>
                <a:graphic xmlns:a="http://schemas.openxmlformats.org/drawingml/2006/main">
                  <a:graphicData uri="http://schemas.microsoft.com/office/word/2010/wordprocessingShape">
                    <wps:wsp>
                      <wps:cNvCnPr/>
                      <wps:spPr>
                        <a:xfrm>
                          <a:off x="0" y="0"/>
                          <a:ext cx="20471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o:spt="20" style="position:absolute;left:0pt;margin-left:242.7pt;margin-top:3.45pt;height:0pt;width:161.2pt;z-index:251659264;mso-width-relative:page;mso-height-relative:page;" filled="f" stroked="t" coordsize="21600,21600" o:gfxdata="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pxuD31AAAAAcBAAAPAAAAAAAAAAEA&#10;IAAAACIAAABkcnMvZG93bnJldi54bWxQSwECFAAUAAAACACHTuJASqn7z9oBAAC9AwAADgAAAAAA&#10;AAABACAAAAAjAQAAZHJzL2Uyb0RvYy54bWxQSwUGAAAAAAYABgBZAQAAbwUAAAAA&#10;">
                <v:fill on="f" focussize="0,0"/>
                <v:stroke weight="0.5pt" color="#000000 [3200]" miterlimit="8" joinstyle="miter"/>
                <v:imagedata o:title=""/>
                <o:lock v:ext="edit" aspectratio="f"/>
              </v:line>
            </w:pict>
          </mc:Fallback>
        </mc:AlternateContent>
      </w:r>
    </w:p>
    <w:p w14:paraId="508564EA">
      <w:pPr>
        <w:spacing w:before="120" w:after="0" w:line="240" w:lineRule="auto"/>
        <w:jc w:val="center"/>
        <w:rPr>
          <w:rFonts w:ascii="Times New Roman" w:hAnsi="Times New Roman" w:eastAsia="Calibri" w:cs="Times New Roman"/>
          <w:b/>
          <w:color w:val="000000" w:themeColor="text1"/>
          <w:kern w:val="0"/>
          <w:sz w:val="28"/>
          <w:szCs w:val="28"/>
          <w14:textFill>
            <w14:solidFill>
              <w14:schemeClr w14:val="tx1"/>
            </w14:solidFill>
          </w14:textFill>
          <w14:ligatures w14:val="none"/>
        </w:rPr>
      </w:pPr>
      <w:r>
        <w:rPr>
          <w:rFonts w:ascii="Times New Roman" w:hAnsi="Times New Roman" w:eastAsia="Calibri" w:cs="Times New Roman"/>
          <w:b/>
          <w:color w:val="000000" w:themeColor="text1"/>
          <w:kern w:val="0"/>
          <w:sz w:val="28"/>
          <w:szCs w:val="28"/>
          <w14:textFill>
            <w14:solidFill>
              <w14:schemeClr w14:val="tx1"/>
            </w14:solidFill>
          </w14:textFill>
          <w14:ligatures w14:val="none"/>
        </w:rPr>
        <w:t>LUẬT</w:t>
      </w:r>
    </w:p>
    <w:p w14:paraId="287D443E">
      <w:pPr>
        <w:spacing w:before="120" w:after="0" w:line="240" w:lineRule="auto"/>
        <w:jc w:val="center"/>
        <w:rPr>
          <w:rFonts w:ascii="Times New Roman" w:hAnsi="Times New Roman" w:eastAsia="Calibri" w:cs="Times New Roman"/>
          <w:b/>
          <w:color w:val="000000" w:themeColor="text1"/>
          <w:kern w:val="0"/>
          <w:sz w:val="28"/>
          <w:szCs w:val="28"/>
          <w14:textFill>
            <w14:solidFill>
              <w14:schemeClr w14:val="tx1"/>
            </w14:solidFill>
          </w14:textFill>
          <w14:ligatures w14:val="none"/>
        </w:rPr>
      </w:pPr>
      <w:r>
        <w:rPr>
          <w:rFonts w:ascii="Times New Roman" w:hAnsi="Times New Roman" w:eastAsia="Calibri" w:cs="Times New Roman"/>
          <w:b/>
          <w:color w:val="000000" w:themeColor="text1"/>
          <w:kern w:val="0"/>
          <w:sz w:val="28"/>
          <w:szCs w:val="28"/>
          <w14:textFill>
            <w14:solidFill>
              <w14:schemeClr w14:val="tx1"/>
            </w14:solidFill>
          </w14:textFill>
          <w14:ligatures w14:val="none"/>
        </w:rPr>
        <w:t>NHÀ Ở</w:t>
      </w:r>
    </w:p>
    <w:p w14:paraId="68AFD331">
      <w:pPr>
        <w:spacing w:before="120" w:after="0" w:line="240" w:lineRule="auto"/>
        <w:jc w:val="center"/>
        <w:rPr>
          <w:rFonts w:ascii="Times New Roman" w:hAnsi="Times New Roman" w:eastAsia="Calibri" w:cs="Times New Roman"/>
          <w:b/>
          <w:color w:val="000000" w:themeColor="text1"/>
          <w:kern w:val="0"/>
          <w:sz w:val="28"/>
          <w:szCs w:val="28"/>
          <w14:textFill>
            <w14:solidFill>
              <w14:schemeClr w14:val="tx1"/>
            </w14:solidFill>
          </w14:textFill>
          <w14:ligatures w14:val="none"/>
        </w:rPr>
      </w:pPr>
    </w:p>
    <w:p w14:paraId="12FB6860">
      <w:pPr>
        <w:spacing w:after="0" w:line="240" w:lineRule="auto"/>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b/>
          <w:bCs/>
          <w:color w:val="000000" w:themeColor="text1"/>
          <w:kern w:val="0"/>
          <w:sz w:val="28"/>
          <w:szCs w:val="28"/>
          <w14:textFill>
            <w14:solidFill>
              <w14:schemeClr w14:val="tx1"/>
            </w14:solidFill>
          </w14:textFill>
          <w14:ligatures w14:val="none"/>
        </w:rPr>
        <w:t>Chương I</w:t>
      </w:r>
    </w:p>
    <w:p w14:paraId="51DFEDEF">
      <w:pPr>
        <w:spacing w:after="0" w:line="240" w:lineRule="auto"/>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b/>
          <w:bCs/>
          <w:color w:val="000000" w:themeColor="text1"/>
          <w:kern w:val="0"/>
          <w:sz w:val="28"/>
          <w:szCs w:val="28"/>
          <w14:textFill>
            <w14:solidFill>
              <w14:schemeClr w14:val="tx1"/>
            </w14:solidFill>
          </w14:textFill>
          <w14:ligatures w14:val="none"/>
        </w:rPr>
        <w:t>NHỮNG QUY ĐỊNH CHUNG</w:t>
      </w:r>
    </w:p>
    <w:p w14:paraId="1AA94A02">
      <w:pPr>
        <w:keepNext/>
        <w:keepLines/>
        <w:spacing w:before="120" w:after="0" w:line="334"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10. Quyền của chủ sở hữu nhà ở và người sử dụng nhà ở </w:t>
      </w:r>
    </w:p>
    <w:p w14:paraId="6B88FE99">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Chủ sở hữu nhà ở là tổ chức, cá nhân trong nước, người Việt Nam định cư ở nước ngoài có các quyền sau đây:</w:t>
      </w:r>
    </w:p>
    <w:p w14:paraId="019C258D">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a) Có quyền bất khả xâm phạm về nhà ở thuộc sở hữu hợp pháp của mình;</w:t>
      </w:r>
    </w:p>
    <w:p w14:paraId="5E595056">
      <w:pPr>
        <w:spacing w:before="120" w:after="0" w:line="334" w:lineRule="exact"/>
        <w:ind w:firstLine="567"/>
        <w:jc w:val="both"/>
        <w:rPr>
          <w:rFonts w:ascii="Times New Roman" w:hAnsi="Times New Roman" w:eastAsia="Calibri" w:cs="Times New Roman"/>
          <w:color w:val="000000" w:themeColor="text1"/>
          <w:spacing w:val="-4"/>
          <w:kern w:val="0"/>
          <w:sz w:val="28"/>
          <w:szCs w:val="28"/>
          <w14:textFill>
            <w14:solidFill>
              <w14:schemeClr w14:val="tx1"/>
            </w14:solidFill>
          </w14:textFill>
          <w14:ligatures w14:val="none"/>
        </w:rPr>
      </w:pPr>
      <w:r>
        <w:rPr>
          <w:rFonts w:ascii="Times New Roman" w:hAnsi="Times New Roman" w:eastAsia="Calibri" w:cs="Times New Roman"/>
          <w:color w:val="000000" w:themeColor="text1"/>
          <w:spacing w:val="-4"/>
          <w:kern w:val="0"/>
          <w:sz w:val="28"/>
          <w:szCs w:val="28"/>
          <w14:textFill>
            <w14:solidFill>
              <w14:schemeClr w14:val="tx1"/>
            </w14:solidFill>
          </w14:textFill>
          <w14:ligatures w14:val="none"/>
        </w:rPr>
        <w:t>b) Sử dụng nhà ở vào mục đích để ở và mục đích khác mà pháp luật không cấm;</w:t>
      </w:r>
    </w:p>
    <w:p w14:paraId="236BE357">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c) Được cấp Giấy chứng nhận đối với nhà ở thuộc quyền sở hữu hợp pháp của mình theo quy định của Luật này và pháp luật về đất đai;</w:t>
      </w:r>
    </w:p>
    <w:p w14:paraId="7CFD355A">
      <w:pPr>
        <w:widowControl w:val="0"/>
        <w:spacing w:before="120" w:after="0" w:line="334" w:lineRule="exact"/>
        <w:ind w:firstLine="567"/>
        <w:jc w:val="both"/>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 xml:space="preserve">d) Bán, cho thuê mua, tặng cho, đổi, để thừa kế, thế chấp, góp vốn bằng nhà ở theo quy định của Luật này, pháp luật về đất đai và quy định khác của pháp luật có liên quan; chuyển nhượng hợp đồng mua bán nhà ở, cho thuê, cho mượn, cho ở nhờ, ủy quyền quản lý nhà ở và các quyền khác theo quy định của pháp luật; </w:t>
      </w:r>
      <w:r>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t xml:space="preserve">trường hợp tặng cho, để thừa kế nhà ở cho đối tượng không thuộc trường hợp được sở hữu nhà ở tại Việt Nam thì đối tượng này chỉ được hưởng giá trị của nhà ở đó. </w:t>
      </w:r>
    </w:p>
    <w:p w14:paraId="18F4B91B">
      <w:pPr>
        <w:widowControl w:val="0"/>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Trường hợp Luật Đất đai có quy định khác về quyền của chủ sở hữu nhà ở gắn với quyền sử dụng đất ở là người Việt Nam định cư ở nước ngoài thì thực hiện theo quy định đó;</w:t>
      </w:r>
    </w:p>
    <w:p w14:paraId="7F6DFA93">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đ) Sử dụng chung các công trình tiện ích công cộng trong khu nhà ở đó theo quy định của Luật này và quy định khác của pháp luật có liên quan.</w:t>
      </w:r>
    </w:p>
    <w:p w14:paraId="3932DB54">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Trường hợp là chủ sở hữu nhà chung cư thì có quyền sở hữu chung, sử dụng chung đối với phần sở hữu chung của nhà chung cư và công trình hạ tầng sử dụng chung của khu nhà chung cư đó, trừ công trình được xây dựng để kinh doanh hoặc phải bàn giao cho Nhà nước theo quy định của pháp luật hoặc theo thỏa thuận trong hợp đồng mua bán, thuê mua nhà ở;</w:t>
      </w:r>
    </w:p>
    <w:p w14:paraId="6F14FE27">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e) Bảo trì, cải tạo, phá dỡ, xây dựng lại nhà ở theo quy định của Luật này và pháp luật về xây dựng;</w:t>
      </w:r>
    </w:p>
    <w:p w14:paraId="136719CD">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g) Được bảo hộ quyền sở hữu nhà ở theo quy định tại Điều 7 của Luật này;</w:t>
      </w:r>
    </w:p>
    <w:p w14:paraId="75559C38">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h) Khiếu nại, tố cáo, khởi kiện đối với hành vi vi phạm quyền sở hữu hợp pháp của mình và hành vi khác vi phạm pháp luật về nhà ở;</w:t>
      </w:r>
    </w:p>
    <w:p w14:paraId="70570CDF">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i) Quyền khác theo quy định của pháp luật.</w:t>
      </w:r>
    </w:p>
    <w:p w14:paraId="5695C304">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Chủ sở hữu nhà ở là tổ chức, cá nhân nước ngoài có quyền quy định tại Điều 20 của Luật này.</w:t>
      </w:r>
    </w:p>
    <w:p w14:paraId="4A6761F8">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Người sử dụng nhà ở không phải là chủ sở hữu nhà ở được thực hiện quyền trong việc quản lý, sử dụng nhà ở theo thỏa thuận với chủ sở hữu nhà ở.</w:t>
      </w:r>
    </w:p>
    <w:p w14:paraId="7B26480C">
      <w:pPr>
        <w:keepNext/>
        <w:keepLines/>
        <w:spacing w:before="120" w:after="0" w:line="340" w:lineRule="exact"/>
        <w:ind w:firstLine="567"/>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11. Nghĩa vụ của chủ sở hữu nhà ở và người sử dụng nhà ở </w:t>
      </w:r>
    </w:p>
    <w:p w14:paraId="06A6F637">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bookmarkStart w:id="0" w:name="bookmark2"/>
      <w:r>
        <w:rPr>
          <w:rFonts w:ascii="Times New Roman" w:hAnsi="Times New Roman" w:eastAsia="Calibri" w:cs="Times New Roman"/>
          <w:color w:val="000000" w:themeColor="text1"/>
          <w:kern w:val="0"/>
          <w:sz w:val="28"/>
          <w:szCs w:val="28"/>
          <w14:textFill>
            <w14:solidFill>
              <w14:schemeClr w14:val="tx1"/>
            </w14:solidFill>
          </w14:textFill>
          <w14:ligatures w14:val="none"/>
        </w:rPr>
        <w:t>1. Chủ sở hữu nhà ở là tổ chức, cá nhân trong nước, người Việt Nam định cư ở nước ngoài có các nghĩa vụ sau đây:</w:t>
      </w:r>
    </w:p>
    <w:p w14:paraId="4E404737">
      <w:pPr>
        <w:spacing w:before="120" w:after="0" w:line="340" w:lineRule="exact"/>
        <w:ind w:firstLine="567"/>
        <w:jc w:val="both"/>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pPr>
      <w:r>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t>a) Sử dụng nhà ở đúng mục đích; lập và lưu trữ hồ sơ nhà ở thuộc sở hữu của mình;</w:t>
      </w:r>
    </w:p>
    <w:p w14:paraId="12F8DB68">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b) Thực hiện việc phòng cháy, chữa cháy, bảo đảm vệ sinh, môi trường, trật tự, an toàn xã hội theo quy định của pháp luật;</w:t>
      </w:r>
    </w:p>
    <w:p w14:paraId="7005D0C3">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 xml:space="preserve">c) Thực hiện đầy đủ quy định của pháp luật khi bán, cho thuê mua, cho thuê, tặng cho, đổi, để thừa kế, thế chấp, góp vốn, cho mượn, cho ở nhờ, ủy quyền quản lý nhà ở, chuyển nhượng hợp đồng mua bán nhà ở; đối với giao dịch nhà ở là tài sản chung của vợ chồng thì còn phải thực hiện theo quy định của Luật Hôn nhân và gia đình. Trường hợp mua bán nhà ở có thời hạn theo quy định tại khoản 1 Điều 165 của Luật này thì phải trả lại nhà ở khi hết thời hạn theo quy định tại khoản 2 Điều 9 của Luật này. </w:t>
      </w:r>
    </w:p>
    <w:p w14:paraId="2A26BA95">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Trường hợp Luật Đất đai có quy định khác về nghĩa vụ của chủ sở hữu nhà ở gắn với quyền sử dụng đất ở là người Việt Nam định cư ở nước ngoài thì thực hiện theo quy định đó;</w:t>
      </w:r>
    </w:p>
    <w:p w14:paraId="2AD0B5C8">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d) Thực hiện đúng quy định của pháp luật và không được gây thiệt hại đến lợi ích của Nhà nước, lợi ích công cộng, quyền và lợi ích hợp pháp của tổ chức, cá nhân khác khi bảo trì, cải tạo, phá dỡ, xây dựng lại nhà ở; trường hợp mua bán nhà ở có thời hạn theo quy định tại khoản 1 Điều 165 của Luật này thì còn phải thực hiện theo thỏa thuận giữa các bên;</w:t>
      </w:r>
    </w:p>
    <w:p w14:paraId="23DA705B">
      <w:pPr>
        <w:spacing w:before="8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đ) Mua bảo hiểm cháy, nổ đối với nhà ở thuộc trường hợp bắt buộc phải tham gia bảo hiểm cháy, nổ theo quy định của pháp luật về phòng cháy, chữa cháy và pháp luật về kinh doanh bảo hiểm;</w:t>
      </w:r>
    </w:p>
    <w:p w14:paraId="0E151D77">
      <w:pPr>
        <w:spacing w:before="80" w:after="0" w:line="340" w:lineRule="exact"/>
        <w:ind w:firstLine="567"/>
        <w:jc w:val="both"/>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 xml:space="preserve">e) Chấp hành quyết định của cơ quan nhà nước có thẩm quyền đã có hiệu lực pháp luật về việc xử lý vi phạm, giải quyết tranh chấp, khiếu nại, tố cáo về nhà ở, bồi thường, hỗ trợ, tái định cư, di dời, phá dỡ nhà ở; </w:t>
      </w:r>
    </w:p>
    <w:p w14:paraId="5B181FDE">
      <w:pPr>
        <w:spacing w:before="8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g) Có trách nhiệm để các bên có liên quan và người có thẩm quyền thực hiện việc kiểm tra, theo dõi, bảo trì hệ thống trang thiết bị, hệ thống hạ tầng kỹ thuật, phần diện tích thuộc sở hữu chung, sử dụng chung;</w:t>
      </w:r>
    </w:p>
    <w:p w14:paraId="478B65FC">
      <w:pPr>
        <w:spacing w:before="8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h) Thực hiện nghĩa vụ tài chính với Nhà nước khi được công nhận quyền sở hữu nhà ở, khi thực hiện giao dịch về nhà ở và trong quá trình sử dụng nhà ở theo quy định của pháp luật;</w:t>
      </w:r>
    </w:p>
    <w:p w14:paraId="49D44252">
      <w:pPr>
        <w:spacing w:before="8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i) Nghĩa vụ khác theo quy định của pháp luật.</w:t>
      </w:r>
    </w:p>
    <w:p w14:paraId="6F013275">
      <w:pPr>
        <w:spacing w:before="8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Chủ sở hữu nhà ở là tổ chức, cá nhân nước ngoài có nghĩa vụ quy định tại khoản 1 Điều này và Điều 21 của Luật này; đại diện chủ sở hữu nhà ở thuộc tài sản công</w:t>
      </w:r>
      <w:r>
        <w:rPr>
          <w:rFonts w:ascii="Times New Roman" w:hAnsi="Times New Roman" w:eastAsia="Calibri" w:cs="Times New Roman"/>
          <w:i/>
          <w:iCs/>
          <w:color w:val="000000" w:themeColor="text1"/>
          <w:kern w:val="0"/>
          <w:sz w:val="28"/>
          <w:szCs w:val="28"/>
          <w14:textFill>
            <w14:solidFill>
              <w14:schemeClr w14:val="tx1"/>
            </w14:solidFill>
          </w14:textFill>
          <w14:ligatures w14:val="none"/>
        </w:rPr>
        <w:t xml:space="preserve"> </w:t>
      </w:r>
      <w:r>
        <w:rPr>
          <w:rFonts w:ascii="Times New Roman" w:hAnsi="Times New Roman" w:eastAsia="Calibri" w:cs="Times New Roman"/>
          <w:color w:val="000000" w:themeColor="text1"/>
          <w:kern w:val="0"/>
          <w:sz w:val="28"/>
          <w:szCs w:val="28"/>
          <w14:textFill>
            <w14:solidFill>
              <w14:schemeClr w14:val="tx1"/>
            </w14:solidFill>
          </w14:textFill>
          <w14:ligatures w14:val="none"/>
        </w:rPr>
        <w:t>có nghĩa vụ quy định tại khoản 1 Điều này và trách nhiệm quy định tại Điều 15 của Luật này.</w:t>
      </w:r>
    </w:p>
    <w:p w14:paraId="1BF99736">
      <w:pPr>
        <w:spacing w:before="8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Người sử dụng nhà ở không phải là chủ sở hữu nhà ở phải thực hiện nghĩa vụ trong việc quản lý, sử dụng nhà ở theo thỏa thuận với chủ sở hữu nhà ở, quy định của Luật này và quy định khác của pháp luật có liên quan.</w:t>
      </w:r>
    </w:p>
    <w:bookmarkEnd w:id="0"/>
    <w:p w14:paraId="134FF6FA">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Điều 57. Phát triển nhà ở nhiều tầng nhiều căn hộ của cá nhân để bán, cho thuê mua, cho thuê</w:t>
      </w:r>
    </w:p>
    <w:p w14:paraId="7DC28DFD">
      <w:pPr>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1. Cá nhân có quyền sử dụng đất ở theo quy định tại khoản 3 Điều 54 của Luật này xây dựng nhà ở trong các trường hợp sau đây thì phải đáp ứng điều kiện làm chủ đầu tư dự án đầu tư xây dựng nhà ở, việc đầu tư xây dựng thực hiện theo quy định của pháp luật về xây dựng và quy định khác của pháp luật có liên quan đối với dự án đầu tư xây dựng nhà ở:</w:t>
      </w:r>
    </w:p>
    <w:p w14:paraId="2BCE1374">
      <w:pPr>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a) Nhà ở có từ 02 tầng trở lên mà tại mỗi tầng có thiết kế, xây dựng căn hộ để bán, để cho thuê mua, để kết hợp bán, cho thuê mua, cho thuê căn hộ;</w:t>
      </w:r>
    </w:p>
    <w:p w14:paraId="1BCD1C63">
      <w:pPr>
        <w:widowControl w:val="0"/>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b) Nhà ở có từ 02 tầng trở lên và có quy mô từ 20 căn hộ trở lên để cho thuê.</w:t>
      </w:r>
    </w:p>
    <w:p w14:paraId="26C6D43D">
      <w:pPr>
        <w:widowControl w:val="0"/>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2. Căn hộ quy định tại khoản 1 Điều này được cấp Giấy chứng nhận theo quy định của pháp luật về đất đai, được bán, cho thuê mua, cho thuê theo quy định của Luật này, pháp luật về kinh doanh bất động sản.</w:t>
      </w:r>
    </w:p>
    <w:p w14:paraId="34C8EC92">
      <w:pPr>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3. Cá nhân có quyền sử dụng đất ở theo quy định tại khoản 3 Điều 54 của Luật này xây dựng nhà ở có từ 02 tầng trở lên và có quy mô dưới 20 căn hộ mà tại mỗi tầng có thiết kế, xây dựng căn hộ để cho thuê thì phải thực hiện theo quy định sau đây:</w:t>
      </w:r>
    </w:p>
    <w:p w14:paraId="1B2870A9">
      <w:pPr>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a) Đáp ứng yêu cầu xây dựng nhà ở nhiều tầng nhiều căn hộ của cá nhân theo quy định của Bộ trưởng Bộ Xây dựng;</w:t>
      </w:r>
    </w:p>
    <w:p w14:paraId="7976D224">
      <w:pPr>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b) Đáp ứng yêu cầu về phòng cháy, chữa cháy theo quy định của pháp luật về phòng cháy, chữa cháy đối với nhà ở nhiều tầng nhiều căn hộ của cá nhân;</w:t>
      </w:r>
    </w:p>
    <w:p w14:paraId="5E68AB9C">
      <w:pPr>
        <w:shd w:val="clear" w:color="auto" w:fill="FFFFFF"/>
        <w:spacing w:before="120" w:after="0" w:line="36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xml:space="preserve">c) Đáp ứng </w:t>
      </w:r>
      <w:r>
        <w:rPr>
          <w:rFonts w:ascii="Times New Roman" w:hAnsi="Times New Roman" w:eastAsia="Calibri" w:cs="Times New Roman"/>
          <w:color w:val="000000" w:themeColor="text1"/>
          <w:kern w:val="0"/>
          <w:sz w:val="28"/>
          <w:szCs w:val="28"/>
          <w14:textFill>
            <w14:solidFill>
              <w14:schemeClr w14:val="tx1"/>
            </w14:solidFill>
          </w14:textFill>
          <w14:ligatures w14:val="none"/>
        </w:rPr>
        <w:t>điều kiện theo quy định của Ủy ban nhân dân cấp tỉnh về đường giao thông để phương tiện chữa cháy thực hiện nhiệm vụ chữa cháy tại nơi có nhà ở nhiều tầng nhiều căn hộ của cá nhân.</w:t>
      </w:r>
    </w:p>
    <w:p w14:paraId="708C5550">
      <w:pPr>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4. Trường hợp nhà ở nhiều tầng nhiều căn hộ của cá nhân quy định tại khoản 3 Điều này có căn hộ để bán, để cho thuê mua thì phải đáp ứng điều kiện quy định tại khoản 1 Điều này.</w:t>
      </w:r>
    </w:p>
    <w:p w14:paraId="52B1CF81">
      <w:pPr>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xml:space="preserve">5. Việc quản lý vận hành nhà ở quy định </w:t>
      </w:r>
      <w:bookmarkStart w:id="1" w:name="_Hlk147136076"/>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xml:space="preserve">tại khoản 1 và khoản 3 </w:t>
      </w:r>
      <w:bookmarkEnd w:id="1"/>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Điều này được thực hiện theo Quy chế quản lý, sử dụng nhà chung cư do Bộ trưởng Bộ Xây dựng ban hành (sau đây gọi chung là Quy chế quản lý, sử dụng nhà chung cư).</w:t>
      </w:r>
    </w:p>
    <w:p w14:paraId="0A726201">
      <w:pPr>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xml:space="preserve">6. Ủy ban nhân dân các cấp, trong phạm vi nhiệm vụ, quyền hạn của mình, có trách nhiệm kiểm tra, thanh tra việc đáp ứng yêu cầu, điều kiện quy định tại khoản 1 và khoản 3 Điều này. </w:t>
      </w:r>
    </w:p>
    <w:p w14:paraId="7DF405B4">
      <w:pPr>
        <w:spacing w:before="120" w:after="0" w:line="360" w:lineRule="exact"/>
        <w:ind w:firstLine="567"/>
        <w:jc w:val="both"/>
        <w:rPr>
          <w:rFonts w:ascii="Times New Roman" w:hAnsi="Times New Roman" w:eastAsia="Calibri" w:cs="Times New Roman"/>
          <w:bCs/>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7. Chính phủ quy định chi tiết Điều này.</w:t>
      </w:r>
    </w:p>
    <w:p w14:paraId="158BCDF8">
      <w:pPr>
        <w:spacing w:before="120" w:after="0" w:line="340" w:lineRule="exact"/>
        <w:jc w:val="center"/>
        <w:rPr>
          <w:rFonts w:ascii="Times New Roman" w:hAnsi="Times New Roman" w:eastAsia="Calibri" w:cs="Times New Roman"/>
          <w:b/>
          <w:color w:val="000000" w:themeColor="text1"/>
          <w:kern w:val="0"/>
          <w:sz w:val="28"/>
          <w:szCs w:val="28"/>
          <w14:textFill>
            <w14:solidFill>
              <w14:schemeClr w14:val="tx1"/>
            </w14:solidFill>
          </w14:textFill>
          <w14:ligatures w14:val="none"/>
        </w:rPr>
      </w:pPr>
      <w:r>
        <w:rPr>
          <w:rFonts w:ascii="Times New Roman" w:hAnsi="Times New Roman" w:eastAsia="Calibri" w:cs="Times New Roman"/>
          <w:b/>
          <w:color w:val="000000" w:themeColor="text1"/>
          <w:kern w:val="0"/>
          <w:sz w:val="28"/>
          <w:szCs w:val="28"/>
          <w14:textFill>
            <w14:solidFill>
              <w14:schemeClr w14:val="tx1"/>
            </w14:solidFill>
          </w14:textFill>
          <w14:ligatures w14:val="none"/>
        </w:rPr>
        <w:t>Chương X</w:t>
      </w:r>
    </w:p>
    <w:p w14:paraId="2F695512">
      <w:pPr>
        <w:spacing w:before="120" w:after="0" w:line="340" w:lineRule="exact"/>
        <w:jc w:val="center"/>
        <w:rPr>
          <w:rFonts w:ascii="Times New Roman" w:hAnsi="Times New Roman" w:eastAsia="Calibri" w:cs="Times New Roman"/>
          <w:b/>
          <w:color w:val="000000" w:themeColor="text1"/>
          <w:kern w:val="0"/>
          <w:sz w:val="28"/>
          <w:szCs w:val="28"/>
          <w14:textFill>
            <w14:solidFill>
              <w14:schemeClr w14:val="tx1"/>
            </w14:solidFill>
          </w14:textFill>
          <w14:ligatures w14:val="none"/>
        </w:rPr>
      </w:pPr>
      <w:r>
        <w:rPr>
          <w:rFonts w:ascii="Times New Roman" w:hAnsi="Times New Roman" w:eastAsia="Calibri" w:cs="Times New Roman"/>
          <w:b/>
          <w:color w:val="000000" w:themeColor="text1"/>
          <w:kern w:val="0"/>
          <w:sz w:val="28"/>
          <w:szCs w:val="28"/>
          <w14:textFill>
            <w14:solidFill>
              <w14:schemeClr w14:val="tx1"/>
            </w14:solidFill>
          </w14:textFill>
          <w14:ligatures w14:val="none"/>
        </w:rPr>
        <w:t>GIAO DỊCH VỀ NHÀ Ở</w:t>
      </w:r>
    </w:p>
    <w:p w14:paraId="76F1734B">
      <w:pPr>
        <w:spacing w:before="120" w:after="0" w:line="340" w:lineRule="exact"/>
        <w:jc w:val="center"/>
        <w:rPr>
          <w:rFonts w:ascii="Times New Roman" w:hAnsi="Times New Roman" w:eastAsia="Calibri" w:cs="Times New Roman"/>
          <w:b/>
          <w:color w:val="000000" w:themeColor="text1"/>
          <w:kern w:val="0"/>
          <w:sz w:val="28"/>
          <w:szCs w:val="28"/>
          <w14:textFill>
            <w14:solidFill>
              <w14:schemeClr w14:val="tx1"/>
            </w14:solidFill>
          </w14:textFill>
          <w14:ligatures w14:val="none"/>
        </w:rPr>
      </w:pPr>
      <w:r>
        <w:rPr>
          <w:rFonts w:ascii="Times New Roman" w:hAnsi="Times New Roman" w:eastAsia="Calibri" w:cs="Times New Roman"/>
          <w:b/>
          <w:color w:val="000000" w:themeColor="text1"/>
          <w:kern w:val="0"/>
          <w:sz w:val="28"/>
          <w:szCs w:val="28"/>
          <w14:textFill>
            <w14:solidFill>
              <w14:schemeClr w14:val="tx1"/>
            </w14:solidFill>
          </w14:textFill>
          <w14:ligatures w14:val="none"/>
        </w:rPr>
        <w:t>Mục 1</w:t>
      </w:r>
    </w:p>
    <w:p w14:paraId="27E109B2">
      <w:pPr>
        <w:spacing w:before="120" w:after="0" w:line="340" w:lineRule="exact"/>
        <w:jc w:val="center"/>
        <w:rPr>
          <w:rFonts w:ascii="Times New Roman" w:hAnsi="Times New Roman" w:eastAsia="Calibri" w:cs="Times New Roman"/>
          <w:b/>
          <w:color w:val="000000" w:themeColor="text1"/>
          <w:kern w:val="0"/>
          <w:sz w:val="28"/>
          <w:szCs w:val="28"/>
          <w14:textFill>
            <w14:solidFill>
              <w14:schemeClr w14:val="tx1"/>
            </w14:solidFill>
          </w14:textFill>
          <w14:ligatures w14:val="none"/>
        </w:rPr>
      </w:pPr>
      <w:r>
        <w:rPr>
          <w:rFonts w:ascii="Times New Roman" w:hAnsi="Times New Roman" w:eastAsia="Calibri" w:cs="Times New Roman"/>
          <w:b/>
          <w:color w:val="000000" w:themeColor="text1"/>
          <w:kern w:val="0"/>
          <w:sz w:val="28"/>
          <w:szCs w:val="28"/>
          <w14:textFill>
            <w14:solidFill>
              <w14:schemeClr w14:val="tx1"/>
            </w14:solidFill>
          </w14:textFill>
          <w14:ligatures w14:val="none"/>
        </w:rPr>
        <w:t>QUY ĐỊNH CHUNG</w:t>
      </w:r>
    </w:p>
    <w:p w14:paraId="4CF981EE">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160. Điều kiện của nhà ở tham gia giao dịch </w:t>
      </w:r>
    </w:p>
    <w:p w14:paraId="1AFA69B2">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Giao dịch về mua bán, thuê mua, tặng cho, đổi, thế chấp, góp vốn bằng nhà ở thì nhà ở phải có đủ điều kiện sau đây:</w:t>
      </w:r>
    </w:p>
    <w:p w14:paraId="13B58A2A">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a) Có Giấy chứng nhận theo quy định của pháp luật, trừ trường hợp quy định tại khoản 2 Điều này;</w:t>
      </w:r>
    </w:p>
    <w:p w14:paraId="36821F16">
      <w:pPr>
        <w:spacing w:before="120" w:after="0" w:line="340" w:lineRule="exact"/>
        <w:ind w:firstLine="567"/>
        <w:jc w:val="both"/>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pPr>
      <w:r>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t xml:space="preserve">b) Không thuộc trường hợp đang có tranh chấp, khiếu nại, khiếu kiện về quyền sở hữu theo quy định của pháp luật về giải quyết tranh chấp, khiếu nại, tố cáo; </w:t>
      </w:r>
    </w:p>
    <w:p w14:paraId="38EF60D1">
      <w:pPr>
        <w:spacing w:before="120" w:after="0" w:line="340" w:lineRule="exact"/>
        <w:ind w:firstLine="567"/>
        <w:jc w:val="both"/>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pPr>
      <w:r>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t>c) Đang trong thời hạn sở hữu nhà ở đối với trường hợp sở hữu nhà ở có thời hạn;</w:t>
      </w:r>
    </w:p>
    <w:p w14:paraId="5261F2E3">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d) Không bị kê biên để thi hành án hoặc để chấp hành quyết định hành chính đã có hiệu lực pháp luật của cơ quan nhà nước có thẩm quyền hoặc không thuộc trường hợp bị áp dụng biện pháp khẩn cấp tạm thời, biện pháp ngăn chặn theo quyết định của Tòa án hoặc cơ quan nhà nước có thẩm quyền;</w:t>
      </w:r>
    </w:p>
    <w:p w14:paraId="12AFDAD0">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đ) Không thuộc trường hợp đã có quyết định thu hồi đất, có thông báo giải tỏa, phá dỡ nhà ở của cơ quan có thẩm quyền;</w:t>
      </w:r>
    </w:p>
    <w:p w14:paraId="7F6A2A10">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e) Điều kiện quy định tại điểm b và điểm c khoản này không áp dụng đối với trường hợp mua bán, thuê mua nhà ở hình thành trong tương lai.</w:t>
      </w:r>
    </w:p>
    <w:p w14:paraId="26DC931D">
      <w:pPr>
        <w:spacing w:before="120" w:after="0" w:line="340" w:lineRule="exact"/>
        <w:ind w:firstLine="567"/>
        <w:jc w:val="both"/>
        <w:rPr>
          <w:rFonts w:ascii="Times New Roman" w:hAnsi="Times New Roman" w:eastAsia="Calibri" w:cs="Times New Roman"/>
          <w:color w:val="000000" w:themeColor="text1"/>
          <w:spacing w:val="-6"/>
          <w:kern w:val="0"/>
          <w:sz w:val="28"/>
          <w:szCs w:val="28"/>
          <w14:textFill>
            <w14:solidFill>
              <w14:schemeClr w14:val="tx1"/>
            </w14:solidFill>
          </w14:textFill>
          <w14:ligatures w14:val="none"/>
        </w:rPr>
      </w:pPr>
      <w:r>
        <w:rPr>
          <w:rFonts w:ascii="Times New Roman" w:hAnsi="Times New Roman" w:eastAsia="Calibri" w:cs="Times New Roman"/>
          <w:color w:val="000000" w:themeColor="text1"/>
          <w:spacing w:val="-6"/>
          <w:kern w:val="0"/>
          <w:sz w:val="28"/>
          <w:szCs w:val="28"/>
          <w14:textFill>
            <w14:solidFill>
              <w14:schemeClr w14:val="tx1"/>
            </w14:solidFill>
          </w14:textFill>
          <w14:ligatures w14:val="none"/>
        </w:rPr>
        <w:t>2. Giao dịch về nhà ở sau đây thì nhà ở không bắt buộc phải có Giấy chứng nhận:</w:t>
      </w:r>
    </w:p>
    <w:p w14:paraId="77047734">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a) Mua bán, thuê mua, thế chấp nhà ở hình thành trong tương lai; bán nhà ở trong trường hợp giải thể, phá sản;</w:t>
      </w:r>
    </w:p>
    <w:p w14:paraId="015E0486">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b) Tổ chức tặng cho nhà tình nghĩa, nhà tình thương, nhà đại đoàn kết;</w:t>
      </w:r>
    </w:p>
    <w:p w14:paraId="0EE03B42">
      <w:pPr>
        <w:spacing w:before="120" w:after="0" w:line="334" w:lineRule="exact"/>
        <w:ind w:firstLine="567"/>
        <w:jc w:val="both"/>
        <w:rPr>
          <w:rFonts w:ascii="Times New Roman" w:hAnsi="Times New Roman" w:eastAsia="Calibri" w:cs="Times New Roman"/>
          <w:strike/>
          <w:color w:val="000000" w:themeColor="text1"/>
          <w:spacing w:val="-2"/>
          <w:kern w:val="0"/>
          <w:sz w:val="28"/>
          <w:szCs w:val="28"/>
          <w14:textFill>
            <w14:solidFill>
              <w14:schemeClr w14:val="tx1"/>
            </w14:solidFill>
          </w14:textFill>
          <w14:ligatures w14:val="none"/>
        </w:rPr>
      </w:pPr>
      <w:r>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t xml:space="preserve">c) Mua bán, thuê mua nhà ở có sẵn của chủ đầu tư dự án đầu tư xây dựng nhà ở trong các trường hợp sau đây: nhà ở thuộc tài sản công; nhà ở xã hội, nhà ở cho lực lượng vũ trang nhân dân, nhà ở phục vụ tái định cư không thuộc tài sản công; </w:t>
      </w:r>
    </w:p>
    <w:p w14:paraId="4B4E1DC1">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d) Cho thuê, cho mượn, cho ở nhờ, ủy quyền quản lý nhà ở;</w:t>
      </w:r>
    </w:p>
    <w:p w14:paraId="0ED86519">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đ) Nhận thừa kế nhà ở.</w:t>
      </w:r>
    </w:p>
    <w:p w14:paraId="1EAB2223">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Giấy tờ chứng minh điều kiện nhà ở tham gia giao dịch quy định tại khoản này thực hiện theo quy định của Chính phủ.</w:t>
      </w:r>
    </w:p>
    <w:p w14:paraId="26495915">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Trường hợp nhà ở cho thuê thì ngoài điều kiện quy định tại các điểm c, d và đ khoản 1 Điều này, nhà ở còn phải bảo đảm chất lượng, an toàn cho bên thuê nhà ở, có đầy đủ hệ thống điện, cấp nước, thoát nước, bảo đảm vệ sinh môi trường, trừ trường hợp các bên có thỏa thuận khác.</w:t>
      </w:r>
    </w:p>
    <w:p w14:paraId="66EB2F3A">
      <w:pPr>
        <w:keepNext/>
        <w:keepLines/>
        <w:spacing w:before="120" w:after="0" w:line="334"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161. Điều kiện của các bên tham gia giao dịch về nhà ở </w:t>
      </w:r>
    </w:p>
    <w:p w14:paraId="677FB18A">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Bên bán, cho thuê mua, cho thuê nhà ở, tặng cho, đổi, để thừa kế, thế chấp, góp vốn, cho mượn, cho ở nhờ, ủy quyền quản lý nhà ở phải đáp ứng điều kiện về chủ thể tham gia giao dịch theo quy định của pháp luật về dân sự.</w:t>
      </w:r>
    </w:p>
    <w:p w14:paraId="28CAE36F">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Bên mua, thuê mua, thuê nhà ở, nhận tặng cho, nhận đổi, nhận thừa kế, nhận thế chấp, nhận góp vốn, mượn, ở nhờ, được ủy quyền quản lý nhà ở là cá nhân phải đáp ứng điều kiện về chủ thể tham gia giao dịch theo quy định của pháp luật về dân sự và thực hiện theo quy định sau đây:</w:t>
      </w:r>
    </w:p>
    <w:p w14:paraId="0A83ED2C">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a) Nếu là cá nhân trong nước thì không bắt buộc phải có đăng ký cư trú tại nơi có nhà ở được giao dịch;</w:t>
      </w:r>
    </w:p>
    <w:p w14:paraId="022E6E48">
      <w:pPr>
        <w:spacing w:before="120" w:after="0" w:line="334" w:lineRule="exact"/>
        <w:ind w:firstLine="567"/>
        <w:jc w:val="both"/>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b</w:t>
      </w:r>
      <w:r>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t>) Nếu là cá nhân nước ngoài, người Việt Nam định cư ở nước ngoài thì phải thuộc đối tượng được sở hữu nhà ở tại Việt Nam theo quy định của Luật này và không bắt buộc phải có đăng ký cư trú tại nơi có nhà ở được giao dịch. Đối với người Việt Nam định cư ở nước ngoài còn phải tuân thủ quy định của Luật Đất đai.</w:t>
      </w:r>
    </w:p>
    <w:p w14:paraId="4A496399">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Bên mua, thuê mua, thuê nhà ở, nhận tặng cho, nhận đổi, nhận thừa kế, nhận thế chấp, nhận góp vốn, mượn, ở nhờ, được ủy quyền quản lý nhà ở là tổ chức thì phải đáp ứng điều kiện về chủ thể tham gia giao dịch theo quy định của pháp luật về dân sự và không phụ thuộc vào nơi đăng ký kinh doanh, nơi thành lập; trường hợp là tổ chức nước ngoài thì còn phải thuộc đối tượng được sở hữu nhà ở tại Việt Nam theo quy định của Luật này; nếu tổ chức được ủy quyền quản lý nhà ở thì còn phải có chức năng kinh doanh dịch vụ bất động sản và đang hoạt động tại Việt Nam theo quy định của pháp luật về kinh doanh bất động sản.</w:t>
      </w:r>
    </w:p>
    <w:p w14:paraId="7C7EBB33">
      <w:pPr>
        <w:widowControl w:val="0"/>
        <w:spacing w:before="120" w:after="0" w:line="334" w:lineRule="exact"/>
        <w:ind w:firstLine="567"/>
        <w:jc w:val="both"/>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b/>
          <w:bCs/>
          <w:color w:val="000000" w:themeColor="text1"/>
          <w:kern w:val="0"/>
          <w:sz w:val="28"/>
          <w:szCs w:val="28"/>
          <w14:textFill>
            <w14:solidFill>
              <w14:schemeClr w14:val="tx1"/>
            </w14:solidFill>
          </w14:textFill>
          <w14:ligatures w14:val="none"/>
        </w:rPr>
        <w:t xml:space="preserve">Điều 162. Trình tự, thủ tục thực hiện giao dịch về nhà ở </w:t>
      </w:r>
    </w:p>
    <w:p w14:paraId="24E08379">
      <w:pPr>
        <w:widowControl w:val="0"/>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Các bên tham gia giao dịch nhà ở thỏa thuận lập hợp đồng mua bán, thuê mua, thuê, tặng cho, đổi, thế chấp, góp vốn, cho mượn, cho ở nhờ, ủy quyền quản lý nhà ở (sau đây gọi chung là hợp đồng về nhà ở) có các nội dung quy định tại Điều 163 của Luật này; trường hợp tổ chức tặng cho nhà tình nghĩa, nhà tình thương, nhà đại đoàn kết thì chỉ cần lập hợp đồng tặng cho.</w:t>
      </w:r>
    </w:p>
    <w:p w14:paraId="54207AD1">
      <w:pPr>
        <w:spacing w:before="120" w:after="0" w:line="340" w:lineRule="exact"/>
        <w:ind w:firstLine="567"/>
        <w:jc w:val="both"/>
        <w:rPr>
          <w:rFonts w:ascii="Times New Roman" w:hAnsi="Times New Roman" w:eastAsia="Calibri" w:cs="Times New Roman"/>
          <w:strike/>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Các bên thỏa thuận để một bên thực hiện nộp hồ sơ đề nghị cơ quan nhà nước có thẩm quyền cấp Giấy chứng nhận đối với nhà ở đó; trường hợp mua, thuê mua nhà ở của chủ đầu tư dự án thì chủ đầu tư có trách nhiệm làm thủ tục để cơ quan nhà nước có thẩm quyền cấp Giấy chứng nhận cho bên mua, bên thuê mua, trừ trường hợp bên mua, bên thuê mua tự nguyện làm thủ tục đề nghị cấp Giấy chứng nhận.</w:t>
      </w:r>
    </w:p>
    <w:p w14:paraId="7D149729">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 xml:space="preserve">3. Trường hợp bên mua, bên thuê mua, bên nhận tặng cho, nhận đổi, nhận góp vốn, nhận thừa kế nhà ở cùng với nhận chuyển quyền sử dụng đất ở và có quyền nhận quyền sử dụng đất ở có nhà ở đó thì khi thực hiện cấp Giấy chứng nhận, cơ quan nhà nước có thẩm quyền đồng thời công nhận quyền sở hữu nhà ở và quyền sử dụng đất ở cho bên nhận quyền sở hữu nhà ở. </w:t>
      </w:r>
    </w:p>
    <w:p w14:paraId="19F80E09">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163. Hợp đồng về nhà ở </w:t>
      </w:r>
    </w:p>
    <w:p w14:paraId="5C3F38C6">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Hợp đồng về nhà ở do các bên thỏa thuận và phải được lập thành văn bản bao gồm các nội dung sau đây:</w:t>
      </w:r>
    </w:p>
    <w:p w14:paraId="0071E50A">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Họ và tên của cá nhân, tên của tổ chức và địa chỉ của các bên;</w:t>
      </w:r>
    </w:p>
    <w:p w14:paraId="2C6C73B2">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 xml:space="preserve">2. Mô tả đặc điểm của nhà ở giao dịch và đặc điểm của thửa đất ở gắn với nhà ở đó. </w:t>
      </w:r>
    </w:p>
    <w:p w14:paraId="579F3CF2">
      <w:pPr>
        <w:spacing w:before="120" w:after="0" w:line="340" w:lineRule="exact"/>
        <w:ind w:firstLine="567"/>
        <w:jc w:val="both"/>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 xml:space="preserve">Đối với hợp đồng mua bán, hợp đồng thuê mua căn hộ chung cư thì các bên phải ghi rõ phần sở hữu chung, sử dụng chung; thời hạn sử dụng nhà chung cư </w:t>
      </w:r>
      <w:r>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t xml:space="preserve">theo hồ sơ thiết kế; diện tích sử dụng thuộc quyền sở hữu riêng; diện tích sàn căn hộ; mục đích sử dụng của phần sở hữu chung, sử dụng chung trong nhà chung cư theo đúng mục đích thiết kế đã được phê duyệt; giá dịch vụ quản lý vận hành nhà chung cư trong trường hợp chưa tổ chức Hội nghị nhà chung cư lần đầu; trách nhiệm đóng, mức đóng kinh phí bảo trì và thông tin tài khoản nộp kinh phí bảo trì; </w:t>
      </w:r>
    </w:p>
    <w:p w14:paraId="12F1E79F">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Giá trị góp vốn, giá giao dịch nhà ở nếu hợp đồng có thỏa thuận về giá; trường hợp mua bán, cho thuê mua, cho thuê nhà ở mà Nhà nước có quy định về giá thì các bên phải thực hiện theo quy định đó;</w:t>
      </w:r>
    </w:p>
    <w:p w14:paraId="654F7682">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4. Thời hạn và phương thức thanh toán tiền nếu là trường hợp mua bán, cho thuê mua, cho thuê nhà ở;</w:t>
      </w:r>
    </w:p>
    <w:p w14:paraId="34823876">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5. Thời gian giao nhận nhà ở; thời gian bảo hành nhà ở nếu là mua, thuê mua nhà ở được đầu tư xây dựng mới; thời hạn cho thuê mua, cho thuê, thế chấp, cho mượn, cho ở nhờ, ủy quyền quản lý nhà ở; thời hạn góp vốn; thời hạn sở hữu đối với trường hợp mua bán nhà ở có thời hạn;</w:t>
      </w:r>
    </w:p>
    <w:p w14:paraId="02BCDB8A">
      <w:pPr>
        <w:widowControl w:val="0"/>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 xml:space="preserve">6. Quyền và nghĩa vụ của các bên. </w:t>
      </w:r>
    </w:p>
    <w:p w14:paraId="223EFA5A">
      <w:pPr>
        <w:widowControl w:val="0"/>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Trường hợp thuê mua nhà ở thì phải ghi rõ quyền và nghĩa vụ của các bên về việc sửa chữa hư hỏng của nhà ở trong quá trình thuê mua;</w:t>
      </w:r>
    </w:p>
    <w:p w14:paraId="65171188">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7. Cam kết của các bên;</w:t>
      </w:r>
    </w:p>
    <w:p w14:paraId="41088026">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8. Thỏa thuận khác;</w:t>
      </w:r>
    </w:p>
    <w:p w14:paraId="7E29014D">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9. Thời điểm có hiệu lực của hợp đồng;</w:t>
      </w:r>
    </w:p>
    <w:p w14:paraId="0623DC77">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10. Ngày, tháng, năm ký kết hợp đồng;</w:t>
      </w:r>
    </w:p>
    <w:p w14:paraId="28CD6D84">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11. Chữ ký và ghi rõ họ, tên của các bên, nếu là tổ chức thì phải đóng dấu (nếu có) và ghi rõ chức vụ của người ký.</w:t>
      </w:r>
    </w:p>
    <w:p w14:paraId="6BEF21D7">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164. Công chứng, chứng thực hợp đồng và thời điểm có hiệu lực của hợp đồng về nhà ở </w:t>
      </w:r>
    </w:p>
    <w:p w14:paraId="4FF21A7C">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Trường hợp mua bán, thuê mua, tặng cho, đổi, góp vốn, thế chấp nhà ở thì phải thực hiện công chứng hoặc chứng thực hợp đồng, trừ trường hợp quy định tại khoản 2 Điều này.</w:t>
      </w:r>
    </w:p>
    <w:p w14:paraId="15EED7BF">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Đối với giao dịch quy định tại khoản này thì thời điểm có hiệu lực của hợp đồng là thời điểm hoàn thành việc công chứng hoặc chứng thực theo quy định của pháp luật về công chứng, chứng thực.</w:t>
      </w:r>
    </w:p>
    <w:p w14:paraId="06D785EB">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Trường hợp tổ chức tặng cho nhà tình nghĩa, nhà tình thương, nhà đại đoàn kết; mua bán, thuê mua nhà ở thuộc tài sản công; mua bán, thuê mua nhà ở mà một bên là tổ chức, bao gồm: nhà ở xã hội, nhà ở cho lực lượng vũ trang nhân dân, nhà ở phục vụ tái định cư; góp vốn bằng nhà ở mà có một bên là tổ chức; thuê, mượn, ở nhờ, ủy quyền quản lý nhà ở thì không phải thực hiện công chứng, chứng thực hợp đồng, trừ trường hợp các bên có nhu cầu.</w:t>
      </w:r>
    </w:p>
    <w:p w14:paraId="15393F72">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Đối với giao dịch quy định tại khoản này thì thời điểm có hiệu lực của hợp đồng là do các bên thỏa thuận; trường hợp các bên không có thỏa thuận thì thời điểm có hiệu lực của hợp đồng là thời điểm ký kết hợp đồng.</w:t>
      </w:r>
    </w:p>
    <w:p w14:paraId="5043BF4C">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Văn bản thừa kế nhà ở được công chứng hoặc chứng thực theo quy định của pháp luật về dân sự.</w:t>
      </w:r>
    </w:p>
    <w:p w14:paraId="520E9A01">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4. Việc công chứng hợp đồng về nhà ở được thực hiện tại tổ chức hành nghề công chứng; việc chứng thực hợp đồng về nhà ở được thực hiện tại Ủy ban nhân dân cấp xã nơi có nhà ở.</w:t>
      </w:r>
    </w:p>
    <w:p w14:paraId="1536F893">
      <w:pPr>
        <w:spacing w:before="120" w:after="0" w:line="340" w:lineRule="exact"/>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p>
    <w:p w14:paraId="78EADB91">
      <w:pPr>
        <w:spacing w:before="120" w:after="0" w:line="340" w:lineRule="exact"/>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b/>
          <w:bCs/>
          <w:color w:val="000000" w:themeColor="text1"/>
          <w:kern w:val="0"/>
          <w:sz w:val="28"/>
          <w:szCs w:val="28"/>
          <w14:textFill>
            <w14:solidFill>
              <w14:schemeClr w14:val="tx1"/>
            </w14:solidFill>
          </w14:textFill>
          <w14:ligatures w14:val="none"/>
        </w:rPr>
        <w:t>Mục 2</w:t>
      </w:r>
    </w:p>
    <w:p w14:paraId="64F64468">
      <w:pPr>
        <w:spacing w:before="120" w:after="0" w:line="340" w:lineRule="exact"/>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b/>
          <w:bCs/>
          <w:color w:val="000000" w:themeColor="text1"/>
          <w:kern w:val="0"/>
          <w:sz w:val="28"/>
          <w:szCs w:val="28"/>
          <w14:textFill>
            <w14:solidFill>
              <w14:schemeClr w14:val="tx1"/>
            </w14:solidFill>
          </w14:textFill>
          <w14:ligatures w14:val="none"/>
        </w:rPr>
        <w:t>MUA BÁN NHÀ Ở</w:t>
      </w:r>
    </w:p>
    <w:p w14:paraId="29562305">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168. Mua bán nhà ở đang cho thuê </w:t>
      </w:r>
    </w:p>
    <w:p w14:paraId="688A49AF">
      <w:pPr>
        <w:spacing w:before="120" w:after="0" w:line="36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Trường hợp chủ sở hữu bán nhà ở đang cho thuê thì phải thông báo bằng văn bản cho bên thuê nhà ở biết về việc bán và điều kiện bán nhà ở; bên thuê nhà ở được quyền ưu tiên mua nếu đã thanh toán đủ tiền thuê nhà cho bên cho thuê tính đến thời điểm bên cho thuê có thông báo về việc bán nhà ở đang cho thuê, trừ trường hợp Bộ luật Dân sự có quy định khác. Trong thời hạn 30 ngày, kể từ ngày bên thuê nhà ở nhận được thông báo mà không mua thì chủ sở hữu nhà ở được quyền bán nhà ở đó cho người khác, trừ trường hợp các bên có thỏa thuận khác về thời hạn.</w:t>
      </w:r>
    </w:p>
    <w:p w14:paraId="1C39BABC">
      <w:pPr>
        <w:spacing w:before="120" w:after="0" w:line="36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Trường hợp bán nhà ở đang cho thuê thuộc tài sản công thì thực hiện theo quy định tại Mục 2 Chương VIII của Luật này.</w:t>
      </w:r>
    </w:p>
    <w:p w14:paraId="6045829C">
      <w:pPr>
        <w:spacing w:before="120" w:after="0" w:line="340" w:lineRule="exact"/>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p>
    <w:p w14:paraId="65B0921B">
      <w:pPr>
        <w:spacing w:before="120" w:after="0" w:line="340" w:lineRule="exact"/>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b/>
          <w:bCs/>
          <w:color w:val="000000" w:themeColor="text1"/>
          <w:kern w:val="0"/>
          <w:sz w:val="28"/>
          <w:szCs w:val="28"/>
          <w14:textFill>
            <w14:solidFill>
              <w14:schemeClr w14:val="tx1"/>
            </w14:solidFill>
          </w14:textFill>
          <w14:ligatures w14:val="none"/>
        </w:rPr>
        <w:t>Mục 3</w:t>
      </w:r>
    </w:p>
    <w:p w14:paraId="41E2042E">
      <w:pPr>
        <w:spacing w:before="120" w:after="0" w:line="340" w:lineRule="exact"/>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b/>
          <w:bCs/>
          <w:color w:val="000000" w:themeColor="text1"/>
          <w:kern w:val="0"/>
          <w:sz w:val="28"/>
          <w:szCs w:val="28"/>
          <w14:textFill>
            <w14:solidFill>
              <w14:schemeClr w14:val="tx1"/>
            </w14:solidFill>
          </w14:textFill>
          <w14:ligatures w14:val="none"/>
        </w:rPr>
        <w:t>THUÊ NHÀ Ở</w:t>
      </w:r>
    </w:p>
    <w:p w14:paraId="16C7218B">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170. Thời hạn thuê, giá thuê, cho thuê lại nhà ở </w:t>
      </w:r>
    </w:p>
    <w:p w14:paraId="705E9A40">
      <w:pPr>
        <w:spacing w:before="120" w:after="0" w:line="36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Bên cho thuê và bên thuê nhà ở được thỏa thuận về thời hạn thuê, giá thuê và hình thức trả tiền thuê nhà ở theo định kỳ hoặc trả một lần; trường hợp Nhà nước có quy định về giá thuê nhà ở thì các bên phải thực hiện theo quy định đó.</w:t>
      </w:r>
    </w:p>
    <w:p w14:paraId="78507166">
      <w:pPr>
        <w:spacing w:before="120" w:after="0" w:line="36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Trường hợp bên cho thuê thực hiện cải tạo nhà ở và được bên thuê đồng ý thì bên cho thuê được quyền điều chỉnh giá thuê nhà ở nếu thời gian cho thuê còn lại từ một phần ba thời hạn của hợp đồng thuê nhà ở trở xuống. Giá thuê nhà ở mới do các bên thỏa thuận; trường hợp không thỏa thuận được thì bên cho thuê có quyền đơn phương chấm dứt hợp đồng thuê nhà ở và phải bồi thường cho bên thuê theo quy định của pháp luật.</w:t>
      </w:r>
    </w:p>
    <w:p w14:paraId="411B427A">
      <w:pPr>
        <w:spacing w:before="120" w:after="0" w:line="36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Bên cho thuê và bên thuê nhà ở được Nhà nước bảo hộ quyền và lợi ích hợp pháp trong quá trình thuê và cho thuê nhà ở.</w:t>
      </w:r>
    </w:p>
    <w:p w14:paraId="4DD215DD">
      <w:pPr>
        <w:spacing w:before="120" w:after="0" w:line="36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4. Bên thuê có quyền cho thuê lại nhà ở mà mình đã thuê nếu được bên cho thuê đồng ý.</w:t>
      </w:r>
    </w:p>
    <w:p w14:paraId="0F9DAD6F">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171. Các trường hợp chấm dứt hợp đồng thuê nhà ở </w:t>
      </w:r>
    </w:p>
    <w:p w14:paraId="2F132F40">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Trường hợp thuê nhà ở thuộc tài sản công thì việc chấm dứt hợp đồng thuê nhà ở được thực hiện khi thuộc một trong các trường hợp quy định tại khoản 1 Điều 127 của Luật này.</w:t>
      </w:r>
    </w:p>
    <w:p w14:paraId="0E087F5F">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Trường hợp thuê nhà ở không thuộc tài sản công thì việc chấm dứt hợp đồng thuê nhà ở được thực hiện khi thuộc một trong các trường hợp sau đây:</w:t>
      </w:r>
    </w:p>
    <w:p w14:paraId="770B202C">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a) Hợp đồng thuê nhà ở hết thời hạn; trường hợp trong hợp đồng không xác định thời hạn thì hợp đồng chấm dứt sau 90 ngày, kể từ ngày bên cho thuê nhà ở thông báo cho bên thuê nhà ở biết việc chấm dứt hợp đồng;</w:t>
      </w:r>
    </w:p>
    <w:p w14:paraId="00DE2ED3">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b) Các bên thỏa thuận chấm dứt hợp đồng;</w:t>
      </w:r>
    </w:p>
    <w:p w14:paraId="66B70B6C">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c) Nhà ở cho thuê không còn;</w:t>
      </w:r>
    </w:p>
    <w:p w14:paraId="173E25F9">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d) Bên thuê nhà ở là cá nhân chết hoặc có tuyên bố mất tích của Tòa án mà khi chết, mất tích không có ai đang cùng chung sống;</w:t>
      </w:r>
    </w:p>
    <w:p w14:paraId="46438A70">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đ) Bên thuê nhà ở là tổ chức giải thể, phá sản, chấm dứt hoạt động;</w:t>
      </w:r>
    </w:p>
    <w:p w14:paraId="2822C162">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e) Nhà ở cho thuê bị hư hỏng nặng, có nguy cơ sập đổ hoặc thuộc khu vực đã có quyết định thu hồi đất, giải tỏa nhà ở hoặc có quyết định phá dỡ của cơ quan nhà nước có thẩm quyền; nhà ở cho thuê thuộc trường hợp bị Nhà nước trưng mua, trưng dụng để sử dụng vào mục đích khác.</w:t>
      </w:r>
    </w:p>
    <w:p w14:paraId="58618625">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Bên cho thuê phải thông báo bằng văn bản cho bên thuê biết trước ít nhất 30 ngày về việc chấm dứt hợp đồng thuê nhà ở quy định tại điểm này, trừ trường hợp bất khả kháng hoặc các bên có thỏa thuận khác;</w:t>
      </w:r>
    </w:p>
    <w:p w14:paraId="30642677">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g) Trường hợp quy định tại Điều 172 của Luật này.</w:t>
      </w:r>
    </w:p>
    <w:p w14:paraId="0D2461B9">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172. Đơn phương chấm dứt thực hiện hợp đồng thuê nhà ở </w:t>
      </w:r>
    </w:p>
    <w:p w14:paraId="47C5BC6A">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Trong thời hạn thuê nhà ở theo thỏa thuận trong hợp đồng, bên cho thuê không được đơn phương chấm dứt thực hiện hợp đồng thuê nhà ở và thu hồi nhà ở đang cho thuê, trừ trường hợp quy định tại khoản 2 Điều này.</w:t>
      </w:r>
    </w:p>
    <w:p w14:paraId="07DA0FEB">
      <w:pPr>
        <w:spacing w:before="120" w:after="0" w:line="340" w:lineRule="exact"/>
        <w:ind w:firstLine="567"/>
        <w:jc w:val="both"/>
        <w:rPr>
          <w:rFonts w:ascii="Times New Roman" w:hAnsi="Times New Roman" w:eastAsia="Calibri" w:cs="Times New Roman"/>
          <w:color w:val="000000" w:themeColor="text1"/>
          <w:spacing w:val="-3"/>
          <w:kern w:val="0"/>
          <w:sz w:val="28"/>
          <w:szCs w:val="28"/>
          <w14:textFill>
            <w14:solidFill>
              <w14:schemeClr w14:val="tx1"/>
            </w14:solidFill>
          </w14:textFill>
          <w14:ligatures w14:val="none"/>
        </w:rPr>
      </w:pPr>
      <w:r>
        <w:rPr>
          <w:rFonts w:ascii="Times New Roman" w:hAnsi="Times New Roman" w:eastAsia="Calibri" w:cs="Times New Roman"/>
          <w:color w:val="000000" w:themeColor="text1"/>
          <w:spacing w:val="-3"/>
          <w:kern w:val="0"/>
          <w:sz w:val="28"/>
          <w:szCs w:val="28"/>
          <w14:textFill>
            <w14:solidFill>
              <w14:schemeClr w14:val="tx1"/>
            </w14:solidFill>
          </w14:textFill>
          <w14:ligatures w14:val="none"/>
        </w:rPr>
        <w:t>2. Bên cho thuê nhà ở có quyền đơn phương chấm dứt thực hiện hợp đồng thuê nhà ở và thu hồi nhà ở đang cho thuê khi thuộc một trong các trường hợp sau đây:</w:t>
      </w:r>
    </w:p>
    <w:p w14:paraId="53A162F1">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a) Bên cho thuê nhà ở thuộc tài sản công, nhà ở xã hội, nhà ở cho lực lượng vũ trang nhân dân, nhà lưu trú công nhân trong khu công nghiệp cho thuê không đúng thẩm quyền hoặc không đúng đối tượng hoặc không đủ điều kiện theo quy định của pháp luật về nhà ở;</w:t>
      </w:r>
    </w:p>
    <w:p w14:paraId="715D96B5">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b) Bên thuê không trả đủ tiền thuê nhà ở theo thỏa thuận trong hợp đồng từ 03 tháng trở lên mà không có lý do đã được thỏa thuận trong hợp đồng;</w:t>
      </w:r>
    </w:p>
    <w:p w14:paraId="2E6B91D2">
      <w:pPr>
        <w:spacing w:before="120" w:after="0" w:line="340" w:lineRule="exact"/>
        <w:ind w:firstLine="567"/>
        <w:jc w:val="both"/>
        <w:rPr>
          <w:rFonts w:ascii="Times New Roman" w:hAnsi="Times New Roman" w:eastAsia="Calibri" w:cs="Times New Roman"/>
          <w:color w:val="000000" w:themeColor="text1"/>
          <w:spacing w:val="-4"/>
          <w:kern w:val="0"/>
          <w:sz w:val="28"/>
          <w:szCs w:val="28"/>
          <w14:textFill>
            <w14:solidFill>
              <w14:schemeClr w14:val="tx1"/>
            </w14:solidFill>
          </w14:textFill>
          <w14:ligatures w14:val="none"/>
        </w:rPr>
      </w:pPr>
      <w:r>
        <w:rPr>
          <w:rFonts w:ascii="Times New Roman" w:hAnsi="Times New Roman" w:eastAsia="Calibri" w:cs="Times New Roman"/>
          <w:color w:val="000000" w:themeColor="text1"/>
          <w:spacing w:val="-4"/>
          <w:kern w:val="0"/>
          <w:sz w:val="28"/>
          <w:szCs w:val="28"/>
          <w14:textFill>
            <w14:solidFill>
              <w14:schemeClr w14:val="tx1"/>
            </w14:solidFill>
          </w14:textFill>
          <w14:ligatures w14:val="none"/>
        </w:rPr>
        <w:t>c) Bên thuê sử dụng nhà ở không đúng mục đích đã thỏa thuận trong hợp đồng;</w:t>
      </w:r>
    </w:p>
    <w:p w14:paraId="6FC5E6B3">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d) Bên thuê tự ý đục phá, cơi nới, cải tạo, phá dỡ nhà ở đang thuê;</w:t>
      </w:r>
    </w:p>
    <w:p w14:paraId="163050D3">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đ) Bên thuê chuyển đổi, cho mượn, cho thuê lại nhà ở đang thuê mà không có sự đồng ý của bên cho thuê;</w:t>
      </w:r>
    </w:p>
    <w:p w14:paraId="5699626D">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e) Bên thuê làm mất trật tự, vệ sinh môi trường, ảnh hưởng nghiêm trọng đến sinh hoạt của những người xung quanh đã được bên cho thuê nhà ở hoặc tổ trưởng tổ dân phố, trưởng thôn, làng, ấp, bản, buôn, phum, sóc lập biên bản đến lần thứ ba mà vẫn không khắc phục;</w:t>
      </w:r>
    </w:p>
    <w:p w14:paraId="5561DD24">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g) Trường hợp quy định tại khoản 2 Điều 170 của Luật này.</w:t>
      </w:r>
    </w:p>
    <w:p w14:paraId="266D9D59">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Bên thuê nhà ở có quyền đơn phương chấm dứt thực hiện hợp đồng thuê nhà ở khi thuộc một trong các trường hợp sau đây:</w:t>
      </w:r>
    </w:p>
    <w:p w14:paraId="563A2F0E">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a) Bên cho thuê nhà ở không sửa chữa nhà ở khi có hư hỏng nặng;</w:t>
      </w:r>
    </w:p>
    <w:p w14:paraId="112C101E">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b) Bên cho thuê nhà ở tăng giá thuê nhà ở bất hợp lý hoặc tăng giá thuê mà không thông báo cho bên thuê nhà ở biết trước theo thỏa thuận trong hợp đồng;</w:t>
      </w:r>
    </w:p>
    <w:p w14:paraId="6273152E">
      <w:pPr>
        <w:widowControl w:val="0"/>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c) Khi quyền sử dụng nhà ở bị hạn chế do lợi ích của người thứ ba.</w:t>
      </w:r>
    </w:p>
    <w:p w14:paraId="74006E15">
      <w:pPr>
        <w:widowControl w:val="0"/>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4. Bên đơn phương chấm dứt thực hiện hợp đồng thuê nhà ở phải thông báo bằng văn bản hoặc bằng hình thức khác theo thỏa thuận trong hợp đồng cho bên kia biết trước ít nhất 30 ngày, trừ trường hợp các bên có thỏa thuận khác; trường hợp vi phạm quy định tại khoản này mà gây thiệt hại thì phải bồi thường theo quy định của pháp luật.</w:t>
      </w:r>
    </w:p>
    <w:p w14:paraId="4F8C1CCE">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173. Quyền tiếp tục thuê nhà ở </w:t>
      </w:r>
    </w:p>
    <w:p w14:paraId="4D39EA5E">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Trường hợp chủ sở hữu nhà ở chết mà thời hạn thuê nhà ở vẫn còn thì bên thuê nhà ở được tiếp tục thuê đến hết thời hạn hợp đồng. Người thừa kế có trách nhiệm tiếp tục thực hiện hợp đồng thuê nhà ở đã ký kết trước đó, trừ trường hợp các bên có thỏa thuận khác. Trường hợp chủ sở hữu không có người thừa kế hợp pháp thì thực hiện theo quy định của Bộ luật Dân sự.</w:t>
      </w:r>
    </w:p>
    <w:p w14:paraId="41E108B1">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Trường hợp chủ sở hữu nhà ở chuyển quyền sở hữu nhà ở đang cho thuê cho người khác mà thời hạn thuê nhà ở vẫn còn thì bên thuê nhà ở được tiếp tục thuê đến hết thời hạn hợp đồng; chủ sở hữu nhà ở mới có trách nhiệm tiếp tục thực hiện hợp đồng thuê nhà ở đã ký kết trước đó, trừ trường hợp các bên có thỏa thuận khác.</w:t>
      </w:r>
    </w:p>
    <w:p w14:paraId="71174165">
      <w:pPr>
        <w:spacing w:before="120" w:after="0" w:line="340" w:lineRule="exact"/>
        <w:ind w:firstLine="567"/>
        <w:jc w:val="both"/>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Khi bên thuê nhà ở chết mà thời hạn thuê nhà ở vẫn còn thì người đang cùng sinh sống với bên thuê nhà ở được tiếp tục thuê đến hết thời hạn hợp đồng thuê nhà ở, trừ trường hợp thuê nhà ở công vụ hoặc các bên có thỏa thuận khác hoặc pháp luật có quy định khác.</w:t>
      </w:r>
    </w:p>
    <w:p w14:paraId="2434AA64">
      <w:pPr>
        <w:spacing w:before="120" w:after="0" w:line="340" w:lineRule="exact"/>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p>
    <w:p w14:paraId="35DDACEF">
      <w:pPr>
        <w:shd w:val="clear" w:color="auto" w:fill="FFFFFF"/>
        <w:spacing w:before="120" w:after="0" w:line="340" w:lineRule="exact"/>
        <w:jc w:val="cente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t>Chương XII</w:t>
      </w:r>
    </w:p>
    <w:p w14:paraId="1440131C">
      <w:pPr>
        <w:shd w:val="clear" w:color="auto" w:fill="FFFFFF"/>
        <w:spacing w:before="120" w:after="0" w:line="340" w:lineRule="exact"/>
        <w:jc w:val="cente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t>GIẢI QUYẾT TRANH CHẤP</w:t>
      </w:r>
    </w:p>
    <w:p w14:paraId="7929DB2E">
      <w:pPr>
        <w:shd w:val="clear" w:color="auto" w:fill="FFFFFF"/>
        <w:spacing w:before="120" w:after="0" w:line="340" w:lineRule="exact"/>
        <w:jc w:val="cente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t>VÀ XỬ LÝ VI PHẠM PHÁP LUẬT VỀ NHÀ Ở</w:t>
      </w:r>
    </w:p>
    <w:p w14:paraId="55CA74E3">
      <w:pPr>
        <w:shd w:val="clear" w:color="auto" w:fill="FFFFFF"/>
        <w:spacing w:before="120" w:after="0" w:line="360" w:lineRule="exact"/>
        <w:ind w:firstLine="567"/>
        <w:jc w:val="both"/>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t>Điều 194. Giải quyết tranh chấp về nhà ở</w:t>
      </w:r>
    </w:p>
    <w:p w14:paraId="52F307FF">
      <w:pPr>
        <w:spacing w:before="12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1. Nhà nước khuyến khích các bên giải quyết tranh chấp về nhà ở thông qua hòa giải.</w:t>
      </w:r>
    </w:p>
    <w:p w14:paraId="5086B22E">
      <w:pPr>
        <w:shd w:val="clear" w:color="auto" w:fill="FFFFFF"/>
        <w:spacing w:before="12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2. Tranh chấp về quyền sở hữu, quyền sử dụng nhà ở của tổ chức, cá nhân, tranh chấp liên quan đến giao dịch về nhà ở, quản lý vận hành nhà chung cư do Tòa án, trọng tài thương mại giải quyết theo quy định của pháp luật.</w:t>
      </w:r>
    </w:p>
    <w:p w14:paraId="5A6E61CE">
      <w:pPr>
        <w:shd w:val="clear" w:color="auto" w:fill="FFFFFF"/>
        <w:spacing w:before="12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3. Tranh chấp về quản lý, sử dụng nhà ở thuộc tài sản công được giải quyết như sau:</w:t>
      </w:r>
    </w:p>
    <w:p w14:paraId="57AB0688">
      <w:pPr>
        <w:shd w:val="clear" w:color="auto" w:fill="FFFFFF"/>
        <w:spacing w:before="8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xml:space="preserve">a) Ủy ban nhân dân cấp tỉnh giải quyết đối với nhà ở được giao cho địa phương quản lý; </w:t>
      </w:r>
    </w:p>
    <w:p w14:paraId="5726826C">
      <w:pPr>
        <w:shd w:val="clear" w:color="auto" w:fill="FFFFFF"/>
        <w:spacing w:before="8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xml:space="preserve">b) Bộ Xây dựng giải quyết đối với nhà ở được giao cho cơ quan trung ương quản lý, trừ nhà ở do Bộ Quốc phòng, Bộ Công an quản lý; </w:t>
      </w:r>
    </w:p>
    <w:p w14:paraId="7B663C1A">
      <w:pPr>
        <w:shd w:val="clear" w:color="auto" w:fill="FFFFFF"/>
        <w:spacing w:before="8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c) Bộ Quốc phòng, Bộ Công an giải quyết đối với nhà ở do Bộ Quốc phòng, Bộ Công an quản lý;</w:t>
      </w:r>
    </w:p>
    <w:p w14:paraId="1C1CAD9B">
      <w:pPr>
        <w:shd w:val="clear" w:color="auto" w:fill="FFFFFF"/>
        <w:spacing w:before="8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xml:space="preserve">d) Tòa án giải quyết theo quy định của pháp luật về tố tụng hành chính. </w:t>
      </w:r>
    </w:p>
    <w:p w14:paraId="133CC60A">
      <w:pPr>
        <w:shd w:val="clear" w:color="auto" w:fill="FFFFFF"/>
        <w:spacing w:before="8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4. Tranh chấp về kinh phí quản lý vận hành nhà chung cư, quản lý, sử dụng kinh phí bảo trì do Ủy ban nhân dân cấp huyện nơi có nhà ở đó hoặc Tòa án, trọng tài thương mại giải quyết theo quy định của pháp luật.</w:t>
      </w:r>
    </w:p>
    <w:p w14:paraId="1D861FFD">
      <w:pPr>
        <w:shd w:val="clear" w:color="auto" w:fill="FFFFFF"/>
        <w:spacing w:before="8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5. Chính phủ quy định chi tiết khoản 3 Điều này.</w:t>
      </w:r>
    </w:p>
    <w:p w14:paraId="01E381EA">
      <w:bookmarkStart w:id="2" w:name="_GoBack"/>
      <w:bookmarkEnd w:id="2"/>
    </w:p>
    <w:sectPr>
      <w:headerReference r:id="rId6" w:type="first"/>
      <w:footerReference r:id="rId8" w:type="first"/>
      <w:headerReference r:id="rId5" w:type="even"/>
      <w:footerReference r:id="rId7" w:type="even"/>
      <w:footnotePr>
        <w:numRestart w:val="eachSect"/>
      </w:footnotePr>
      <w:pgSz w:w="11907" w:h="16840"/>
      <w:pgMar w:top="1134" w:right="1134" w:bottom="1134" w:left="1701" w:header="567" w:footer="567" w:gutter="0"/>
      <w:pgNumType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VnTime">
    <w:altName w:val="Times New Roman"/>
    <w:panose1 w:val="00000000000000000000"/>
    <w:charset w:val="00"/>
    <w:family w:val="swiss"/>
    <w:pitch w:val="default"/>
    <w:sig w:usb0="00000000" w:usb1="00000000" w:usb2="00000000" w:usb3="00000000" w:csb0="00000001" w:csb1="00000000"/>
  </w:font>
  <w:font w:name="Helvetica">
    <w:altName w:val="Arial"/>
    <w:panose1 w:val="020B0604020202020204"/>
    <w:charset w:val="00"/>
    <w:family w:val="swiss"/>
    <w:pitch w:val="default"/>
    <w:sig w:usb0="00000000" w:usb1="00000000" w:usb2="00000009" w:usb3="00000000" w:csb0="000001FF" w:csb1="00000000"/>
  </w:font>
  <w:font w:name="Aptos">
    <w:altName w:val="Segoe UI"/>
    <w:panose1 w:val="00000000000000000000"/>
    <w:charset w:val="00"/>
    <w:family w:val="swiss"/>
    <w:pitch w:val="default"/>
    <w:sig w:usb0="00000000"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E06BB">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65FFC">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A38A4">
    <w:pPr>
      <w:pStyle w:val="2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87CD8">
    <w:pPr>
      <w:pStyle w:val="23"/>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numRestart w:val="eachSect"/>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630"/>
    <w:rsid w:val="000B3BC2"/>
    <w:rsid w:val="000D6AEE"/>
    <w:rsid w:val="00172CDE"/>
    <w:rsid w:val="001C2145"/>
    <w:rsid w:val="001C52DE"/>
    <w:rsid w:val="00234D0E"/>
    <w:rsid w:val="0024241F"/>
    <w:rsid w:val="002B096B"/>
    <w:rsid w:val="002D32FE"/>
    <w:rsid w:val="002D3610"/>
    <w:rsid w:val="002E6322"/>
    <w:rsid w:val="00310046"/>
    <w:rsid w:val="00315526"/>
    <w:rsid w:val="00326424"/>
    <w:rsid w:val="0036023E"/>
    <w:rsid w:val="00397EE0"/>
    <w:rsid w:val="003C2B23"/>
    <w:rsid w:val="003E422F"/>
    <w:rsid w:val="004277C8"/>
    <w:rsid w:val="004815CD"/>
    <w:rsid w:val="0049416F"/>
    <w:rsid w:val="004C5564"/>
    <w:rsid w:val="004C561B"/>
    <w:rsid w:val="00562F9A"/>
    <w:rsid w:val="005C1E7A"/>
    <w:rsid w:val="005C1FFF"/>
    <w:rsid w:val="00636D67"/>
    <w:rsid w:val="00647E04"/>
    <w:rsid w:val="006864D9"/>
    <w:rsid w:val="006B7790"/>
    <w:rsid w:val="006F3AC4"/>
    <w:rsid w:val="007531B0"/>
    <w:rsid w:val="007751B5"/>
    <w:rsid w:val="007C0630"/>
    <w:rsid w:val="008010B8"/>
    <w:rsid w:val="00876741"/>
    <w:rsid w:val="008872FD"/>
    <w:rsid w:val="008A20E9"/>
    <w:rsid w:val="008B3481"/>
    <w:rsid w:val="009912C8"/>
    <w:rsid w:val="00997C76"/>
    <w:rsid w:val="00997F5D"/>
    <w:rsid w:val="00A00575"/>
    <w:rsid w:val="00A23236"/>
    <w:rsid w:val="00A52C18"/>
    <w:rsid w:val="00A5488B"/>
    <w:rsid w:val="00A85286"/>
    <w:rsid w:val="00AB3A9C"/>
    <w:rsid w:val="00B5466C"/>
    <w:rsid w:val="00B5739C"/>
    <w:rsid w:val="00B7035A"/>
    <w:rsid w:val="00B801CB"/>
    <w:rsid w:val="00B84E53"/>
    <w:rsid w:val="00BD2B14"/>
    <w:rsid w:val="00BD2EB7"/>
    <w:rsid w:val="00BE51D6"/>
    <w:rsid w:val="00C215D0"/>
    <w:rsid w:val="00C536A7"/>
    <w:rsid w:val="00CB2F94"/>
    <w:rsid w:val="00CD340E"/>
    <w:rsid w:val="00CE7CBF"/>
    <w:rsid w:val="00D10520"/>
    <w:rsid w:val="00D25B2D"/>
    <w:rsid w:val="00D429C5"/>
    <w:rsid w:val="00D56CBD"/>
    <w:rsid w:val="00D86AE8"/>
    <w:rsid w:val="00DA2DA8"/>
    <w:rsid w:val="00E27563"/>
    <w:rsid w:val="00E33332"/>
    <w:rsid w:val="00E66B20"/>
    <w:rsid w:val="00EB1995"/>
    <w:rsid w:val="00F3235A"/>
    <w:rsid w:val="00F33509"/>
    <w:rsid w:val="00F426A1"/>
    <w:rsid w:val="00F82BF4"/>
    <w:rsid w:val="00FE4FE9"/>
    <w:rsid w:val="5E4B0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3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2"/>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33"/>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34"/>
    <w:unhideWhenUsed/>
    <w:qFormat/>
    <w:uiPriority w:val="0"/>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2"/>
    <w:semiHidden/>
    <w:unhideWhenUsed/>
    <w:qFormat/>
    <w:uiPriority w:val="99"/>
    <w:pPr>
      <w:spacing w:after="0" w:line="240" w:lineRule="auto"/>
    </w:pPr>
    <w:rPr>
      <w:rFonts w:ascii="Segoe UI" w:hAnsi="Segoe UI" w:eastAsia="Calibri" w:cs="Segoe UI"/>
      <w:kern w:val="0"/>
      <w:sz w:val="18"/>
      <w:szCs w:val="18"/>
      <w14:ligatures w14:val="none"/>
    </w:rPr>
  </w:style>
  <w:style w:type="paragraph" w:styleId="14">
    <w:name w:val="Body Text"/>
    <w:basedOn w:val="1"/>
    <w:link w:val="53"/>
    <w:uiPriority w:val="0"/>
    <w:pPr>
      <w:spacing w:after="120" w:line="240" w:lineRule="auto"/>
    </w:pPr>
    <w:rPr>
      <w:rFonts w:ascii=".VnTime" w:hAnsi=".VnTime" w:eastAsia="Times New Roman" w:cs="Times New Roman"/>
      <w:i/>
      <w:kern w:val="0"/>
      <w:sz w:val="26"/>
      <w:szCs w:val="20"/>
      <w14:ligatures w14:val="none"/>
    </w:rPr>
  </w:style>
  <w:style w:type="character" w:styleId="15">
    <w:name w:val="annotation reference"/>
    <w:basedOn w:val="11"/>
    <w:semiHidden/>
    <w:unhideWhenUsed/>
    <w:uiPriority w:val="99"/>
    <w:rPr>
      <w:sz w:val="16"/>
      <w:szCs w:val="16"/>
    </w:rPr>
  </w:style>
  <w:style w:type="paragraph" w:styleId="16">
    <w:name w:val="annotation text"/>
    <w:basedOn w:val="1"/>
    <w:link w:val="60"/>
    <w:semiHidden/>
    <w:unhideWhenUsed/>
    <w:uiPriority w:val="99"/>
    <w:pPr>
      <w:spacing w:before="120" w:after="0" w:line="240" w:lineRule="auto"/>
      <w:jc w:val="both"/>
    </w:pPr>
    <w:rPr>
      <w:kern w:val="0"/>
      <w:sz w:val="20"/>
      <w:szCs w:val="20"/>
      <w14:ligatures w14:val="none"/>
    </w:rPr>
  </w:style>
  <w:style w:type="paragraph" w:styleId="17">
    <w:name w:val="annotation subject"/>
    <w:basedOn w:val="16"/>
    <w:next w:val="16"/>
    <w:link w:val="61"/>
    <w:semiHidden/>
    <w:unhideWhenUsed/>
    <w:uiPriority w:val="99"/>
    <w:rPr>
      <w:b/>
      <w:bCs/>
    </w:rPr>
  </w:style>
  <w:style w:type="character" w:styleId="18">
    <w:name w:val="Emphasis"/>
    <w:qFormat/>
    <w:uiPriority w:val="20"/>
    <w:rPr>
      <w:i/>
      <w:iCs/>
    </w:rPr>
  </w:style>
  <w:style w:type="paragraph" w:styleId="19">
    <w:name w:val="footer"/>
    <w:basedOn w:val="1"/>
    <w:link w:val="49"/>
    <w:unhideWhenUsed/>
    <w:qFormat/>
    <w:uiPriority w:val="99"/>
    <w:pPr>
      <w:tabs>
        <w:tab w:val="center" w:pos="4680"/>
        <w:tab w:val="right" w:pos="9360"/>
      </w:tabs>
      <w:spacing w:after="0" w:line="240" w:lineRule="auto"/>
    </w:pPr>
  </w:style>
  <w:style w:type="character" w:styleId="20">
    <w:name w:val="footnote reference"/>
    <w:link w:val="21"/>
    <w:qFormat/>
    <w:uiPriority w:val="99"/>
    <w:rPr>
      <w:vertAlign w:val="superscript"/>
    </w:rPr>
  </w:style>
  <w:style w:type="paragraph" w:customStyle="1" w:styleId="21">
    <w:name w:val="4_G Char Char Char"/>
    <w:basedOn w:val="1"/>
    <w:link w:val="20"/>
    <w:qFormat/>
    <w:uiPriority w:val="99"/>
    <w:pPr>
      <w:spacing w:before="100" w:after="0" w:line="240" w:lineRule="exact"/>
    </w:pPr>
    <w:rPr>
      <w:vertAlign w:val="superscript"/>
    </w:rPr>
  </w:style>
  <w:style w:type="paragraph" w:styleId="22">
    <w:name w:val="footnote text"/>
    <w:basedOn w:val="1"/>
    <w:link w:val="54"/>
    <w:qFormat/>
    <w:uiPriority w:val="99"/>
    <w:pPr>
      <w:spacing w:after="0" w:line="240" w:lineRule="auto"/>
      <w:jc w:val="both"/>
    </w:pPr>
    <w:rPr>
      <w:rFonts w:ascii=".VnTime" w:hAnsi=".VnTime" w:eastAsia="Times New Roman" w:cs="Times New Roman"/>
      <w:kern w:val="0"/>
      <w:sz w:val="20"/>
      <w:szCs w:val="20"/>
      <w14:ligatures w14:val="none"/>
    </w:rPr>
  </w:style>
  <w:style w:type="paragraph" w:styleId="23">
    <w:name w:val="header"/>
    <w:basedOn w:val="1"/>
    <w:link w:val="50"/>
    <w:unhideWhenUsed/>
    <w:qFormat/>
    <w:uiPriority w:val="99"/>
    <w:pPr>
      <w:tabs>
        <w:tab w:val="center" w:pos="4680"/>
        <w:tab w:val="right" w:pos="9360"/>
      </w:tabs>
      <w:spacing w:after="0" w:line="240" w:lineRule="auto"/>
    </w:pPr>
  </w:style>
  <w:style w:type="character" w:styleId="24">
    <w:name w:val="Hyperlink"/>
    <w:basedOn w:val="11"/>
    <w:semiHidden/>
    <w:unhideWhenUsed/>
    <w:qFormat/>
    <w:uiPriority w:val="99"/>
    <w:rPr>
      <w:color w:val="0563C1" w:themeColor="hyperlink"/>
      <w:u w:val="single"/>
      <w14:textFill>
        <w14:solidFill>
          <w14:schemeClr w14:val="hlink"/>
        </w14:solidFill>
      </w14:textFill>
    </w:rPr>
  </w:style>
  <w:style w:type="paragraph" w:styleId="25">
    <w:name w:val="Normal (Web)"/>
    <w:basedOn w:val="1"/>
    <w:link w:val="51"/>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26">
    <w:name w:val="Subtitle"/>
    <w:basedOn w:val="1"/>
    <w:next w:val="1"/>
    <w:link w:val="4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7">
    <w:name w:val="Table Grid"/>
    <w:basedOn w:val="12"/>
    <w:qFormat/>
    <w:uiPriority w:val="39"/>
    <w:pPr>
      <w:spacing w:after="0" w:line="240" w:lineRule="auto"/>
    </w:pPr>
    <w:rPr>
      <w:rFonts w:ascii="Calibri" w:hAnsi="Calibri" w:eastAsia="Calibri"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itle"/>
    <w:basedOn w:val="1"/>
    <w:next w:val="1"/>
    <w:link w:val="4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9">
    <w:name w:val="toc 1"/>
    <w:basedOn w:val="1"/>
    <w:next w:val="1"/>
    <w:autoRedefine/>
    <w:unhideWhenUsed/>
    <w:qFormat/>
    <w:uiPriority w:val="39"/>
    <w:pPr>
      <w:spacing w:before="120" w:after="100" w:line="340" w:lineRule="exact"/>
      <w:jc w:val="both"/>
    </w:pPr>
    <w:rPr>
      <w:kern w:val="0"/>
      <w:sz w:val="22"/>
      <w:szCs w:val="22"/>
      <w14:ligatures w14:val="none"/>
    </w:rPr>
  </w:style>
  <w:style w:type="paragraph" w:styleId="30">
    <w:name w:val="toc 2"/>
    <w:basedOn w:val="1"/>
    <w:next w:val="1"/>
    <w:autoRedefine/>
    <w:unhideWhenUsed/>
    <w:qFormat/>
    <w:uiPriority w:val="39"/>
    <w:pPr>
      <w:spacing w:before="120" w:after="100" w:line="340" w:lineRule="exact"/>
      <w:ind w:left="220"/>
      <w:jc w:val="both"/>
    </w:pPr>
    <w:rPr>
      <w:kern w:val="0"/>
      <w:sz w:val="22"/>
      <w:szCs w:val="22"/>
      <w14:ligatures w14:val="none"/>
    </w:rPr>
  </w:style>
  <w:style w:type="character" w:customStyle="1" w:styleId="3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32">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33">
    <w:name w:val="Heading 3 Char"/>
    <w:basedOn w:val="11"/>
    <w:link w:val="4"/>
    <w:uiPriority w:val="9"/>
    <w:rPr>
      <w:rFonts w:eastAsiaTheme="majorEastAsia" w:cstheme="majorBidi"/>
      <w:color w:val="2F5597" w:themeColor="accent1" w:themeShade="BF"/>
      <w:sz w:val="28"/>
      <w:szCs w:val="28"/>
    </w:rPr>
  </w:style>
  <w:style w:type="character" w:customStyle="1" w:styleId="34">
    <w:name w:val="Heading 4 Char"/>
    <w:basedOn w:val="11"/>
    <w:link w:val="5"/>
    <w:qFormat/>
    <w:uiPriority w:val="0"/>
    <w:rPr>
      <w:rFonts w:eastAsiaTheme="majorEastAsia" w:cstheme="majorBidi"/>
      <w:i/>
      <w:iCs/>
      <w:color w:val="2F5597" w:themeColor="accent1" w:themeShade="BF"/>
    </w:rPr>
  </w:style>
  <w:style w:type="character" w:customStyle="1" w:styleId="35">
    <w:name w:val="Heading 5 Char"/>
    <w:basedOn w:val="11"/>
    <w:link w:val="6"/>
    <w:semiHidden/>
    <w:uiPriority w:val="9"/>
    <w:rPr>
      <w:rFonts w:eastAsiaTheme="majorEastAsia" w:cstheme="majorBidi"/>
      <w:color w:val="2F5597" w:themeColor="accent1" w:themeShade="BF"/>
    </w:rPr>
  </w:style>
  <w:style w:type="character" w:customStyle="1" w:styleId="3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0">
    <w:name w:val="Title Char"/>
    <w:basedOn w:val="11"/>
    <w:link w:val="28"/>
    <w:uiPriority w:val="10"/>
    <w:rPr>
      <w:rFonts w:asciiTheme="majorHAnsi" w:hAnsiTheme="majorHAnsi" w:eastAsiaTheme="majorEastAsia" w:cstheme="majorBidi"/>
      <w:spacing w:val="-10"/>
      <w:kern w:val="28"/>
      <w:sz w:val="56"/>
      <w:szCs w:val="56"/>
    </w:rPr>
  </w:style>
  <w:style w:type="character" w:customStyle="1" w:styleId="41">
    <w:name w:val="Subtitle Char"/>
    <w:basedOn w:val="1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2">
    <w:name w:val="Quote"/>
    <w:basedOn w:val="1"/>
    <w:next w:val="1"/>
    <w:link w:val="4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3">
    <w:name w:val="Quote Char"/>
    <w:basedOn w:val="11"/>
    <w:link w:val="42"/>
    <w:qFormat/>
    <w:uiPriority w:val="29"/>
    <w:rPr>
      <w:i/>
      <w:iCs/>
      <w:color w:val="404040" w:themeColor="text1" w:themeTint="BF"/>
      <w14:textFill>
        <w14:solidFill>
          <w14:schemeClr w14:val="tx1">
            <w14:lumMod w14:val="75000"/>
            <w14:lumOff w14:val="25000"/>
          </w14:schemeClr>
        </w14:solidFill>
      </w14:textFill>
    </w:rPr>
  </w:style>
  <w:style w:type="paragraph" w:styleId="44">
    <w:name w:val="List Paragraph"/>
    <w:basedOn w:val="1"/>
    <w:qFormat/>
    <w:uiPriority w:val="34"/>
    <w:pPr>
      <w:ind w:left="720"/>
      <w:contextualSpacing/>
    </w:pPr>
  </w:style>
  <w:style w:type="character" w:customStyle="1" w:styleId="45">
    <w:name w:val="Intense Emphasis"/>
    <w:basedOn w:val="11"/>
    <w:qFormat/>
    <w:uiPriority w:val="21"/>
    <w:rPr>
      <w:i/>
      <w:iCs/>
      <w:color w:val="2F5597" w:themeColor="accent1" w:themeShade="BF"/>
    </w:rPr>
  </w:style>
  <w:style w:type="paragraph" w:styleId="46">
    <w:name w:val="Intense Quote"/>
    <w:basedOn w:val="1"/>
    <w:next w:val="1"/>
    <w:link w:val="4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7">
    <w:name w:val="Intense Quote Char"/>
    <w:basedOn w:val="11"/>
    <w:link w:val="46"/>
    <w:uiPriority w:val="30"/>
    <w:rPr>
      <w:i/>
      <w:iCs/>
      <w:color w:val="2F5597" w:themeColor="accent1" w:themeShade="BF"/>
    </w:rPr>
  </w:style>
  <w:style w:type="character" w:customStyle="1" w:styleId="48">
    <w:name w:val="Intense Reference"/>
    <w:basedOn w:val="11"/>
    <w:qFormat/>
    <w:uiPriority w:val="32"/>
    <w:rPr>
      <w:b/>
      <w:bCs/>
      <w:smallCaps/>
      <w:color w:val="2F5597" w:themeColor="accent1" w:themeShade="BF"/>
      <w:spacing w:val="5"/>
    </w:rPr>
  </w:style>
  <w:style w:type="character" w:customStyle="1" w:styleId="49">
    <w:name w:val="Footer Char"/>
    <w:basedOn w:val="11"/>
    <w:link w:val="19"/>
    <w:qFormat/>
    <w:uiPriority w:val="99"/>
  </w:style>
  <w:style w:type="character" w:customStyle="1" w:styleId="50">
    <w:name w:val="Header Char"/>
    <w:basedOn w:val="11"/>
    <w:link w:val="23"/>
    <w:qFormat/>
    <w:uiPriority w:val="99"/>
  </w:style>
  <w:style w:type="character" w:customStyle="1" w:styleId="51">
    <w:name w:val="Normal (Web) Char"/>
    <w:link w:val="25"/>
    <w:locked/>
    <w:uiPriority w:val="99"/>
    <w:rPr>
      <w:rFonts w:ascii="Times New Roman" w:hAnsi="Times New Roman" w:eastAsia="Times New Roman" w:cs="Times New Roman"/>
      <w:kern w:val="0"/>
      <w14:ligatures w14:val="none"/>
    </w:rPr>
  </w:style>
  <w:style w:type="character" w:customStyle="1" w:styleId="52">
    <w:name w:val="Balloon Text Char"/>
    <w:basedOn w:val="11"/>
    <w:link w:val="13"/>
    <w:semiHidden/>
    <w:uiPriority w:val="99"/>
    <w:rPr>
      <w:rFonts w:ascii="Segoe UI" w:hAnsi="Segoe UI" w:eastAsia="Calibri" w:cs="Segoe UI"/>
      <w:kern w:val="0"/>
      <w:sz w:val="18"/>
      <w:szCs w:val="18"/>
      <w14:ligatures w14:val="none"/>
    </w:rPr>
  </w:style>
  <w:style w:type="character" w:customStyle="1" w:styleId="53">
    <w:name w:val="Body Text Char"/>
    <w:basedOn w:val="11"/>
    <w:link w:val="14"/>
    <w:uiPriority w:val="0"/>
    <w:rPr>
      <w:rFonts w:ascii=".VnTime" w:hAnsi=".VnTime" w:eastAsia="Times New Roman" w:cs="Times New Roman"/>
      <w:i/>
      <w:kern w:val="0"/>
      <w:sz w:val="26"/>
      <w:szCs w:val="20"/>
      <w14:ligatures w14:val="none"/>
    </w:rPr>
  </w:style>
  <w:style w:type="character" w:customStyle="1" w:styleId="54">
    <w:name w:val="Footnote Text Char"/>
    <w:basedOn w:val="11"/>
    <w:link w:val="22"/>
    <w:uiPriority w:val="99"/>
    <w:rPr>
      <w:rFonts w:ascii=".VnTime" w:hAnsi=".VnTime" w:eastAsia="Times New Roman" w:cs="Times New Roman"/>
      <w:kern w:val="0"/>
      <w:sz w:val="20"/>
      <w:szCs w:val="20"/>
      <w14:ligatures w14:val="none"/>
    </w:rPr>
  </w:style>
  <w:style w:type="character" w:customStyle="1" w:styleId="55">
    <w:name w:val="text"/>
    <w:qFormat/>
    <w:uiPriority w:val="0"/>
  </w:style>
  <w:style w:type="character" w:customStyle="1" w:styleId="56">
    <w:name w:val="card-send-time__sendtime"/>
    <w:qFormat/>
    <w:uiPriority w:val="0"/>
  </w:style>
  <w:style w:type="character" w:customStyle="1" w:styleId="57">
    <w:name w:val="Body text_"/>
    <w:basedOn w:val="11"/>
    <w:link w:val="58"/>
    <w:uiPriority w:val="0"/>
    <w:rPr>
      <w:rFonts w:ascii="Times New Roman" w:hAnsi="Times New Roman" w:eastAsia="Times New Roman" w:cs="Times New Roman"/>
      <w:sz w:val="28"/>
      <w:szCs w:val="28"/>
      <w:shd w:val="clear" w:color="auto" w:fill="FFFFFF"/>
    </w:rPr>
  </w:style>
  <w:style w:type="paragraph" w:customStyle="1" w:styleId="58">
    <w:name w:val="Body Text1"/>
    <w:basedOn w:val="1"/>
    <w:link w:val="57"/>
    <w:qFormat/>
    <w:uiPriority w:val="0"/>
    <w:pPr>
      <w:widowControl w:val="0"/>
      <w:shd w:val="clear" w:color="auto" w:fill="FFFFFF"/>
      <w:spacing w:after="60" w:line="240" w:lineRule="auto"/>
      <w:ind w:firstLine="400"/>
    </w:pPr>
    <w:rPr>
      <w:rFonts w:ascii="Times New Roman" w:hAnsi="Times New Roman" w:eastAsia="Times New Roman" w:cs="Times New Roman"/>
      <w:sz w:val="28"/>
      <w:szCs w:val="28"/>
    </w:rPr>
  </w:style>
  <w:style w:type="paragraph" w:customStyle="1" w:styleId="59">
    <w:name w:val="Revision"/>
    <w:hidden/>
    <w:semiHidden/>
    <w:uiPriority w:val="99"/>
    <w:pPr>
      <w:spacing w:after="0" w:line="240" w:lineRule="auto"/>
    </w:pPr>
    <w:rPr>
      <w:rFonts w:asciiTheme="minorHAnsi" w:hAnsiTheme="minorHAnsi" w:eastAsiaTheme="minorHAnsi" w:cstheme="minorBidi"/>
      <w:kern w:val="0"/>
      <w:sz w:val="22"/>
      <w:szCs w:val="22"/>
      <w:lang w:val="en-US" w:eastAsia="en-US" w:bidi="ar-SA"/>
      <w14:ligatures w14:val="none"/>
    </w:rPr>
  </w:style>
  <w:style w:type="character" w:customStyle="1" w:styleId="60">
    <w:name w:val="Comment Text Char"/>
    <w:basedOn w:val="11"/>
    <w:link w:val="16"/>
    <w:semiHidden/>
    <w:uiPriority w:val="99"/>
    <w:rPr>
      <w:kern w:val="0"/>
      <w:sz w:val="20"/>
      <w:szCs w:val="20"/>
      <w14:ligatures w14:val="none"/>
    </w:rPr>
  </w:style>
  <w:style w:type="character" w:customStyle="1" w:styleId="61">
    <w:name w:val="Comment Subject Char"/>
    <w:basedOn w:val="60"/>
    <w:link w:val="17"/>
    <w:semiHidden/>
    <w:qFormat/>
    <w:uiPriority w:val="99"/>
    <w:rPr>
      <w:b/>
      <w:bCs/>
      <w:kern w:val="0"/>
      <w:sz w:val="20"/>
      <w:szCs w:val="20"/>
      <w14:ligatures w14:val="none"/>
    </w:rPr>
  </w:style>
  <w:style w:type="paragraph" w:customStyle="1" w:styleId="62">
    <w:name w:val="TOC Heading"/>
    <w:basedOn w:val="2"/>
    <w:next w:val="1"/>
    <w:unhideWhenUsed/>
    <w:qFormat/>
    <w:uiPriority w:val="39"/>
    <w:pPr>
      <w:spacing w:before="240" w:after="0" w:line="259" w:lineRule="auto"/>
      <w:outlineLvl w:val="9"/>
    </w:pPr>
    <w:rPr>
      <w:kern w:val="0"/>
      <w:sz w:val="32"/>
      <w:szCs w:val="32"/>
      <w14:ligatures w14:val="none"/>
    </w:rPr>
  </w:style>
  <w:style w:type="character" w:customStyle="1" w:styleId="63">
    <w:name w:val="Hyperlink1"/>
    <w:basedOn w:val="11"/>
    <w:unhideWhenUsed/>
    <w:qFormat/>
    <w:uiPriority w:val="99"/>
    <w:rPr>
      <w:color w:val="0563C1"/>
      <w:u w:val="single"/>
    </w:rPr>
  </w:style>
  <w:style w:type="paragraph" w:customStyle="1" w:styleId="64">
    <w:name w:val="TOC 31"/>
    <w:basedOn w:val="1"/>
    <w:next w:val="1"/>
    <w:autoRedefine/>
    <w:unhideWhenUsed/>
    <w:qFormat/>
    <w:uiPriority w:val="39"/>
    <w:pPr>
      <w:spacing w:after="100" w:line="259" w:lineRule="auto"/>
      <w:ind w:left="440"/>
    </w:pPr>
    <w:rPr>
      <w:rFonts w:eastAsia="SimSun"/>
      <w:sz w:val="22"/>
      <w:szCs w:val="22"/>
    </w:rPr>
  </w:style>
  <w:style w:type="paragraph" w:customStyle="1" w:styleId="65">
    <w:name w:val="TOC 41"/>
    <w:basedOn w:val="1"/>
    <w:next w:val="1"/>
    <w:autoRedefine/>
    <w:unhideWhenUsed/>
    <w:qFormat/>
    <w:uiPriority w:val="39"/>
    <w:pPr>
      <w:spacing w:after="100" w:line="259" w:lineRule="auto"/>
      <w:ind w:left="660"/>
    </w:pPr>
    <w:rPr>
      <w:rFonts w:eastAsia="SimSun"/>
      <w:sz w:val="22"/>
      <w:szCs w:val="22"/>
    </w:rPr>
  </w:style>
  <w:style w:type="paragraph" w:customStyle="1" w:styleId="66">
    <w:name w:val="TOC 51"/>
    <w:basedOn w:val="1"/>
    <w:next w:val="1"/>
    <w:autoRedefine/>
    <w:unhideWhenUsed/>
    <w:qFormat/>
    <w:uiPriority w:val="39"/>
    <w:pPr>
      <w:spacing w:after="100" w:line="259" w:lineRule="auto"/>
      <w:ind w:left="880"/>
    </w:pPr>
    <w:rPr>
      <w:rFonts w:eastAsia="SimSun"/>
      <w:sz w:val="22"/>
      <w:szCs w:val="22"/>
    </w:rPr>
  </w:style>
  <w:style w:type="paragraph" w:customStyle="1" w:styleId="67">
    <w:name w:val="TOC 61"/>
    <w:basedOn w:val="1"/>
    <w:next w:val="1"/>
    <w:autoRedefine/>
    <w:unhideWhenUsed/>
    <w:qFormat/>
    <w:uiPriority w:val="39"/>
    <w:pPr>
      <w:spacing w:after="100" w:line="259" w:lineRule="auto"/>
      <w:ind w:left="1100"/>
    </w:pPr>
    <w:rPr>
      <w:rFonts w:eastAsia="SimSun"/>
      <w:sz w:val="22"/>
      <w:szCs w:val="22"/>
    </w:rPr>
  </w:style>
  <w:style w:type="paragraph" w:customStyle="1" w:styleId="68">
    <w:name w:val="TOC 71"/>
    <w:basedOn w:val="1"/>
    <w:next w:val="1"/>
    <w:autoRedefine/>
    <w:unhideWhenUsed/>
    <w:qFormat/>
    <w:uiPriority w:val="39"/>
    <w:pPr>
      <w:spacing w:after="100" w:line="259" w:lineRule="auto"/>
      <w:ind w:left="1320"/>
    </w:pPr>
    <w:rPr>
      <w:rFonts w:eastAsia="SimSun"/>
      <w:sz w:val="22"/>
      <w:szCs w:val="22"/>
    </w:rPr>
  </w:style>
  <w:style w:type="paragraph" w:customStyle="1" w:styleId="69">
    <w:name w:val="TOC 81"/>
    <w:basedOn w:val="1"/>
    <w:next w:val="1"/>
    <w:autoRedefine/>
    <w:unhideWhenUsed/>
    <w:qFormat/>
    <w:uiPriority w:val="39"/>
    <w:pPr>
      <w:spacing w:after="100" w:line="259" w:lineRule="auto"/>
      <w:ind w:left="1540"/>
    </w:pPr>
    <w:rPr>
      <w:rFonts w:eastAsia="SimSun"/>
      <w:sz w:val="22"/>
      <w:szCs w:val="22"/>
    </w:rPr>
  </w:style>
  <w:style w:type="paragraph" w:customStyle="1" w:styleId="70">
    <w:name w:val="TOC 91"/>
    <w:basedOn w:val="1"/>
    <w:next w:val="1"/>
    <w:autoRedefine/>
    <w:unhideWhenUsed/>
    <w:qFormat/>
    <w:uiPriority w:val="39"/>
    <w:pPr>
      <w:spacing w:after="100" w:line="259" w:lineRule="auto"/>
      <w:ind w:left="1760"/>
    </w:pPr>
    <w:rPr>
      <w:rFonts w:eastAsia="SimSun"/>
      <w:sz w:val="22"/>
      <w:szCs w:val="22"/>
    </w:rPr>
  </w:style>
  <w:style w:type="character" w:customStyle="1" w:styleId="71">
    <w:name w:val="Unresolved Mention1"/>
    <w:basedOn w:val="11"/>
    <w:semiHidden/>
    <w:unhideWhenUsed/>
    <w:qFormat/>
    <w:uiPriority w:val="99"/>
    <w:rPr>
      <w:color w:val="605E5C"/>
      <w:shd w:val="clear" w:color="auto" w:fill="E1DFDD"/>
    </w:rPr>
  </w:style>
  <w:style w:type="paragraph" w:customStyle="1" w:styleId="72">
    <w:name w:val="n-dieund"/>
    <w:basedOn w:val="1"/>
    <w:qFormat/>
    <w:uiPriority w:val="0"/>
    <w:pPr>
      <w:widowControl w:val="0"/>
      <w:autoSpaceDE w:val="0"/>
      <w:autoSpaceDN w:val="0"/>
      <w:spacing w:before="120" w:after="120" w:line="276" w:lineRule="auto"/>
      <w:ind w:firstLine="709"/>
      <w:jc w:val="both"/>
    </w:pPr>
    <w:rPr>
      <w:rFonts w:ascii=".VnTime" w:hAnsi=".VnTime" w:eastAsia="Times New Roman" w:cs=".VnTime"/>
      <w:kern w:val="0"/>
      <w:sz w:val="28"/>
      <w:szCs w:val="28"/>
      <w14:ligatures w14:val="none"/>
    </w:rPr>
  </w:style>
  <w:style w:type="table" w:customStyle="1" w:styleId="73">
    <w:name w:val="Table Grid1"/>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
    <w:name w:val="Table Grid2"/>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
    <w:name w:val="Table Grid3"/>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00D1E1-2F36-45BC-94F4-4D98E0FE2A45}">
  <ds:schemaRefs/>
</ds:datastoreItem>
</file>

<file path=customXml/itemProps3.xml><?xml version="1.0" encoding="utf-8"?>
<ds:datastoreItem xmlns:ds="http://schemas.openxmlformats.org/officeDocument/2006/customXml" ds:itemID="{5647530D-F37B-4E63-B44D-B9893F0BE800}">
  <ds:schemaRefs/>
</ds:datastoreItem>
</file>

<file path=customXml/itemProps4.xml><?xml version="1.0" encoding="utf-8"?>
<ds:datastoreItem xmlns:ds="http://schemas.openxmlformats.org/officeDocument/2006/customXml" ds:itemID="{387C3D91-5326-40ED-84FE-6532862A12CB}">
  <ds:schemaRefs/>
</ds:datastoreItem>
</file>

<file path=docProps/app.xml><?xml version="1.0" encoding="utf-8"?>
<Properties xmlns="http://schemas.openxmlformats.org/officeDocument/2006/extended-properties" xmlns:vt="http://schemas.openxmlformats.org/officeDocument/2006/docPropsVTypes">
  <Template>Normal</Template>
  <Pages>11</Pages>
  <Words>75748</Words>
  <Characters>251927</Characters>
  <Lines>2326</Lines>
  <Paragraphs>655</Paragraphs>
  <TotalTime>7</TotalTime>
  <ScaleCrop>false</ScaleCrop>
  <LinksUpToDate>false</LinksUpToDate>
  <CharactersWithSpaces>326269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2026-04-07T08:03:00Z</dcterms:created>
  <dc:creator>live</dc:creator>
  <cp:lastModifiedBy>Phúc Châu</cp:lastModifiedBy>
  <dcterms:modified xsi:type="dcterms:W3CDTF">2026-09-23T07:51:38Z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y fmtid="{D5CDD505-2E9C-101B-9397-08002B2CF9AE}" pid="3" name="KSOTemplateDocerSaveRecord">
    <vt:lpwstr>eyJoZGlkIjoiMmEwYjE4NWJkZGY2MGY0ZTg1ZWQyMjgxOTg1MWM1N2MiLCJ1c2VySWQiOiIxMzkyMDUzNzYwMDc0In0=</vt:lpwstr>
  </property>
  <property fmtid="{D5CDD505-2E9C-101B-9397-08002B2CF9AE}" pid="4" name="KSOProductBuildVer">
    <vt:lpwstr>1033-12.1.0.28485</vt:lpwstr>
  </property>
  <property fmtid="{D5CDD505-2E9C-101B-9397-08002B2CF9AE}" pid="5" name="ICV">
    <vt:lpwstr>9BDA06A2D1D1470792813EB9643A37DC_12</vt:lpwstr>
  </property>
</Properties>
</file>