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leftFromText="180" w:rightFromText="180" w:vertAnchor="text" w:horzAnchor="margin" w:tblpY="128"/>
        <w:tblW w:w="5000" w:type="pct"/>
        <w:tblInd w:w="0" w:type="dxa"/>
        <w:tblLayout w:type="autofit"/>
        <w:tblCellMar>
          <w:top w:w="0" w:type="dxa"/>
          <w:left w:w="0" w:type="dxa"/>
          <w:bottom w:w="0" w:type="dxa"/>
          <w:right w:w="0" w:type="dxa"/>
        </w:tblCellMar>
      </w:tblPr>
      <w:tblGrid>
        <w:gridCol w:w="3494"/>
        <w:gridCol w:w="5749"/>
      </w:tblGrid>
      <w:tr w14:paraId="4623B2F8">
        <w:tblPrEx>
          <w:tblCellMar>
            <w:top w:w="0" w:type="dxa"/>
            <w:left w:w="0" w:type="dxa"/>
            <w:bottom w:w="0" w:type="dxa"/>
            <w:right w:w="0" w:type="dxa"/>
          </w:tblCellMar>
        </w:tblPrEx>
        <w:trPr>
          <w:trHeight w:val="846" w:hRule="atLeast"/>
        </w:trPr>
        <w:tc>
          <w:tcPr>
            <w:tcW w:w="1890" w:type="pct"/>
            <w:tcBorders>
              <w:top w:val="nil"/>
              <w:left w:val="nil"/>
              <w:right w:val="nil"/>
            </w:tcBorders>
            <w:tcMar>
              <w:top w:w="0" w:type="dxa"/>
              <w:left w:w="108" w:type="dxa"/>
              <w:bottom w:w="0" w:type="dxa"/>
              <w:right w:w="108" w:type="dxa"/>
            </w:tcMar>
          </w:tcPr>
          <w:p w14:paraId="5768ACAE">
            <w:pPr>
              <w:widowControl w:val="0"/>
              <w:adjustRightInd w:val="0"/>
              <w:snapToGrid w:val="0"/>
              <w:jc w:val="center"/>
              <w:rPr>
                <w:rFonts w:ascii="Arial" w:hAnsi="Arial" w:eastAsia="Times New Roman" w:cs="Arial"/>
                <w:color w:val="000000"/>
                <w:sz w:val="20"/>
                <w:szCs w:val="20"/>
                <w:vertAlign w:val="superscript"/>
              </w:rPr>
            </w:pPr>
            <w:r>
              <w:rPr>
                <w:rFonts w:ascii="Arial" w:hAnsi="Arial" w:eastAsia="Times New Roman" w:cs="Arial"/>
                <w:b/>
                <w:bCs/>
                <w:color w:val="000000"/>
                <w:sz w:val="20"/>
                <w:szCs w:val="20"/>
              </w:rPr>
              <w:t>QUỐC HỘI</w:t>
            </w:r>
            <w:r>
              <w:rPr>
                <w:rFonts w:ascii="Arial" w:hAnsi="Arial" w:eastAsia="Times New Roman" w:cs="Arial"/>
                <w:b/>
                <w:bCs/>
                <w:color w:val="000000"/>
                <w:sz w:val="20"/>
                <w:szCs w:val="20"/>
              </w:rPr>
              <w:br w:type="textWrapping"/>
            </w:r>
            <w:r>
              <w:rPr>
                <w:rFonts w:ascii="Arial" w:hAnsi="Arial" w:eastAsia="Times New Roman" w:cs="Arial"/>
                <w:color w:val="000000"/>
                <w:sz w:val="20"/>
                <w:szCs w:val="20"/>
                <w:vertAlign w:val="superscript"/>
              </w:rPr>
              <w:t>______</w:t>
            </w:r>
          </w:p>
          <w:p w14:paraId="79E3EC9F">
            <w:pPr>
              <w:pStyle w:val="51"/>
              <w:spacing w:before="0" w:after="0"/>
              <w:ind w:firstLine="0"/>
              <w:jc w:val="center"/>
              <w:rPr>
                <w:rFonts w:ascii="Arial" w:hAnsi="Arial" w:eastAsia="Times New Roman" w:cs="Arial"/>
                <w:sz w:val="20"/>
                <w:szCs w:val="20"/>
              </w:rPr>
            </w:pPr>
            <w:r>
              <w:rPr>
                <w:rFonts w:ascii="Arial" w:hAnsi="Arial" w:cs="Arial"/>
                <w:sz w:val="20"/>
                <w:szCs w:val="20"/>
              </w:rPr>
              <w:t>Luật số:</w:t>
            </w:r>
            <w:r>
              <w:rPr>
                <w:rFonts w:ascii="Arial" w:hAnsi="Arial" w:cs="Arial"/>
                <w:sz w:val="20"/>
                <w:szCs w:val="20"/>
                <w:lang w:val="en-US"/>
              </w:rPr>
              <w:t xml:space="preserve"> 61</w:t>
            </w:r>
            <w:r>
              <w:rPr>
                <w:rFonts w:ascii="Arial" w:hAnsi="Arial" w:cs="Arial"/>
                <w:sz w:val="20"/>
                <w:szCs w:val="20"/>
              </w:rPr>
              <w:t>/</w:t>
            </w:r>
            <w:r>
              <w:rPr>
                <w:rFonts w:ascii="Arial" w:hAnsi="Arial" w:cs="Arial"/>
                <w:sz w:val="20"/>
                <w:szCs w:val="20"/>
                <w:lang w:val="en-US"/>
              </w:rPr>
              <w:t>2024</w:t>
            </w:r>
            <w:r>
              <w:rPr>
                <w:rFonts w:ascii="Arial" w:hAnsi="Arial" w:cs="Arial"/>
                <w:sz w:val="20"/>
                <w:szCs w:val="20"/>
              </w:rPr>
              <w:t>/QH15</w:t>
            </w:r>
          </w:p>
        </w:tc>
        <w:tc>
          <w:tcPr>
            <w:tcW w:w="3110" w:type="pct"/>
            <w:tcBorders>
              <w:top w:val="nil"/>
              <w:left w:val="nil"/>
              <w:right w:val="nil"/>
            </w:tcBorders>
            <w:tcMar>
              <w:top w:w="0" w:type="dxa"/>
              <w:left w:w="108" w:type="dxa"/>
              <w:bottom w:w="0" w:type="dxa"/>
              <w:right w:w="108" w:type="dxa"/>
            </w:tcMar>
          </w:tcPr>
          <w:p w14:paraId="712F4B69">
            <w:pPr>
              <w:widowControl w:val="0"/>
              <w:adjustRightInd w:val="0"/>
              <w:snapToGrid w:val="0"/>
              <w:jc w:val="center"/>
              <w:rPr>
                <w:rFonts w:ascii="Arial" w:hAnsi="Arial" w:eastAsia="Times New Roman" w:cs="Arial"/>
                <w:b/>
                <w:bCs/>
                <w:color w:val="000000"/>
                <w:sz w:val="20"/>
                <w:szCs w:val="20"/>
              </w:rPr>
            </w:pPr>
            <w:r>
              <w:rPr>
                <w:rFonts w:ascii="Arial" w:hAnsi="Arial" w:eastAsia="Times New Roman" w:cs="Arial"/>
                <w:b/>
                <w:bCs/>
                <w:color w:val="000000"/>
                <w:sz w:val="20"/>
                <w:szCs w:val="20"/>
              </w:rPr>
              <w:t>CỘNG HÒA XÃ HỘI CHỦ NGHĨA VIỆT NAM</w:t>
            </w:r>
            <w:r>
              <w:rPr>
                <w:rFonts w:ascii="Arial" w:hAnsi="Arial" w:eastAsia="Times New Roman" w:cs="Arial"/>
                <w:b/>
                <w:bCs/>
                <w:color w:val="000000"/>
                <w:sz w:val="20"/>
                <w:szCs w:val="20"/>
              </w:rPr>
              <w:br w:type="textWrapping"/>
            </w:r>
            <w:r>
              <w:rPr>
                <w:rFonts w:ascii="Arial" w:hAnsi="Arial" w:eastAsia="Times New Roman" w:cs="Arial"/>
                <w:b/>
                <w:bCs/>
                <w:color w:val="000000"/>
                <w:sz w:val="20"/>
                <w:szCs w:val="20"/>
              </w:rPr>
              <w:t>Độc lập - Tự do - Hạnh phúc</w:t>
            </w:r>
          </w:p>
          <w:p w14:paraId="3A368DA4">
            <w:pPr>
              <w:widowControl w:val="0"/>
              <w:adjustRightInd w:val="0"/>
              <w:snapToGrid w:val="0"/>
              <w:jc w:val="center"/>
              <w:rPr>
                <w:rFonts w:ascii="Arial" w:hAnsi="Arial" w:eastAsia="Times New Roman" w:cs="Arial"/>
                <w:color w:val="000000"/>
                <w:sz w:val="20"/>
                <w:szCs w:val="20"/>
                <w:vertAlign w:val="superscript"/>
              </w:rPr>
            </w:pPr>
            <w:r>
              <w:rPr>
                <w:rFonts w:ascii="Arial" w:hAnsi="Arial" w:eastAsia="Times New Roman" w:cs="Arial"/>
                <w:bCs/>
                <w:color w:val="000000"/>
                <w:sz w:val="20"/>
                <w:szCs w:val="20"/>
                <w:vertAlign w:val="superscript"/>
              </w:rPr>
              <w:t>______________________</w:t>
            </w:r>
          </w:p>
        </w:tc>
      </w:tr>
    </w:tbl>
    <w:p w14:paraId="66DF1850">
      <w:pPr>
        <w:pStyle w:val="23"/>
        <w:widowControl w:val="0"/>
        <w:adjustRightInd w:val="0"/>
        <w:snapToGrid w:val="0"/>
        <w:spacing w:before="0" w:beforeAutospacing="0" w:after="0" w:afterAutospacing="0"/>
        <w:jc w:val="center"/>
        <w:rPr>
          <w:rFonts w:ascii="Arial" w:hAnsi="Arial" w:cs="Arial"/>
          <w:b/>
          <w:color w:val="000000"/>
          <w:sz w:val="20"/>
          <w:szCs w:val="20"/>
          <w:lang w:val="vi-VN"/>
        </w:rPr>
      </w:pPr>
    </w:p>
    <w:p w14:paraId="6F1C80C2">
      <w:pPr>
        <w:pStyle w:val="23"/>
        <w:widowControl w:val="0"/>
        <w:adjustRightInd w:val="0"/>
        <w:snapToGrid w:val="0"/>
        <w:spacing w:before="0" w:beforeAutospacing="0" w:after="0" w:afterAutospacing="0"/>
        <w:jc w:val="center"/>
        <w:rPr>
          <w:rFonts w:ascii="Arial" w:hAnsi="Arial" w:cs="Arial"/>
          <w:b/>
          <w:color w:val="000000"/>
          <w:sz w:val="20"/>
          <w:szCs w:val="20"/>
          <w:lang w:val="vi-VN"/>
        </w:rPr>
      </w:pPr>
    </w:p>
    <w:p w14:paraId="07B52EFB">
      <w:pPr>
        <w:pStyle w:val="23"/>
        <w:widowControl w:val="0"/>
        <w:tabs>
          <w:tab w:val="left" w:pos="1777"/>
          <w:tab w:val="center" w:pos="4536"/>
        </w:tabs>
        <w:adjustRightInd w:val="0"/>
        <w:snapToGrid w:val="0"/>
        <w:spacing w:before="0" w:beforeAutospacing="0" w:after="0" w:afterAutospacing="0"/>
        <w:jc w:val="center"/>
        <w:rPr>
          <w:rFonts w:ascii="Arial" w:hAnsi="Arial" w:cs="Arial"/>
          <w:color w:val="000000"/>
          <w:sz w:val="20"/>
          <w:szCs w:val="20"/>
          <w:lang w:val="vi-VN"/>
        </w:rPr>
      </w:pPr>
      <w:r>
        <w:rPr>
          <w:rFonts w:ascii="Arial" w:hAnsi="Arial" w:cs="Arial"/>
          <w:b/>
          <w:color w:val="000000"/>
          <w:sz w:val="20"/>
          <w:szCs w:val="20"/>
          <w:lang w:val="vi-VN"/>
        </w:rPr>
        <w:t xml:space="preserve">LUẬT </w:t>
      </w:r>
    </w:p>
    <w:p w14:paraId="31FA0496">
      <w:pPr>
        <w:pStyle w:val="23"/>
        <w:widowControl w:val="0"/>
        <w:adjustRightInd w:val="0"/>
        <w:snapToGrid w:val="0"/>
        <w:spacing w:before="0" w:beforeAutospacing="0" w:after="0" w:afterAutospacing="0"/>
        <w:jc w:val="center"/>
        <w:rPr>
          <w:rFonts w:ascii="Arial" w:hAnsi="Arial" w:cs="Arial"/>
          <w:b/>
          <w:color w:val="000000"/>
          <w:sz w:val="20"/>
          <w:szCs w:val="20"/>
          <w:lang w:val="vi-VN"/>
        </w:rPr>
      </w:pPr>
      <w:r>
        <w:rPr>
          <w:rFonts w:ascii="Arial" w:hAnsi="Arial" w:cs="Arial"/>
          <w:b/>
          <w:color w:val="000000"/>
          <w:sz w:val="20"/>
          <w:szCs w:val="20"/>
          <w:lang w:val="vi-VN"/>
        </w:rPr>
        <w:t>ĐIỆN LỰC</w:t>
      </w:r>
    </w:p>
    <w:p w14:paraId="6177B32C">
      <w:pPr>
        <w:pStyle w:val="51"/>
        <w:spacing w:before="0" w:after="0"/>
        <w:ind w:firstLine="0"/>
        <w:jc w:val="center"/>
        <w:rPr>
          <w:rFonts w:ascii="Arial" w:hAnsi="Arial" w:cs="Arial"/>
          <w:sz w:val="20"/>
          <w:szCs w:val="20"/>
        </w:rPr>
      </w:pPr>
      <w:bookmarkStart w:id="0" w:name="_Toc83871909"/>
      <w:bookmarkStart w:id="1" w:name="_Toc81650071"/>
    </w:p>
    <w:p w14:paraId="50B71E5F">
      <w:pPr>
        <w:pStyle w:val="51"/>
        <w:spacing w:before="0"/>
        <w:ind w:firstLine="720"/>
        <w:rPr>
          <w:rFonts w:ascii="Arial" w:hAnsi="Arial" w:cs="Arial"/>
          <w:i/>
          <w:sz w:val="20"/>
          <w:szCs w:val="20"/>
        </w:rPr>
      </w:pPr>
      <w:r>
        <w:rPr>
          <w:rFonts w:ascii="Arial" w:hAnsi="Arial" w:cs="Arial"/>
          <w:i/>
          <w:sz w:val="20"/>
          <w:szCs w:val="20"/>
        </w:rPr>
        <w:t>Căn cứ Hiến pháp nước Cộng hòa xã hội chủ nghĩa Việt Nam;</w:t>
      </w:r>
    </w:p>
    <w:p w14:paraId="025A5350">
      <w:pPr>
        <w:pStyle w:val="51"/>
        <w:spacing w:before="0" w:after="0"/>
        <w:ind w:firstLine="720"/>
        <w:rPr>
          <w:rFonts w:ascii="Arial" w:hAnsi="Arial" w:cs="Arial"/>
          <w:i/>
          <w:sz w:val="20"/>
          <w:szCs w:val="20"/>
        </w:rPr>
      </w:pPr>
      <w:r>
        <w:rPr>
          <w:rFonts w:ascii="Arial" w:hAnsi="Arial" w:cs="Arial"/>
          <w:i/>
          <w:sz w:val="20"/>
          <w:szCs w:val="20"/>
        </w:rPr>
        <w:t>Quốc hội ban hành Luật Điện lực.</w:t>
      </w:r>
    </w:p>
    <w:p w14:paraId="1587F0DA">
      <w:pPr>
        <w:pStyle w:val="51"/>
        <w:spacing w:before="0" w:after="0"/>
        <w:ind w:firstLine="720"/>
        <w:rPr>
          <w:rFonts w:ascii="Arial" w:hAnsi="Arial" w:cs="Arial"/>
          <w:i/>
          <w:sz w:val="20"/>
          <w:szCs w:val="20"/>
        </w:rPr>
      </w:pPr>
    </w:p>
    <w:p w14:paraId="797114CD">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lang w:val="vi-VN"/>
        </w:rPr>
        <w:t>Chương</w:t>
      </w:r>
      <w:r>
        <w:rPr>
          <w:rFonts w:ascii="Arial" w:hAnsi="Arial" w:cs="Arial"/>
          <w:b/>
          <w:color w:val="000000"/>
          <w:sz w:val="20"/>
          <w:szCs w:val="20"/>
        </w:rPr>
        <w:t xml:space="preserve"> I</w:t>
      </w:r>
    </w:p>
    <w:p w14:paraId="6EAF326C">
      <w:pPr>
        <w:widowControl w:val="0"/>
        <w:shd w:val="clear" w:color="auto" w:fill="FFFFFF"/>
        <w:tabs>
          <w:tab w:val="left" w:pos="567"/>
        </w:tabs>
        <w:jc w:val="center"/>
        <w:rPr>
          <w:rFonts w:ascii="Arial" w:hAnsi="Arial" w:cs="Arial"/>
          <w:b/>
          <w:color w:val="000000"/>
          <w:sz w:val="20"/>
          <w:szCs w:val="20"/>
          <w:lang w:val="vi-VN"/>
        </w:rPr>
      </w:pPr>
      <w:bookmarkStart w:id="2" w:name="_Ref182267014"/>
      <w:r>
        <w:rPr>
          <w:rFonts w:ascii="Arial" w:hAnsi="Arial" w:cs="Arial"/>
          <w:b/>
          <w:color w:val="000000"/>
          <w:sz w:val="20"/>
          <w:szCs w:val="20"/>
          <w:lang w:val="vi-VN"/>
        </w:rPr>
        <w:t>NHỮNG QUY ĐỊNH CHUNG</w:t>
      </w:r>
      <w:bookmarkEnd w:id="2"/>
    </w:p>
    <w:p w14:paraId="06FFB9FB">
      <w:pPr>
        <w:widowControl w:val="0"/>
        <w:shd w:val="clear" w:color="auto" w:fill="FFFFFF"/>
        <w:tabs>
          <w:tab w:val="left" w:pos="567"/>
        </w:tabs>
        <w:ind w:firstLine="720"/>
        <w:jc w:val="both"/>
        <w:rPr>
          <w:rFonts w:ascii="Arial" w:hAnsi="Arial" w:cs="Arial"/>
          <w:color w:val="000000"/>
          <w:sz w:val="20"/>
          <w:szCs w:val="20"/>
        </w:rPr>
      </w:pPr>
    </w:p>
    <w:bookmarkEnd w:id="0"/>
    <w:bookmarkEnd w:id="1"/>
    <w:p w14:paraId="5C6824F3">
      <w:pPr>
        <w:pStyle w:val="7"/>
        <w:spacing w:before="0" w:after="120"/>
        <w:ind w:firstLine="720"/>
        <w:jc w:val="both"/>
        <w:rPr>
          <w:rFonts w:ascii="Arial" w:hAnsi="Arial" w:cs="Arial"/>
          <w:sz w:val="20"/>
          <w:szCs w:val="20"/>
        </w:rPr>
      </w:pPr>
      <w:bookmarkStart w:id="3" w:name="_Hlk177051838"/>
      <w:r>
        <w:rPr>
          <w:rFonts w:ascii="Arial" w:hAnsi="Arial" w:cs="Arial"/>
          <w:sz w:val="20"/>
          <w:szCs w:val="20"/>
        </w:rPr>
        <w:t>Điều 2. Đối tượng áp dụng</w:t>
      </w:r>
    </w:p>
    <w:p w14:paraId="59F817FE">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Luật này áp dụng đối với cơ quan, tổ chức, cá nhân thực hiện hoạt động điện lực, sử dụng điện hoặc có hoạt động khác liên quan đến điện lực tại Việt Nam.</w:t>
      </w:r>
    </w:p>
    <w:p w14:paraId="5B23664F">
      <w:pPr>
        <w:pStyle w:val="7"/>
        <w:spacing w:before="0" w:after="120"/>
        <w:ind w:firstLine="720"/>
        <w:jc w:val="both"/>
        <w:rPr>
          <w:rFonts w:ascii="Arial" w:hAnsi="Arial" w:cs="Arial"/>
          <w:spacing w:val="-6"/>
          <w:sz w:val="20"/>
          <w:szCs w:val="20"/>
          <w:lang w:val="vi-VN"/>
        </w:rPr>
      </w:pPr>
      <w:r>
        <w:rPr>
          <w:rFonts w:ascii="Arial" w:hAnsi="Arial" w:cs="Arial"/>
          <w:spacing w:val="-6"/>
          <w:sz w:val="20"/>
          <w:szCs w:val="20"/>
          <w:lang w:val="vi-VN"/>
        </w:rPr>
        <w:t xml:space="preserve">Điều 9. Các hành vi bị nghiêm cấm trong hoạt động điện lực và sử dụng điện </w:t>
      </w:r>
    </w:p>
    <w:p w14:paraId="73076591">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1. Hoạt động điện lực không có giấy phép theo quy định của Luật này.</w:t>
      </w:r>
    </w:p>
    <w:p w14:paraId="130AAD70">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2. Trộm cắp điện.</w:t>
      </w:r>
    </w:p>
    <w:p w14:paraId="020BBBED">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3. Trộm cắp phương tiện, trang thiết bị điện.</w:t>
      </w:r>
    </w:p>
    <w:p w14:paraId="1A769EEA">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4. Phá hoại phương tiện, trang thiết bị điện, công trình điện lực.</w:t>
      </w:r>
    </w:p>
    <w:p w14:paraId="028DD2B0">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 xml:space="preserve">5. Sử dụng phương tiện, thiết bị, chất gây cháy, nổ, ăn mòn và hành vi khác làm hư hỏng, gây sự cố công trình điện lực. </w:t>
      </w:r>
    </w:p>
    <w:p w14:paraId="63A6FD51">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6. Đóng điện, cắt điện trái quy định của pháp luật.</w:t>
      </w:r>
    </w:p>
    <w:p w14:paraId="00AC7DD3">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 xml:space="preserve">7. Vi phạm quy định về bảo vệ công trình điện lực, an toàn điện và an toàn đập, hồ chứa thủy điện. </w:t>
      </w:r>
    </w:p>
    <w:p w14:paraId="5902FEA4">
      <w:pPr>
        <w:widowControl w:val="0"/>
        <w:shd w:val="clear" w:color="auto" w:fill="FFFFFF"/>
        <w:tabs>
          <w:tab w:val="left" w:pos="567"/>
        </w:tabs>
        <w:spacing w:after="120"/>
        <w:ind w:firstLine="720"/>
        <w:jc w:val="both"/>
        <w:rPr>
          <w:rFonts w:ascii="Arial" w:hAnsi="Arial" w:cs="Arial"/>
          <w:color w:val="000000"/>
          <w:spacing w:val="-2"/>
          <w:sz w:val="20"/>
          <w:szCs w:val="20"/>
          <w:lang w:val="vi-VN"/>
        </w:rPr>
      </w:pPr>
      <w:r>
        <w:rPr>
          <w:rFonts w:ascii="Arial" w:hAnsi="Arial" w:cs="Arial"/>
          <w:color w:val="000000"/>
          <w:spacing w:val="-2"/>
          <w:sz w:val="20"/>
          <w:szCs w:val="20"/>
          <w:lang w:val="vi-VN"/>
        </w:rPr>
        <w:t>8. Trồng cây, khoan, đào, đắp, xây dựng công trình, khai thác khoáng sản, neo đậu tàu</w:t>
      </w:r>
      <w:r>
        <w:rPr>
          <w:rFonts w:ascii="Arial" w:hAnsi="Arial" w:cs="Arial"/>
          <w:color w:val="000000"/>
          <w:spacing w:val="-2"/>
          <w:sz w:val="20"/>
          <w:szCs w:val="20"/>
        </w:rPr>
        <w:t>,</w:t>
      </w:r>
      <w:r>
        <w:rPr>
          <w:rFonts w:ascii="Arial" w:hAnsi="Arial" w:cs="Arial"/>
          <w:color w:val="000000"/>
          <w:spacing w:val="-2"/>
          <w:sz w:val="20"/>
          <w:szCs w:val="20"/>
          <w:lang w:val="vi-VN"/>
        </w:rPr>
        <w:t xml:space="preserve"> thuyền, xả nước thải, chất ăn mòn, thả diều, vật bay và các hoạt động khác vi phạm quy định của pháp luật về hành lang bảo vệ an toàn công trình điện lực.</w:t>
      </w:r>
    </w:p>
    <w:p w14:paraId="5F6A6916">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9. Sử dụng điện làm phương tiện bảo vệ trực tiếp, trừ trường hợp quy định tại khoản 4 Điều 69 của Luật này.</w:t>
      </w:r>
    </w:p>
    <w:p w14:paraId="7FD58424">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10. Cung cấp thông tin không chính xác, thiếu minh bạch xâm phạm đến quyền và lợi ích hợp pháp của cơ quan, tổ chức, cá nhân hoạt động điện lực và sử dụng điện.</w:t>
      </w:r>
    </w:p>
    <w:p w14:paraId="606DB96E">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11. Cản trở cơ quan, tổ chức, cá nhân có thẩm quyền sửa chữa, cải tạo, khắc phục sự cố đối với công trình điện lực, kiểm tra, giám sát hoạt động điện lực và sử dụng điện.</w:t>
      </w:r>
    </w:p>
    <w:p w14:paraId="0A80CECF">
      <w:pPr>
        <w:widowControl w:val="0"/>
        <w:shd w:val="clear" w:color="auto" w:fill="FFFFFF"/>
        <w:tabs>
          <w:tab w:val="left" w:pos="567"/>
        </w:tabs>
        <w:ind w:firstLine="720"/>
        <w:jc w:val="both"/>
        <w:rPr>
          <w:rFonts w:ascii="Arial" w:hAnsi="Arial" w:cs="Arial"/>
          <w:color w:val="000000"/>
          <w:sz w:val="20"/>
          <w:szCs w:val="20"/>
          <w:lang w:val="vi-VN"/>
        </w:rPr>
      </w:pPr>
      <w:r>
        <w:rPr>
          <w:rFonts w:ascii="Arial" w:hAnsi="Arial" w:cs="Arial"/>
          <w:color w:val="000000"/>
          <w:sz w:val="20"/>
          <w:szCs w:val="20"/>
          <w:lang w:val="vi-VN"/>
        </w:rPr>
        <w:t>12. Sách nhiễu, gây phiền hà, thu lợi bất chính trong hoạt động điện lực và sử dụng điện.</w:t>
      </w:r>
    </w:p>
    <w:p w14:paraId="06A28148">
      <w:pPr>
        <w:widowControl w:val="0"/>
        <w:shd w:val="clear" w:color="auto" w:fill="FFFFFF"/>
        <w:tabs>
          <w:tab w:val="left" w:pos="567"/>
        </w:tabs>
        <w:ind w:firstLine="720"/>
        <w:jc w:val="both"/>
        <w:rPr>
          <w:rFonts w:ascii="Arial" w:hAnsi="Arial" w:cs="Arial"/>
          <w:color w:val="000000"/>
          <w:sz w:val="20"/>
          <w:szCs w:val="20"/>
          <w:lang w:val="vi-VN"/>
        </w:rPr>
      </w:pPr>
    </w:p>
    <w:p w14:paraId="28655D5F">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3. Bộ trưởng Bộ Công Thương quy định chi tiết Điều này.</w:t>
      </w:r>
    </w:p>
    <w:p w14:paraId="500FF120">
      <w:pPr>
        <w:widowControl w:val="0"/>
        <w:shd w:val="clear" w:color="auto" w:fill="FFFFFF"/>
        <w:tabs>
          <w:tab w:val="left" w:pos="567"/>
        </w:tabs>
        <w:ind w:firstLine="720"/>
        <w:jc w:val="both"/>
        <w:rPr>
          <w:rFonts w:ascii="Arial" w:hAnsi="Arial" w:cs="Arial"/>
          <w:color w:val="000000"/>
          <w:sz w:val="20"/>
          <w:szCs w:val="20"/>
        </w:rPr>
      </w:pPr>
    </w:p>
    <w:p w14:paraId="19E315AB">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Mục 2</w:t>
      </w:r>
    </w:p>
    <w:p w14:paraId="34703753">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HỢP ĐỒNG MUA BÁN ĐIỆN</w:t>
      </w:r>
    </w:p>
    <w:p w14:paraId="2B6D753E">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VÀ HỢP ĐỒNG CUNG CẤP DỊCH VỤ ĐIỆN</w:t>
      </w:r>
    </w:p>
    <w:p w14:paraId="10ACC9A4">
      <w:pPr>
        <w:widowControl w:val="0"/>
        <w:shd w:val="clear" w:color="auto" w:fill="FFFFFF"/>
        <w:tabs>
          <w:tab w:val="left" w:pos="567"/>
        </w:tabs>
        <w:ind w:firstLine="720"/>
        <w:jc w:val="both"/>
        <w:rPr>
          <w:rFonts w:ascii="Arial" w:hAnsi="Arial" w:cs="Arial"/>
          <w:b/>
          <w:color w:val="000000"/>
          <w:sz w:val="20"/>
          <w:szCs w:val="20"/>
        </w:rPr>
      </w:pPr>
    </w:p>
    <w:p w14:paraId="4BC08D1F">
      <w:pPr>
        <w:pStyle w:val="7"/>
        <w:spacing w:before="0" w:after="120"/>
        <w:ind w:firstLine="720"/>
        <w:jc w:val="both"/>
        <w:rPr>
          <w:rFonts w:ascii="Arial" w:hAnsi="Arial" w:cs="Arial"/>
          <w:sz w:val="20"/>
          <w:szCs w:val="20"/>
        </w:rPr>
      </w:pPr>
      <w:r>
        <w:rPr>
          <w:rFonts w:ascii="Arial" w:hAnsi="Arial" w:cs="Arial"/>
          <w:sz w:val="20"/>
          <w:szCs w:val="20"/>
        </w:rPr>
        <w:t>Điều 44. Hợp đồng mua bán điện, hợp đồng cung cấp dịch vụ điện</w:t>
      </w:r>
    </w:p>
    <w:p w14:paraId="3B439A1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Hợp đồng mua bán điện, hợp đồng cung cấp dịch vụ điện phải được xác lập bằng văn bản giấy hoặc hình thức thông điệp dữ liệu</w:t>
      </w:r>
      <w:r>
        <w:rPr>
          <w:rFonts w:ascii="Arial" w:hAnsi="Arial" w:cs="Arial"/>
          <w:color w:val="000000"/>
          <w:sz w:val="20"/>
          <w:szCs w:val="20"/>
          <w:lang w:val="vi-VN"/>
        </w:rPr>
        <w:t xml:space="preserve"> có giá trị như văn bản</w:t>
      </w:r>
      <w:r>
        <w:rPr>
          <w:rFonts w:ascii="Arial" w:hAnsi="Arial" w:cs="Arial"/>
          <w:color w:val="000000"/>
          <w:sz w:val="20"/>
          <w:szCs w:val="20"/>
        </w:rPr>
        <w:t xml:space="preserve"> theo quy định của pháp luật.</w:t>
      </w:r>
    </w:p>
    <w:p w14:paraId="06176F7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2. Hợp đồng mua bán điện giữa đơn vị phát điện và bên mua điện, trừ trường hợp nhà máy điện đầu tư theo phương thức đối tác công tư; hợp đồng bán buôn điện và hợp đồng cung cấp dịch vụ phụ trợ hệ thống điện phải có các nội dung chính sau đây: </w:t>
      </w:r>
    </w:p>
    <w:p w14:paraId="4D83372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a) Thông tin của các bên trong hợp đồng bao gồm: tên, địa chỉ, số điện thoại, phương thức liên hệ khác (nếu có); </w:t>
      </w:r>
    </w:p>
    <w:p w14:paraId="3247789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b) Giá hợp đồng mua bán điện; giá bán buôn điện; giá dịch vụ phụ trợ hệ thống điện; </w:t>
      </w:r>
    </w:p>
    <w:p w14:paraId="0A3F314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Sản lượng điện hợp đồng (nếu có); </w:t>
      </w:r>
    </w:p>
    <w:p w14:paraId="29106A6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d) Lập hoá đơn, tiền điện thanh toán và thời hạn thanh toán; </w:t>
      </w:r>
    </w:p>
    <w:p w14:paraId="75365A5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Quyền và nghĩa vụ của các bên;</w:t>
      </w:r>
    </w:p>
    <w:p w14:paraId="5FA3F1B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e) Ngôn ngữ sử dụng là tiếng Việt. Trường hợp bên bán điện có nhà đầu tư nước ngoài, bên bán điện và bên mua điện có thể thỏa thuận sử dụng thêm hợp đồng với ngôn ngữ sử dụng bằng tiếng Anh; </w:t>
      </w:r>
    </w:p>
    <w:p w14:paraId="1CE52C0E">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g) Nội dung khác do hai bên thỏa thuận.</w:t>
      </w:r>
    </w:p>
    <w:p w14:paraId="6C0619F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3. Hợp đồng mua bán điện phục vụ mục đích sinh hoạt phải có các nội dung chính sau đây: </w:t>
      </w:r>
    </w:p>
    <w:p w14:paraId="0CD3974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a) Thông tin của các bên trong hợp đồng bao gồm: tên, địa chỉ, số điện thoại, phương thức liên hệ khác (nếu có); </w:t>
      </w:r>
    </w:p>
    <w:p w14:paraId="4DC597C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Tiêu chuẩn, chất lượng dịch vụ và địa chỉ sử dụng điện;</w:t>
      </w:r>
    </w:p>
    <w:p w14:paraId="5B50CF0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Giá bán lẻ điện, phương thức và thời hạn thanh toán; </w:t>
      </w:r>
    </w:p>
    <w:p w14:paraId="5AF0886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d) Quyền và nghĩa vụ của các bên; </w:t>
      </w:r>
    </w:p>
    <w:p w14:paraId="37F5030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đ) Trách nhiệm bảo vệ thông tin của bên mua điện; </w:t>
      </w:r>
    </w:p>
    <w:p w14:paraId="5384FBE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e) Trường hợp chấm dứt thực hiện hợp đồng và trách nhiệm phát sinh do chấm dứt thực hiện hợp đồng; </w:t>
      </w:r>
    </w:p>
    <w:p w14:paraId="2A28E4A0">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g) Trường hợp bất khả kháng theo quy định của pháp luật về dân sự;</w:t>
      </w:r>
    </w:p>
    <w:p w14:paraId="7D02AAD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h) Phương thức giải quyết tranh chấp; </w:t>
      </w:r>
    </w:p>
    <w:p w14:paraId="1FECA83E">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i) Thời điểm giao kết hợp đồng, thời hạn của hợp đồng; </w:t>
      </w:r>
    </w:p>
    <w:p w14:paraId="7D3D3E9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k) Thỏa thuận phạt vi phạm; </w:t>
      </w:r>
    </w:p>
    <w:p w14:paraId="7CC786E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l) Nội dung khác do hai bên thỏa thuận.</w:t>
      </w:r>
    </w:p>
    <w:p w14:paraId="765306D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4. Hợp đồng mua bán điện phục vụ mục đích ngoài sinh hoạt có nội dung do các bên thỏa thuận. Bên mua điện có trách nhiệm bảo đảm chất lượng điện năng quy định tại Điều 57 của Luật này. Trường hợp khách hàng sử dụng điện có sản lượng điện tiêu thụ trung bình tháng lớn phải thực hiện biện pháp bảo đảm thực hiện hợp đồng theo thỏa thuận của các bên.</w:t>
      </w:r>
    </w:p>
    <w:p w14:paraId="7E935C0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5. Bộ trưởng Bộ Công Thương quy định chi tiết khoản 2 Điều này bảo đảm phù hợp với cấp độ thị trường điện cạnh tranh.</w:t>
      </w:r>
    </w:p>
    <w:p w14:paraId="326BA3B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6. Chính phủ quy định chi tiết về thực hiện biện pháp bảo đảm và chất lượng điện năng quy định tại khoản 4 Điều này, quy định điều kiện giao kết hợp đồng mua bán điện phục vụ mục đích sinh hoạt. </w:t>
      </w:r>
    </w:p>
    <w:p w14:paraId="318F9CCE">
      <w:pPr>
        <w:pStyle w:val="7"/>
        <w:spacing w:before="0" w:after="120"/>
        <w:ind w:firstLine="720"/>
        <w:jc w:val="both"/>
        <w:rPr>
          <w:rFonts w:ascii="Arial" w:hAnsi="Arial" w:cs="Arial"/>
          <w:sz w:val="20"/>
          <w:szCs w:val="20"/>
        </w:rPr>
      </w:pPr>
      <w:r>
        <w:rPr>
          <w:rFonts w:ascii="Arial" w:hAnsi="Arial" w:cs="Arial"/>
          <w:sz w:val="20"/>
          <w:szCs w:val="20"/>
        </w:rPr>
        <w:t xml:space="preserve">Điều 48. Thanh toán tiền điện trong hợp đồng mua bán điện đối với khách hàng sử dụng điện </w:t>
      </w:r>
    </w:p>
    <w:p w14:paraId="25AD29B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Thanh toán tiền điện theo hợp đồng mua bán điện đối với khách hàng sử dụng điện phục vụ mục đích sinh hoạt được quy định như sau:</w:t>
      </w:r>
    </w:p>
    <w:p w14:paraId="43DB39F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a) Tiền điện được thanh toán theo phương thức thanh toán do hai bên thỏa thuận trong hợp đồng mua bán điện; bên mua điện chậm trả tiền điện phải trả tiền lãi trên số tiền chậm trả cho bên bán điện tương ứng với thời gian chậm trả; </w:t>
      </w:r>
    </w:p>
    <w:p w14:paraId="7731678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Lãi suất chậm trả do các bên thỏa thuận nhưng không vượt quá mức lãi suất theo quy định của pháp luật về dân sự;</w:t>
      </w:r>
    </w:p>
    <w:p w14:paraId="0416E85D">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Bên bán điện thu thừa tiền điện phải hoàn trả cho bên mua điện, kể cả tiền lãi của khoản tiền thu thừa hoặc thỏa thuận với bên mua điện về việc bù trừ tiền điện thu thừa vào các lần thanh toán tiền điện sau; </w:t>
      </w:r>
    </w:p>
    <w:p w14:paraId="5CEB3AD4">
      <w:pPr>
        <w:widowControl w:val="0"/>
        <w:shd w:val="clear" w:color="auto" w:fill="FFFFFF"/>
        <w:tabs>
          <w:tab w:val="left" w:pos="567"/>
        </w:tabs>
        <w:spacing w:after="120"/>
        <w:ind w:firstLine="720"/>
        <w:jc w:val="both"/>
        <w:rPr>
          <w:rFonts w:ascii="Arial" w:hAnsi="Arial" w:cs="Arial"/>
          <w:color w:val="000000"/>
          <w:spacing w:val="-4"/>
          <w:sz w:val="20"/>
          <w:szCs w:val="20"/>
        </w:rPr>
      </w:pPr>
      <w:r>
        <w:rPr>
          <w:rFonts w:ascii="Arial" w:hAnsi="Arial" w:cs="Arial"/>
          <w:color w:val="000000"/>
          <w:spacing w:val="-4"/>
          <w:sz w:val="20"/>
          <w:szCs w:val="20"/>
        </w:rPr>
        <w:t xml:space="preserve">d) Lãi suất thu thừa tiền điện được xác định theo quy định tại điểm b khoản này; </w:t>
      </w:r>
    </w:p>
    <w:p w14:paraId="01CB302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Bên bán điện ghi chỉ số đo điện năng mỗi tháng 01 lần vào ngày ấn định, trừ trường hợp bất khả kháng có nguy cơ mất an toàn cho người lao động quy định trong hợp đồng mua bán điện. Cho phép dịch chuyển thời điểm ghi chỉ số đo điện năng trước hoặc sau 01 ngày so với ngày ấn định hoặc dịch chuyển theo thỏa thuận trong hợp đồng mua bán điện.</w:t>
      </w:r>
    </w:p>
    <w:p w14:paraId="79416C5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Thanh toán tiền điện theo hợp đồng mua bán điện đối với khách hàng sử dụng điện ngoài mục đích sinh hoạt thực hiện theo sự thỏa thuận của các bên trong hợp đồng. Trường hợp các bên chậm trả hoặc thu thừa tiền điện thì có nghĩa vụ trả tiền tương ứng với thời gian chậm trả và lãi suất theo quy định của pháp luật về dân sự.</w:t>
      </w:r>
    </w:p>
    <w:p w14:paraId="39E4097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3. Quy định về xem xét lại số tiền điện phải thanh toán như sau:</w:t>
      </w:r>
    </w:p>
    <w:p w14:paraId="67385A1F">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a) Bên mua điện có quyền yêu cầu bên bán điện xem xét lại số tiền điện phải thanh toán theo một trong các hình thức sau: trực tiếp tại đơn vị bán điện; dịch vụ bưu chính; phương tiện điện tử hoặc hình thức khác do các bên thỏa thuận;</w:t>
      </w:r>
    </w:p>
    <w:p w14:paraId="2C0C7CE1">
      <w:pPr>
        <w:widowControl w:val="0"/>
        <w:shd w:val="clear" w:color="auto" w:fill="FFFFFF"/>
        <w:tabs>
          <w:tab w:val="left" w:pos="567"/>
        </w:tabs>
        <w:spacing w:after="120"/>
        <w:ind w:firstLine="720"/>
        <w:jc w:val="both"/>
        <w:rPr>
          <w:rFonts w:ascii="Arial" w:hAnsi="Arial" w:cs="Arial"/>
          <w:color w:val="000000"/>
          <w:spacing w:val="-1"/>
          <w:sz w:val="20"/>
          <w:szCs w:val="20"/>
        </w:rPr>
      </w:pPr>
      <w:r>
        <w:rPr>
          <w:rFonts w:ascii="Arial" w:hAnsi="Arial" w:cs="Arial"/>
          <w:color w:val="000000"/>
          <w:spacing w:val="-1"/>
          <w:sz w:val="20"/>
          <w:szCs w:val="20"/>
        </w:rPr>
        <w:t>b) Khi nhận được yêu cầu của bên mua điện, bên bán điện có trách nhiệm giải quyết trong thời hạn 07 ngày kể từ ngày nhận được yêu cầu. Trường hợp không đồng ý với cách giải quyết của bên bán điện, bên mua điện có thể đề nghị cơ quan, tổ chức có thẩm quyền tổ chức việc hòa giải theo quy định của pháp luật về hòa giải hoặc yêu cầu trọng tài, Tòa án giải quyết theo quy định của pháp luật;</w:t>
      </w:r>
    </w:p>
    <w:p w14:paraId="18C37D3A">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c) Trong thời gian yêu cầu của bên mua điện chưa được giải quyết, bên mua điện vẫn phải thanh toán tiền điện; bên bán điện không được ngừng cấp điện.</w:t>
      </w:r>
    </w:p>
    <w:p w14:paraId="2C336BD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4. Bên mua điện không trả tiền điện theo thỏa thuận tại hợp đồng và đã được bên bán điện thông báo về việc thanh toán tiền điện 02 lần cách nhau không dưới 03 ngày thì bên bán điện có quyền ngừng cấp điện. Thời điểm bên bán điện có quyền ngừng cấp điện do hai bên tự thỏa thuận và ghi rõ trong hợp đồng mua bán điện nhưng không vượt quá 10 ngày kể từ ngày bên bán điện có thông báo đầu tiên. Bên bán điện phải thông báo thời điểm ngừng cấp điện cho bên mua điện trước 24 giờ và không chịu trách nhiệm về thiệt hại do việc ngừng cấp điện gây ra. Sau khi bên mua điện thanh toán tiền điện và thực hiện đầy đủ thủ tục đề nghị cấp điện trở lại theo quy định của pháp luật về điện lực thì bên bán điện phải thực hiện cấp điện trở lại theo quy định của pháp luật về điện lực. </w:t>
      </w:r>
    </w:p>
    <w:p w14:paraId="18E8802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5. Hóa đơn thanh toán tiền điện được lập theo chu kỳ ghi chỉ số đo điện năng. Hình thức thông báo thanh toán tiền điện do hai bên thỏa thuận trong hợp đồng mua bán điện. </w:t>
      </w:r>
    </w:p>
    <w:p w14:paraId="1C90FD1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6. Việc xác định tiền điện thanh toán trong các trường hợp thiết bị đo đếm điện không chính xác so với yêu cầu kỹ thuật đo lường quy định, bên mua điện sử dụng điện trong thời gian hệ thống thiết bị đo đếm điện bị hư hỏng làm cho công tơ điện ngừng hoạt động và bên mua điện sử dụng điện trong thời gian công tơ điện bị mất theo quy định của Bộ trưởng Bộ Công Thương.</w:t>
      </w:r>
    </w:p>
    <w:p w14:paraId="07CDCAD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7. Chính phủ quy định chi tiết việc ghi chỉ số đo điện năng.</w:t>
      </w:r>
    </w:p>
    <w:p w14:paraId="102EF254">
      <w:pPr>
        <w:pStyle w:val="7"/>
        <w:spacing w:before="0" w:after="120"/>
        <w:ind w:firstLine="720"/>
        <w:jc w:val="both"/>
        <w:rPr>
          <w:rFonts w:ascii="Arial" w:hAnsi="Arial" w:cs="Arial"/>
          <w:spacing w:val="-4"/>
          <w:sz w:val="20"/>
          <w:szCs w:val="20"/>
        </w:rPr>
      </w:pPr>
      <w:r>
        <w:rPr>
          <w:rFonts w:ascii="Arial" w:hAnsi="Arial" w:cs="Arial"/>
          <w:spacing w:val="-4"/>
          <w:sz w:val="20"/>
          <w:szCs w:val="20"/>
        </w:rPr>
        <w:t xml:space="preserve">Điều 49. Ngừng, giảm mức cung cấp điện đối với khách hàng sử dụng điện </w:t>
      </w:r>
    </w:p>
    <w:p w14:paraId="4013FC4B">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Việc ngừng, giảm mức cung cấp điện đối với khách hàng sử dụng điện phải thực hiện theo đúng quy định của pháp luật và hợp đồng mua bán điện đã ký. Bên mua điện và bên bán điện phải thỏa thuận, thống nhất các trường hợp ngừng, giảm mức cung cấp điện và hình thức thông báo ngừng, giảm mức cung cấp điện trong hợp đồng mua bán điện.</w:t>
      </w:r>
    </w:p>
    <w:p w14:paraId="676382F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Các trường hợp ngừng, giảm cung cấp điện bao gồm:</w:t>
      </w:r>
    </w:p>
    <w:p w14:paraId="4931D76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Khi xảy ra sự kiện bất khả kháng, sự cố mà bên bán điện không kiểm soát được có nguy cơ làm mất an toàn nghiêm trọng cho người, trang thiết bị hoặc do thiếu nguồn điện đe dọa đến an toàn của hệ thống điện, bên bán điện được phép ngừng, giảm mức cung cấp; phải thông báo tình trạng cấp điện và thời gian dự kiến cấp điện trở lại cho bên mua điện trong thời hạn 24 giờ kể từ khi ngừng, giảm mức cung cấp điện;</w:t>
      </w:r>
    </w:p>
    <w:p w14:paraId="08D63C6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Khi có nhu cầu sửa chữa, bảo dưỡng hoặc nhu cầu khác theo kế hoạch, bên bán điện có trách nhiệm thông báo cho bên mua điện biết trước thời điểm ngừng hoặc giảm mức cung cấp điện ít nhất 05 ngày bằng hình thức thông báo được thống nhất trong hợp đồng mua bán điện;</w:t>
      </w:r>
    </w:p>
    <w:p w14:paraId="5749AC18">
      <w:pPr>
        <w:widowControl w:val="0"/>
        <w:shd w:val="clear" w:color="auto" w:fill="FFFFFF"/>
        <w:tabs>
          <w:tab w:val="left" w:pos="567"/>
        </w:tabs>
        <w:spacing w:after="120"/>
        <w:ind w:firstLine="720"/>
        <w:jc w:val="both"/>
        <w:rPr>
          <w:rFonts w:ascii="Arial" w:hAnsi="Arial" w:cs="Arial"/>
          <w:color w:val="000000"/>
          <w:spacing w:val="-6"/>
          <w:sz w:val="20"/>
          <w:szCs w:val="20"/>
        </w:rPr>
      </w:pPr>
      <w:r>
        <w:rPr>
          <w:rFonts w:ascii="Arial" w:hAnsi="Arial" w:cs="Arial"/>
          <w:color w:val="000000"/>
          <w:spacing w:val="-6"/>
          <w:sz w:val="20"/>
          <w:szCs w:val="20"/>
        </w:rPr>
        <w:t>c) Không thanh toán tiền điện quy định tại khoản 4 Điều 48 của Luật này;</w:t>
      </w:r>
    </w:p>
    <w:p w14:paraId="74FB9A0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Theo yêu cầu của cơ quan nhà nước có thẩm quyền trong trường hợp tổ chức, cá nhân vi phạm quy định của Luật này hoặc quy định của luật khác và phải áp dụng biện pháp ngừng cung cấp điện theo quy định của luật đó.</w:t>
      </w:r>
    </w:p>
    <w:p w14:paraId="65C626CC">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3. Bộ trưởng Bộ Công Thương quy định chi tiết về trình tự ngừng, giảm mức cung cấp điện quy định tại khoản 2 Điều này.</w:t>
      </w:r>
    </w:p>
    <w:p w14:paraId="35A7DC4C">
      <w:pPr>
        <w:widowControl w:val="0"/>
        <w:shd w:val="clear" w:color="auto" w:fill="FFFFFF"/>
        <w:tabs>
          <w:tab w:val="left" w:pos="567"/>
        </w:tabs>
        <w:ind w:firstLine="720"/>
        <w:jc w:val="both"/>
        <w:rPr>
          <w:rFonts w:ascii="Arial" w:hAnsi="Arial" w:cs="Arial"/>
          <w:color w:val="000000"/>
          <w:sz w:val="20"/>
          <w:szCs w:val="20"/>
        </w:rPr>
      </w:pPr>
    </w:p>
    <w:p w14:paraId="31E4EBF4">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Mục 3</w:t>
      </w:r>
    </w:p>
    <w:p w14:paraId="7EC02716">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GIÁ ĐIỆN VÀ GIÁ DỊCH VỤ VỀ ĐIỆN</w:t>
      </w:r>
    </w:p>
    <w:p w14:paraId="6621E188">
      <w:pPr>
        <w:widowControl w:val="0"/>
        <w:shd w:val="clear" w:color="auto" w:fill="FFFFFF"/>
        <w:tabs>
          <w:tab w:val="left" w:pos="567"/>
        </w:tabs>
        <w:ind w:firstLine="720"/>
        <w:jc w:val="both"/>
        <w:rPr>
          <w:rFonts w:ascii="Arial" w:hAnsi="Arial" w:cs="Arial"/>
          <w:b/>
          <w:color w:val="000000"/>
          <w:sz w:val="20"/>
          <w:szCs w:val="20"/>
        </w:rPr>
      </w:pPr>
    </w:p>
    <w:p w14:paraId="559D1837">
      <w:pPr>
        <w:pStyle w:val="7"/>
        <w:spacing w:before="0" w:after="120"/>
        <w:ind w:firstLine="720"/>
        <w:jc w:val="both"/>
        <w:rPr>
          <w:rFonts w:ascii="Arial" w:hAnsi="Arial" w:cs="Arial"/>
          <w:sz w:val="20"/>
          <w:szCs w:val="20"/>
        </w:rPr>
      </w:pPr>
      <w:r>
        <w:rPr>
          <w:rFonts w:ascii="Arial" w:hAnsi="Arial" w:cs="Arial"/>
          <w:sz w:val="20"/>
          <w:szCs w:val="20"/>
        </w:rPr>
        <w:t xml:space="preserve">Điều 50. Giá điện </w:t>
      </w:r>
    </w:p>
    <w:p w14:paraId="69C0429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Giá bán lẻ điện được quy định như sau:</w:t>
      </w:r>
    </w:p>
    <w:p w14:paraId="4886D42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Giá bán lẻ điện do đơn vị bán lẻ điện xây dựng căn cứ chính sách giá điện, khung giá của mức giá bán lẻ điện bình quân, cơ chế điều chỉnh giá bán lẻ điện bình quân và cơ cấu biểu giá bán lẻ điện;</w:t>
      </w:r>
    </w:p>
    <w:p w14:paraId="0FCAC5B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Giá bán lẻ điện được quy định chi tiết cho từng nhóm khách hàng sử dụng điện phù hợp với tình hình kinh tế - xã hội từng thời kỳ và cấp độ thị trường điện</w:t>
      </w:r>
      <w:r>
        <w:rPr>
          <w:rFonts w:ascii="Arial" w:hAnsi="Arial" w:cs="Arial"/>
          <w:color w:val="000000"/>
          <w:sz w:val="20"/>
          <w:szCs w:val="20"/>
          <w:lang w:val="vi-VN"/>
        </w:rPr>
        <w:t xml:space="preserve"> cạnh tranh</w:t>
      </w:r>
      <w:r>
        <w:rPr>
          <w:rFonts w:ascii="Arial" w:hAnsi="Arial" w:cs="Arial"/>
          <w:color w:val="000000"/>
          <w:sz w:val="20"/>
          <w:szCs w:val="20"/>
        </w:rPr>
        <w:t>, bao gồm: sản xuất, kinh doanh, hành chính sự nghiệp, sinh hoạt. Giá bán lẻ điện theo thời gian sử dụng điện trong ngày được áp dụng đối với khách hàng sử dụng điện đủ điều kiện, bao gồm giá bán lẻ điện giờ cao điểm, thấp điểm và bình thường. Đối với nhóm khách hàng sử dụng điện phục vụ mục đích sinh hoạt, áp dụng giá bán lẻ điện sinh hoạt bậc thang tăng dần đối với khách hàng chưa đủ điều kiện tham gia hoặc không tham gia mua bán điện trên thị trường điện cạnh tranh.</w:t>
      </w:r>
    </w:p>
    <w:p w14:paraId="3AEC36C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Giá bán buôn điện theo hợp đồng mua buôn điện do các đơn vị điện lực thỏa thuận quy định tại điểm e khoản 12 Điều 5 của Luật này.</w:t>
      </w:r>
    </w:p>
    <w:p w14:paraId="172E1E0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3. Thẩm quyền xây dựng, trình, phê duyệt, quyết định giá điện được quy định như sau:</w:t>
      </w:r>
    </w:p>
    <w:p w14:paraId="55139A3E">
      <w:pPr>
        <w:widowControl w:val="0"/>
        <w:shd w:val="clear" w:color="auto" w:fill="FFFFFF"/>
        <w:tabs>
          <w:tab w:val="left" w:pos="567"/>
        </w:tabs>
        <w:spacing w:after="120"/>
        <w:ind w:firstLine="720"/>
        <w:jc w:val="both"/>
        <w:rPr>
          <w:rFonts w:ascii="Arial" w:hAnsi="Arial" w:cs="Arial"/>
          <w:color w:val="000000"/>
          <w:spacing w:val="-4"/>
          <w:sz w:val="20"/>
          <w:szCs w:val="20"/>
        </w:rPr>
      </w:pPr>
      <w:r>
        <w:rPr>
          <w:rFonts w:ascii="Arial" w:hAnsi="Arial" w:cs="Arial"/>
          <w:color w:val="000000"/>
          <w:spacing w:val="-4"/>
          <w:sz w:val="20"/>
          <w:szCs w:val="20"/>
        </w:rPr>
        <w:t xml:space="preserve">a) Chính phủ quy định cơ chế, thời gian điều chỉnh giá bán lẻ điện bình quân; </w:t>
      </w:r>
    </w:p>
    <w:p w14:paraId="2BE090F0">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b) Thủ tướng Chính phủ quy định về cơ cấu biểu giá bán lẻ điện và khung giá của mức giá bán lẻ điện bình quân; </w:t>
      </w:r>
    </w:p>
    <w:p w14:paraId="62638D9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Bộ Công Thương xây dựng, trình Chính phủ, Thủ tướng Chính phủ quy định nội dung tại điểm a và điểm b khoản này; trình Thủ tướng Chính phủ quyết định về giá bán điện ở nông thôn, miền núi, biên giới, hải đảo khu vực chưa nối lưới điện quốc gia, phù hợp với cấp độ thị trường điện cạnh tranh; lộ trình giảm bù chéo giá điện quy định tại khoản 12 Điều 5 của Luật này; lộ trình cải tiến cơ cấu biểu giá bán lẻ điện, bao gồm giá bán lẻ điện có nhiều thành phần mà trong đó có tối thiểu 02 thành phần như giá công suất, giá điện năng, </w:t>
      </w:r>
      <w:r>
        <w:rPr>
          <w:rFonts w:ascii="Arial" w:hAnsi="Arial" w:cs="Arial"/>
          <w:color w:val="000000"/>
          <w:spacing w:val="-1"/>
          <w:sz w:val="20"/>
          <w:szCs w:val="20"/>
        </w:rPr>
        <w:t>giá cố định, giá biến đổi hoặc thành phần giá khác (nếu có) được áp dụng cho các nhóm khách hàng khi điều kiện kỹ thuật cho phép; cơ chế giá điện phù hợp cho các nhóm khách hàng sử dụng điện quy định tại khoản 12 Điều 5 của Luật này;</w:t>
      </w:r>
    </w:p>
    <w:p w14:paraId="2F00D910">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d) Bộ trưởng Bộ Công Thương quy định phương pháp xác định giá bán buôn điện; phương pháp lập và trình tự, thủ tục phê duyệt khung giá bán buôn điện.</w:t>
      </w:r>
    </w:p>
    <w:p w14:paraId="4AC12987">
      <w:pPr>
        <w:pStyle w:val="7"/>
        <w:spacing w:before="0" w:after="120"/>
        <w:ind w:firstLine="720"/>
        <w:jc w:val="both"/>
        <w:rPr>
          <w:rFonts w:ascii="Arial" w:hAnsi="Arial" w:cs="Arial"/>
          <w:sz w:val="20"/>
          <w:szCs w:val="20"/>
        </w:rPr>
      </w:pPr>
      <w:r>
        <w:rPr>
          <w:rFonts w:ascii="Arial" w:hAnsi="Arial" w:cs="Arial"/>
          <w:sz w:val="20"/>
          <w:szCs w:val="20"/>
        </w:rPr>
        <w:t xml:space="preserve">Điều 56. Đo đếm điện </w:t>
      </w:r>
    </w:p>
    <w:p w14:paraId="1622CC9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Bên bán điện, đơn vị phát điện, truyền tải điện, phân phối điện có trách nhiệm đầu tư, lắp đặt và quản lý toàn bộ các thiết bị đo đếm điện, thiết bị phụ trợ cho việc đo đếm điện, hệ thống thu thập và quản lý số liệu đo đếm điện, trừ trường hợp các bên có thỏa thuận khác bảo đảm quyền lợi giữa các bên nhưng không trái với quy định của pháp luật.</w:t>
      </w:r>
    </w:p>
    <w:p w14:paraId="662702E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Thiết bị đo đếm điện phải bảo đảm yêu cầu kỹ thuật đo lường và được kiểm định, hiệu chuẩn, thử nghiệm theo quy định của pháp luật về đo lường.</w:t>
      </w:r>
    </w:p>
    <w:p w14:paraId="1D277DF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3. Vị trí lắp đặt công tơ đo đếm điện phải bảo đảm an toàn, mỹ quan, thuận lợi cho bên mua điện kiểm tra chỉ số đo điện năng và bên bán điện ghi chỉ số đo điện năng.</w:t>
      </w:r>
    </w:p>
    <w:p w14:paraId="2238EDFC">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4. Bên sở hữu thiết bị đo đếm điện có trách nhiệm tổ chức việc kiểm định, hiệu chuẩn, thử nghiệm thiết bị đo đếm điện theo đúng yêu cầu và thời hạn quy định của pháp luật về đo lường.</w:t>
      </w:r>
    </w:p>
    <w:p w14:paraId="0653563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5. Khi có nghi ngờ thiết bị đo đếm điện không chính xác, bên mua điện có quyền yêu cầu bên bán điện kiểm tra; bên bán điện có trách nhiệm thực hiện kiểm tra, sửa chữa hoặc thay thế; đối với trường hợp bán lẻ điện, bên bán điện phải hoàn thành kiểm tra, sửa chữa hoặc thay thế trong thời hạn 03 ngày kể từ ngày nhận được yêu cầu của bên mua điện. Trường hợp không đồng ý với kết quả kiểm tra, sửa chữa hoặc thay thế của bên bán điện, bên mua điện có quyền đề nghị cơ quan chuyên môn thuộc Ủy ban nhân dân cấp tỉnh về lĩnh vực điện lực tổ chức kiểm định.</w:t>
      </w:r>
      <w:r>
        <w:rPr>
          <w:rFonts w:ascii="Arial" w:hAnsi="Arial" w:cs="Arial"/>
          <w:color w:val="000000"/>
          <w:spacing w:val="-1"/>
          <w:sz w:val="20"/>
          <w:szCs w:val="20"/>
        </w:rPr>
        <w:t xml:space="preserve"> Trong thời hạn 15 ngày kể từ ngày nhận được đề nghị của bên mua điện, cơ quan chuyên môn thuộc Ủy ban nhân dân cấp tỉnh về lĩnh vực điện lực có trách nhiệm tổ chức việc kiểm định với tổ chức kiểm định độc lập. </w:t>
      </w:r>
    </w:p>
    <w:p w14:paraId="22F540F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6. Chi phí cho việc kiểm định thiết bị đo đếm điện quy định tại khoản 5 Điều này được thực hiện như sau: </w:t>
      </w:r>
    </w:p>
    <w:p w14:paraId="3B8DF70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Trường hợp tổ chức kiểm định độc lập xác định thiết bị đo đếm điện đạt yêu cầu kỹ thuật đo lường thì bên mua điện phải trả chi phí kiểm định;</w:t>
      </w:r>
    </w:p>
    <w:p w14:paraId="63F72EF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Trường hợp tổ chức kiểm định độc lập xác định thiết bị đo đếm điện không đạt yêu cầu kỹ thuật đo lường thì bên bán điện phải trả chi phí kiểm định, đồng thời thực hiện việc truy thu hoặc thoái hoàn điện năng theo hợp đồng mua bán điện đã ký và theo quy định của pháp luật.</w:t>
      </w:r>
    </w:p>
    <w:p w14:paraId="7FCE6D27">
      <w:pPr>
        <w:pStyle w:val="7"/>
        <w:spacing w:before="0" w:after="120"/>
        <w:ind w:firstLine="720"/>
        <w:jc w:val="both"/>
        <w:rPr>
          <w:rFonts w:ascii="Arial" w:hAnsi="Arial" w:cs="Arial"/>
          <w:sz w:val="20"/>
          <w:szCs w:val="20"/>
        </w:rPr>
      </w:pPr>
      <w:r>
        <w:rPr>
          <w:rFonts w:ascii="Arial" w:hAnsi="Arial" w:cs="Arial"/>
          <w:sz w:val="20"/>
          <w:szCs w:val="20"/>
        </w:rPr>
        <w:t xml:space="preserve">Điều 57. Bảo đảm chất lượng điện năng  </w:t>
      </w:r>
    </w:p>
    <w:p w14:paraId="7B270B7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1. Đơn vị phát điện, truyền tải điện, phân phối điện phải bảo đảm công suất, điện năng và thời gian cung cấp điện theo hợp đồng; điện áp, tần số theo yêu cầu kỹ thuật do Bộ trưởng Bộ Công Thương ban hành. Trường hợp không bảo đảm tiêu chuẩn điện áp, tần số, công suất, điện năng và thời gian cung cấp điện theo hợp đồng đã ký mà gây thiệt hại cho bên mua điện thì bên bán điện phải bồi thường cho bên mua điện theo quy định của pháp luật. </w:t>
      </w:r>
    </w:p>
    <w:p w14:paraId="58804BBA">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2. Bên mua điện có trách nhiệm bảo đảm các thiết bị sử dụng điện của mình hoạt động an toàn để không gây ra sự cố cho hệ thống điện, không làm ảnh hưởng đến chất lượng điện áp, tần số của lưới điện.</w:t>
      </w:r>
    </w:p>
    <w:p w14:paraId="4A18D2EF">
      <w:pPr>
        <w:pStyle w:val="7"/>
        <w:spacing w:before="0" w:after="120"/>
        <w:ind w:firstLine="720"/>
        <w:jc w:val="both"/>
        <w:rPr>
          <w:rFonts w:ascii="Arial" w:hAnsi="Arial" w:cs="Arial"/>
          <w:sz w:val="20"/>
          <w:szCs w:val="20"/>
        </w:rPr>
      </w:pPr>
      <w:r>
        <w:rPr>
          <w:rFonts w:ascii="Arial" w:hAnsi="Arial" w:cs="Arial"/>
          <w:sz w:val="20"/>
          <w:szCs w:val="20"/>
        </w:rPr>
        <w:t xml:space="preserve">Điều 63. Quyền và nghĩa vụ của đơn vị bán lẻ điện </w:t>
      </w:r>
    </w:p>
    <w:p w14:paraId="3DC582D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1. Đơn vị bán lẻ điện có các quyền sau đây: </w:t>
      </w:r>
    </w:p>
    <w:p w14:paraId="4E79173B">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Mua điện trực tiếp của bên bán điện theo hợp đồng mua bán điện;</w:t>
      </w:r>
    </w:p>
    <w:p w14:paraId="5D4963A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Cạnh tranh mua, bán điện trên thị trường điện cạnh tranh theo hợp đồng mua bán điện, hợp đồng kỳ hạn điện, hợp đồng quyền chọn mua điện hoặc bán điện, hợp đồng tương lai điện; định giá bán lẻ điện trên thị trường bán lẻ điện cạnh tranh theo quy định;</w:t>
      </w:r>
    </w:p>
    <w:p w14:paraId="367EFCD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c) Sử dụng dịch vụ truyền tải điện, phân phối điện, dịch vụ điều độ hệ thống điện và điều hành giao dịch thị trường điện phù hợp với từng cấp độ thị trường điện cạnh tranh;</w:t>
      </w:r>
    </w:p>
    <w:p w14:paraId="4BB872F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d) Được vào khu vực quản lý của bên mua điện để kiểm tra, ghi chỉ số đo điện năng và liên hệ với khách hàng; </w:t>
      </w:r>
    </w:p>
    <w:p w14:paraId="3204CBB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Được cung cấp thông tin cần thiết liên quan đến hoạt động bán lẻ điện;</w:t>
      </w:r>
    </w:p>
    <w:p w14:paraId="540A346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e) Quyền khác theo quy định của</w:t>
      </w:r>
      <w:r>
        <w:rPr>
          <w:rFonts w:ascii="Arial" w:hAnsi="Arial" w:cs="Arial"/>
          <w:color w:val="000000"/>
          <w:sz w:val="20"/>
          <w:szCs w:val="20"/>
          <w:lang w:val="vi-VN"/>
        </w:rPr>
        <w:t xml:space="preserve"> Luật này </w:t>
      </w:r>
      <w:r>
        <w:rPr>
          <w:rFonts w:ascii="Arial" w:hAnsi="Arial" w:cs="Arial"/>
          <w:color w:val="000000"/>
          <w:sz w:val="20"/>
          <w:szCs w:val="20"/>
        </w:rPr>
        <w:t>và quy định</w:t>
      </w:r>
      <w:r>
        <w:rPr>
          <w:rFonts w:ascii="Arial" w:hAnsi="Arial" w:cs="Arial"/>
          <w:color w:val="000000"/>
          <w:sz w:val="20"/>
          <w:szCs w:val="20"/>
          <w:lang w:val="vi-VN"/>
        </w:rPr>
        <w:t xml:space="preserve"> khác</w:t>
      </w:r>
      <w:r>
        <w:rPr>
          <w:rFonts w:ascii="Arial" w:hAnsi="Arial" w:cs="Arial"/>
          <w:color w:val="000000"/>
          <w:sz w:val="20"/>
          <w:szCs w:val="20"/>
        </w:rPr>
        <w:t xml:space="preserve"> của pháp luật</w:t>
      </w:r>
      <w:r>
        <w:rPr>
          <w:rFonts w:ascii="Arial" w:hAnsi="Arial" w:cs="Arial"/>
          <w:color w:val="000000"/>
          <w:sz w:val="20"/>
          <w:szCs w:val="20"/>
          <w:lang w:val="vi-VN"/>
        </w:rPr>
        <w:t xml:space="preserve"> </w:t>
      </w:r>
      <w:r>
        <w:rPr>
          <w:rFonts w:ascii="Arial" w:hAnsi="Arial" w:cs="Arial"/>
          <w:color w:val="000000"/>
          <w:sz w:val="20"/>
          <w:szCs w:val="20"/>
        </w:rPr>
        <w:t>có liên quan.</w:t>
      </w:r>
    </w:p>
    <w:p w14:paraId="11966FFC">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Đơn vị bán lẻ điện có các nghĩa vụ sau đây:</w:t>
      </w:r>
    </w:p>
    <w:p w14:paraId="1E93404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Bán điện theo đúng số lượng, chất lượng và giá điện đã được thỏa thuận trong hợp đồng;</w:t>
      </w:r>
    </w:p>
    <w:p w14:paraId="2D19C09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Bồi thường khi gây thiệt hại cho bên mua điện hoặc bên bán điện theo quy định của pháp luật;</w:t>
      </w:r>
    </w:p>
    <w:p w14:paraId="5D77C14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c) Cung cấp thông tin cần thiết liên quan đến lượng điện bán lẻ theo yêu cầu của cơ quan nhà nước có thẩm quyền;</w:t>
      </w:r>
    </w:p>
    <w:p w14:paraId="1AF9119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d) Kiểm tra việc thực hiện hợp đồng mua bán điện; </w:t>
      </w:r>
    </w:p>
    <w:p w14:paraId="4B540C4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Tuân thủ quy định về vận hành thị trường điện cạnh tranh, an toàn điện;</w:t>
      </w:r>
    </w:p>
    <w:p w14:paraId="28DC515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e) Nghĩa vụ</w:t>
      </w:r>
      <w:r>
        <w:rPr>
          <w:rFonts w:ascii="Arial" w:hAnsi="Arial" w:cs="Arial"/>
          <w:color w:val="000000"/>
          <w:sz w:val="20"/>
          <w:szCs w:val="20"/>
          <w:lang w:val="vi-VN"/>
        </w:rPr>
        <w:t xml:space="preserve"> khác</w:t>
      </w:r>
      <w:r>
        <w:rPr>
          <w:rFonts w:ascii="Arial" w:hAnsi="Arial" w:cs="Arial"/>
          <w:color w:val="000000"/>
          <w:sz w:val="20"/>
          <w:szCs w:val="20"/>
        </w:rPr>
        <w:t xml:space="preserve"> theo quy định của Luật này và quy định khác của pháp luật có liên quan.</w:t>
      </w:r>
    </w:p>
    <w:p w14:paraId="0D033C0F">
      <w:pPr>
        <w:pStyle w:val="7"/>
        <w:spacing w:before="0" w:after="120"/>
        <w:ind w:firstLine="720"/>
        <w:jc w:val="both"/>
        <w:rPr>
          <w:rFonts w:ascii="Arial" w:hAnsi="Arial" w:cs="Arial"/>
          <w:sz w:val="20"/>
          <w:szCs w:val="20"/>
        </w:rPr>
      </w:pPr>
      <w:r>
        <w:rPr>
          <w:rFonts w:ascii="Arial" w:hAnsi="Arial" w:cs="Arial"/>
          <w:sz w:val="20"/>
          <w:szCs w:val="20"/>
        </w:rPr>
        <w:t xml:space="preserve">Điều 66. Quyền và nghĩa vụ của khách hàng sử dụng điện </w:t>
      </w:r>
    </w:p>
    <w:p w14:paraId="29EEEB6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Khách hàng sử dụng điện có các quyền sau đây:</w:t>
      </w:r>
    </w:p>
    <w:p w14:paraId="4A1FB9E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Được cung cấp đủ số lượng công suất, điện năng, bảo đảm chất lượng điện đã được thỏa thuận trong hợp đồng;</w:t>
      </w:r>
    </w:p>
    <w:p w14:paraId="588D9AE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Yêu cầu bên bán điện kịp thời khôi phục việc cấp điện sau khi mất điện;</w:t>
      </w:r>
    </w:p>
    <w:p w14:paraId="2B94043C">
      <w:pPr>
        <w:widowControl w:val="0"/>
        <w:shd w:val="clear" w:color="auto" w:fill="FFFFFF"/>
        <w:tabs>
          <w:tab w:val="left" w:pos="567"/>
        </w:tabs>
        <w:spacing w:after="120"/>
        <w:ind w:firstLine="720"/>
        <w:jc w:val="both"/>
        <w:rPr>
          <w:rFonts w:ascii="Arial" w:hAnsi="Arial" w:cs="Arial"/>
          <w:color w:val="000000"/>
          <w:spacing w:val="-6"/>
          <w:sz w:val="20"/>
          <w:szCs w:val="20"/>
        </w:rPr>
      </w:pPr>
      <w:r>
        <w:rPr>
          <w:rFonts w:ascii="Arial" w:hAnsi="Arial" w:cs="Arial"/>
          <w:color w:val="000000"/>
          <w:spacing w:val="-6"/>
          <w:sz w:val="20"/>
          <w:szCs w:val="20"/>
        </w:rPr>
        <w:t>c) Được bồi thường thiệt hại do bên bán điện gây ra theo quy định của pháp luật;</w:t>
      </w:r>
    </w:p>
    <w:p w14:paraId="4632032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Yêu cầu bên bán điện kiểm tra chất lượng dịch vụ điện, tính chính xác của thiết bị đo đếm điện, số tiền điện phải thanh toán;</w:t>
      </w:r>
    </w:p>
    <w:p w14:paraId="5BC98C0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Được cung cấp thông tin cần thiết liên quan đến dịch vụ bán lẻ điện và hướng dẫn về an toàn điện;</w:t>
      </w:r>
    </w:p>
    <w:p w14:paraId="26A63AD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e) Được lựa chọn bên bán điện trong thị trường bán lẻ điện cạnh tranh;</w:t>
      </w:r>
    </w:p>
    <w:p w14:paraId="7AECF36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g) Quyền khác theo quy định của Luật này và quy định khác của pháp luật có liên quan.</w:t>
      </w:r>
    </w:p>
    <w:p w14:paraId="61053A40">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Khách hàng sử dụng điện có các nghĩa vụ sau đây:</w:t>
      </w:r>
    </w:p>
    <w:p w14:paraId="2D037A3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Thanh toán tiền điện đầy đủ, đúng thời hạn và thực hiện các thỏa thuận khác trong hợp đồng mua bán điện;</w:t>
      </w:r>
    </w:p>
    <w:p w14:paraId="2E8A940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b) Sử dụng điện an toàn, tiết kiệm và hiệu quả; thực hiện các quy định, chương trình về quản lý nhu cầu điện để bảo đảm hệ thống điện vận hành an toàn, liên tục; </w:t>
      </w:r>
    </w:p>
    <w:p w14:paraId="7A402BE4">
      <w:pPr>
        <w:widowControl w:val="0"/>
        <w:shd w:val="clear" w:color="auto" w:fill="FFFFFF"/>
        <w:tabs>
          <w:tab w:val="left" w:pos="567"/>
        </w:tabs>
        <w:spacing w:after="120"/>
        <w:ind w:firstLine="720"/>
        <w:jc w:val="both"/>
        <w:rPr>
          <w:rFonts w:ascii="Arial" w:hAnsi="Arial" w:cs="Arial"/>
          <w:color w:val="000000"/>
          <w:spacing w:val="-4"/>
          <w:sz w:val="20"/>
          <w:szCs w:val="20"/>
        </w:rPr>
      </w:pPr>
      <w:r>
        <w:rPr>
          <w:rFonts w:ascii="Arial" w:hAnsi="Arial" w:cs="Arial"/>
          <w:color w:val="000000"/>
          <w:spacing w:val="-4"/>
          <w:sz w:val="20"/>
          <w:szCs w:val="20"/>
        </w:rPr>
        <w:t>c) Sử dụng dịch vụ truyền tải điện, phân phối điện, điều độ hệ thống điện, điều hành giao dịch thị trường điện phù hợp với từng cấp độ thị trường điện cạnh tranh;</w:t>
      </w:r>
    </w:p>
    <w:p w14:paraId="67563D4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Sử dụng điện đúng đối tượng và mục đích theo quy định tại hợp đồng mua bán điện;</w:t>
      </w:r>
    </w:p>
    <w:p w14:paraId="72051BD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Thông báo kịp thời cho bên bán điện khi phát hiện những hiện tượng bất thường có thể gây mất điện, mất an toàn cho người và tài sản;</w:t>
      </w:r>
    </w:p>
    <w:p w14:paraId="2A322D2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e) Tạo điều kiện để bên bán điện, đơn vị truyền tải điện, đơn vị phân phối điện kiểm tra, sửa chữa, ghi chỉ số đo điện năng, bảo dưỡng, sửa chữa, lắp đặt và thay thế hệ thống đo đếm điện, trang thiết bị điện của đơn vị truyền tải điện, đơn vị phân phối điện và liên hệ với khách hàng;</w:t>
      </w:r>
    </w:p>
    <w:p w14:paraId="5A9B49E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g) Đầu tư đường dây dẫn điện sau công tơ đến nơi sử dụng điện, trừ trường hợp quy định tại khoản 2 Điều 17 của Luật này; thiết kế hệ thống điện trong công trình thuộc phạm vi quản lý đáp ứng tiêu chuẩn, quy chuẩn kỹ thuật theo quy định của pháp luật;</w:t>
      </w:r>
    </w:p>
    <w:p w14:paraId="519982C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h) Bảo đảm các trang thiết bị sử dụng điện đáp ứng các yêu cầu kỹ thuật và yêu cầu về an toàn điện, an toàn phòng cháy, chữa cháy;</w:t>
      </w:r>
    </w:p>
    <w:p w14:paraId="656D61A6">
      <w:pPr>
        <w:widowControl w:val="0"/>
        <w:shd w:val="clear" w:color="auto" w:fill="FFFFFF"/>
        <w:tabs>
          <w:tab w:val="left" w:pos="567"/>
        </w:tabs>
        <w:spacing w:after="120"/>
        <w:ind w:firstLine="720"/>
        <w:jc w:val="both"/>
        <w:rPr>
          <w:rFonts w:ascii="Arial" w:hAnsi="Arial" w:cs="Arial"/>
          <w:color w:val="000000"/>
          <w:spacing w:val="-4"/>
          <w:sz w:val="20"/>
          <w:szCs w:val="20"/>
        </w:rPr>
      </w:pPr>
      <w:r>
        <w:rPr>
          <w:rFonts w:ascii="Arial" w:hAnsi="Arial" w:cs="Arial"/>
          <w:color w:val="000000"/>
          <w:spacing w:val="-4"/>
          <w:sz w:val="20"/>
          <w:szCs w:val="20"/>
        </w:rPr>
        <w:t>i) Bồi thường khi gây thiệt hại cho bên bán điện theo quy định của pháp luật;</w:t>
      </w:r>
    </w:p>
    <w:p w14:paraId="6338D01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k) Bảo vệ công tơ điện đặt trong phạm vi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
    <w:p w14:paraId="24FCA730">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l) Nghĩa vụ khác theo quy định của Luật này và quy định khác của pháp luật có liên quan. </w:t>
      </w:r>
    </w:p>
    <w:p w14:paraId="57F5760C">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3. Khách hàng sử dụng điện lớn có các quyền sau đây:</w:t>
      </w:r>
    </w:p>
    <w:p w14:paraId="366DA41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Quyền quy định tại khoản 1 Điều này và được sử dụng dịch vụ truyền tải điện, phân phối điện theo quy định tại hợp đồng ký với đơn vị truyền tải điện, phân phối điện;</w:t>
      </w:r>
    </w:p>
    <w:p w14:paraId="6A6E7FA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Khi tham gia thị trường điện cạnh tranh, có quyền mua điện trực tiếp từ đơn vị phát điện thông qua hợp đồng mua bán điện, hợp đồng kỳ hạn điện, hợp đồng quyền chọn mua điện hoặc bán điện, hợp đồng tương lai điện và mua điện giao ngay trên thị trường điện cạnh tranh.</w:t>
      </w:r>
    </w:p>
    <w:p w14:paraId="39DCC2EC">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4. Khách hàng sử dụng điện lớn có các nghĩa vụ sau đây: </w:t>
      </w:r>
    </w:p>
    <w:p w14:paraId="7AB8798E">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Nghĩa vụ quy định tại khoản 2 Điều này;</w:t>
      </w:r>
    </w:p>
    <w:p w14:paraId="541A6D00">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b) Thực hiện chế độ sử dụng điện theo yêu cầu của cấp điều độ có quyền điều khiển, biện pháp bảo đảm yêu cầu chất lượng điện năng, an toàn điện và nội dung khác đã được thỏa thuận trong hợp đồng mua bán điện, hợp đồng ký với đơn vị truyền tải điện, phân phối điện.</w:t>
      </w:r>
    </w:p>
    <w:p w14:paraId="28C12A5D">
      <w:pPr>
        <w:pStyle w:val="7"/>
        <w:spacing w:before="0" w:after="120"/>
        <w:ind w:firstLine="720"/>
        <w:jc w:val="both"/>
        <w:rPr>
          <w:rFonts w:ascii="Arial" w:hAnsi="Arial" w:cs="Arial"/>
          <w:sz w:val="20"/>
          <w:szCs w:val="20"/>
        </w:rPr>
      </w:pPr>
      <w:r>
        <w:rPr>
          <w:rFonts w:ascii="Arial" w:hAnsi="Arial" w:cs="Arial"/>
          <w:sz w:val="20"/>
          <w:szCs w:val="20"/>
        </w:rPr>
        <w:t xml:space="preserve">Điều 74. An toàn trong sử dụng điện cho mục đích sinh hoạt, dịch vụ </w:t>
      </w:r>
    </w:p>
    <w:p w14:paraId="7EA0D82A">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1. Cơ quan, tổ chức, cá nhân sử dụng điện cho mục đích sinh hoạt, dịch vụ có trách nhiệm sau đây:</w:t>
      </w:r>
    </w:p>
    <w:p w14:paraId="2A34BAD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Thiết kế, lắp đặt dây dẫn, thiết bị đóng cắt và thiết bị điện trong nhà ở, công trình phục vụ sinh hoạt, dịch vụ phải bảo đảm chất lượng, an toàn điện, an toàn phòng cháy, chữa cháy, tiêu chuẩn, quy chuẩn kỹ thuật về công trình xây dựng theo quy định của pháp luật và phù hợp với tổng nhu cầu sử dụng điện năng của người sử dụng;</w:t>
      </w:r>
    </w:p>
    <w:p w14:paraId="6D8669A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b) Lắp đặt đường dây dẫn điện từ công tơ đo đếm điện đến nhà ở, công trình, khu vực sử dụng điện bảo đảm chất lượng, an toàn và không gây cản trở đến hoạt động giao thông vận tải; </w:t>
      </w:r>
    </w:p>
    <w:p w14:paraId="300EC93D">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Cung cấp thông tin về hệ thống điện trong nhà ở, công trình và nhu cầu sử dụng điện năng khi ký hợp đồng mua bán điện; </w:t>
      </w:r>
    </w:p>
    <w:p w14:paraId="560E1EC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Bảo</w:t>
      </w:r>
      <w:r>
        <w:rPr>
          <w:rFonts w:ascii="Arial" w:hAnsi="Arial" w:cs="Arial"/>
          <w:color w:val="000000"/>
          <w:sz w:val="20"/>
          <w:szCs w:val="20"/>
          <w:lang w:val="vi-VN"/>
        </w:rPr>
        <w:t xml:space="preserve"> đảm </w:t>
      </w:r>
      <w:r>
        <w:rPr>
          <w:rFonts w:ascii="Arial" w:hAnsi="Arial" w:cs="Arial"/>
          <w:color w:val="000000"/>
          <w:sz w:val="20"/>
          <w:szCs w:val="20"/>
        </w:rPr>
        <w:t>an toàn đối với hệ thống điện trong nhà ở, công trình do mình sở hữu hoặc quản lý, sử dụng. Thường xuyên kiểm tra, kịp thời sửa chữa, thay thế dây dẫn, thiết bị điện không bảo đảm chất lượng. Khi xảy ra sự cố điện phải có biện pháp ngăn ngừa nguy cơ gây cháy lan sang đồ vật, trang thiết bị khác trong nhà ở, công trình và kịp thời thông báo cho đơn vị bán điện và cơ quan chức năng tại địa phương;</w:t>
      </w:r>
    </w:p>
    <w:p w14:paraId="7A7C2FEF">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đ) Phối hợp với cơ quan chức năng trong việc kiểm tra an toàn trong sử dụng điện.</w:t>
      </w:r>
    </w:p>
    <w:p w14:paraId="4B6362D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Đơn vị bán điện có trách nhiệm sau đây:</w:t>
      </w:r>
    </w:p>
    <w:p w14:paraId="679845F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Hướng dẫn việc lắp đặt, sử dụng hệ thống, thiết bị điện để bảo đảm an toàn; cung cấp cho khách hàng sử dụng điện thông tin về nguy cơ gây mất an toàn trong sử dụng điện và biện pháp bảo đảm an toàn điện;</w:t>
      </w:r>
    </w:p>
    <w:p w14:paraId="5E40841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Ứng dụng công nghệ số trong việc thông tin cho khách hàng sử dụng điện về nguy cơ mất an toàn điện trong quá trình sử dụng điện;</w:t>
      </w:r>
    </w:p>
    <w:p w14:paraId="72493BC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c) Định kỳ tổ chức các hoạt động tuyên truyền, phổ biến, hướng dẫn, nâng cao nhận thức cho khách hàng sử dụng điện an toàn;</w:t>
      </w:r>
    </w:p>
    <w:p w14:paraId="617B2D1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Khi có yêu cầu của cơ quan có thẩm quyền thì đơn vị bán điện có trách nhiệm phối hợp kiểm tra an toàn hệ thống điện của khách hàng sử dụng điện, trường hợp phát hiện có nguy cơ mất an toàn phải kịp thời có biện pháp ngăn chặn hoặc ngừng cung cấp điện theo quy định của pháp luật.</w:t>
      </w:r>
    </w:p>
    <w:p w14:paraId="34066B9D">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3. Chính phủ quy định chi tiết Điều này.</w:t>
      </w:r>
    </w:p>
    <w:p w14:paraId="04E5BF44">
      <w:pPr>
        <w:widowControl w:val="0"/>
        <w:shd w:val="clear" w:color="auto" w:fill="FFFFFF"/>
        <w:tabs>
          <w:tab w:val="left" w:pos="567"/>
        </w:tabs>
        <w:ind w:firstLine="720"/>
        <w:jc w:val="both"/>
        <w:rPr>
          <w:rFonts w:ascii="Arial" w:hAnsi="Arial" w:cs="Arial"/>
          <w:color w:val="000000"/>
          <w:sz w:val="20"/>
          <w:szCs w:val="20"/>
        </w:rPr>
      </w:pPr>
    </w:p>
    <w:bookmarkEnd w:id="3"/>
    <w:p w14:paraId="4F8D27D4">
      <w:pPr>
        <w:spacing w:after="120"/>
        <w:ind w:firstLine="720"/>
        <w:jc w:val="both"/>
        <w:rPr>
          <w:rFonts w:ascii="Arial" w:hAnsi="Arial" w:cs="Arial"/>
          <w:sz w:val="20"/>
          <w:szCs w:val="20"/>
        </w:rPr>
      </w:pPr>
      <w:bookmarkStart w:id="4" w:name="_GoBack"/>
      <w:bookmarkEnd w:id="4"/>
    </w:p>
    <w:sectPr>
      <w:headerReference r:id="rId5" w:type="even"/>
      <w:pgSz w:w="11907" w:h="16840"/>
      <w:pgMar w:top="1440" w:right="1440" w:bottom="1440" w:left="1440" w:header="0" w:footer="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DengXian">
    <w:altName w:val="SimSun"/>
    <w:panose1 w:val="02010600030101010101"/>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VnTime">
    <w:altName w:val="Segoe Print"/>
    <w:panose1 w:val="020B72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TimesNewRomanPSMT">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3D4FD">
    <w:pPr>
      <w:pStyle w:val="20"/>
      <w:framePr w:wrap="around" w:vAnchor="text" w:hAnchor="margin" w:xAlign="center" w:y="1"/>
      <w:rPr>
        <w:rStyle w:val="24"/>
      </w:rPr>
    </w:pPr>
    <w:r>
      <w:rPr>
        <w:rStyle w:val="24"/>
      </w:rPr>
      <w:fldChar w:fldCharType="begin"/>
    </w:r>
    <w:r>
      <w:rPr>
        <w:rStyle w:val="24"/>
      </w:rPr>
      <w:instrText xml:space="preserve">PAGE  </w:instrText>
    </w:r>
    <w:r>
      <w:rPr>
        <w:rStyle w:val="24"/>
      </w:rPr>
      <w:fldChar w:fldCharType="end"/>
    </w:r>
  </w:p>
  <w:p w14:paraId="61398D0B">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878AE"/>
    <w:multiLevelType w:val="multilevel"/>
    <w:tmpl w:val="026878AE"/>
    <w:lvl w:ilvl="0" w:tentative="0">
      <w:start w:val="0"/>
      <w:numFmt w:val="bullet"/>
      <w:lvlText w:val="+"/>
      <w:lvlJc w:val="left"/>
      <w:pPr>
        <w:tabs>
          <w:tab w:val="left" w:pos="8714"/>
        </w:tabs>
        <w:ind w:left="8714" w:hanging="360"/>
      </w:pPr>
      <w:rPr>
        <w:rFonts w:hint="default" w:ascii="Times New Roman" w:hAnsi="Times New Roman" w:eastAsia="Times New Roman" w:cs="Times New Roman"/>
      </w:rPr>
    </w:lvl>
    <w:lvl w:ilvl="1" w:tentative="0">
      <w:start w:val="1"/>
      <w:numFmt w:val="lowerRoman"/>
      <w:pStyle w:val="22"/>
      <w:lvlText w:val="%2."/>
      <w:lvlJc w:val="left"/>
      <w:pPr>
        <w:tabs>
          <w:tab w:val="left" w:pos="8408"/>
        </w:tabs>
        <w:ind w:left="8408" w:hanging="576"/>
      </w:pPr>
      <w:rPr>
        <w:rFonts w:hint="default"/>
      </w:rPr>
    </w:lvl>
    <w:lvl w:ilvl="2" w:tentative="0">
      <w:start w:val="1"/>
      <w:numFmt w:val="bullet"/>
      <w:lvlText w:val=""/>
      <w:lvlJc w:val="left"/>
      <w:pPr>
        <w:tabs>
          <w:tab w:val="left" w:pos="8912"/>
        </w:tabs>
        <w:ind w:left="8912" w:hanging="360"/>
      </w:pPr>
      <w:rPr>
        <w:rFonts w:hint="default" w:ascii="Wingdings" w:hAnsi="Wingdings"/>
      </w:rPr>
    </w:lvl>
    <w:lvl w:ilvl="3" w:tentative="0">
      <w:start w:val="1"/>
      <w:numFmt w:val="bullet"/>
      <w:lvlText w:val=""/>
      <w:lvlJc w:val="left"/>
      <w:pPr>
        <w:tabs>
          <w:tab w:val="left" w:pos="9632"/>
        </w:tabs>
        <w:ind w:left="9632" w:hanging="360"/>
      </w:pPr>
      <w:rPr>
        <w:rFonts w:hint="default" w:ascii="Symbol" w:hAnsi="Symbol"/>
      </w:rPr>
    </w:lvl>
    <w:lvl w:ilvl="4" w:tentative="0">
      <w:start w:val="1"/>
      <w:numFmt w:val="bullet"/>
      <w:lvlText w:val="o"/>
      <w:lvlJc w:val="left"/>
      <w:pPr>
        <w:tabs>
          <w:tab w:val="left" w:pos="10352"/>
        </w:tabs>
        <w:ind w:left="10352" w:hanging="360"/>
      </w:pPr>
      <w:rPr>
        <w:rFonts w:hint="default" w:ascii="Courier New" w:hAnsi="Courier New" w:cs="Courier New"/>
      </w:rPr>
    </w:lvl>
    <w:lvl w:ilvl="5" w:tentative="0">
      <w:start w:val="1"/>
      <w:numFmt w:val="bullet"/>
      <w:lvlText w:val=""/>
      <w:lvlJc w:val="left"/>
      <w:pPr>
        <w:tabs>
          <w:tab w:val="left" w:pos="11072"/>
        </w:tabs>
        <w:ind w:left="11072" w:hanging="360"/>
      </w:pPr>
      <w:rPr>
        <w:rFonts w:hint="default" w:ascii="Wingdings" w:hAnsi="Wingdings"/>
      </w:rPr>
    </w:lvl>
    <w:lvl w:ilvl="6" w:tentative="0">
      <w:start w:val="1"/>
      <w:numFmt w:val="bullet"/>
      <w:lvlText w:val=""/>
      <w:lvlJc w:val="left"/>
      <w:pPr>
        <w:tabs>
          <w:tab w:val="left" w:pos="11792"/>
        </w:tabs>
        <w:ind w:left="11792" w:hanging="360"/>
      </w:pPr>
      <w:rPr>
        <w:rFonts w:hint="default" w:ascii="Symbol" w:hAnsi="Symbol"/>
      </w:rPr>
    </w:lvl>
    <w:lvl w:ilvl="7" w:tentative="0">
      <w:start w:val="1"/>
      <w:numFmt w:val="bullet"/>
      <w:lvlText w:val="o"/>
      <w:lvlJc w:val="left"/>
      <w:pPr>
        <w:tabs>
          <w:tab w:val="left" w:pos="12512"/>
        </w:tabs>
        <w:ind w:left="12512" w:hanging="360"/>
      </w:pPr>
      <w:rPr>
        <w:rFonts w:hint="default" w:ascii="Courier New" w:hAnsi="Courier New" w:cs="Courier New"/>
      </w:rPr>
    </w:lvl>
    <w:lvl w:ilvl="8" w:tentative="0">
      <w:start w:val="1"/>
      <w:numFmt w:val="bullet"/>
      <w:lvlText w:val=""/>
      <w:lvlJc w:val="left"/>
      <w:pPr>
        <w:tabs>
          <w:tab w:val="left" w:pos="13232"/>
        </w:tabs>
        <w:ind w:left="13232" w:hanging="360"/>
      </w:pPr>
      <w:rPr>
        <w:rFonts w:hint="default" w:ascii="Wingdings" w:hAnsi="Wingdings"/>
      </w:rPr>
    </w:lvl>
  </w:abstractNum>
  <w:abstractNum w:abstractNumId="1">
    <w:nsid w:val="46FA21AF"/>
    <w:multiLevelType w:val="multilevel"/>
    <w:tmpl w:val="46FA21AF"/>
    <w:lvl w:ilvl="0" w:tentative="0">
      <w:start w:val="1"/>
      <w:numFmt w:val="decimal"/>
      <w:pStyle w:val="47"/>
      <w:lvlText w:val="%1)"/>
      <w:lvlJc w:val="left"/>
      <w:pPr>
        <w:tabs>
          <w:tab w:val="left" w:pos="360"/>
        </w:tabs>
        <w:ind w:left="360" w:hanging="360"/>
      </w:pPr>
      <w:rPr>
        <w:rFonts w:hint="default"/>
        <w:b/>
        <w:i/>
        <w:color w:val="auto"/>
        <w:sz w:val="24"/>
      </w:rPr>
    </w:lvl>
    <w:lvl w:ilvl="1" w:tentative="0">
      <w:start w:val="1"/>
      <w:numFmt w:val="lowerLetter"/>
      <w:lvlText w:val="%2)"/>
      <w:lvlJc w:val="left"/>
      <w:pPr>
        <w:tabs>
          <w:tab w:val="left" w:pos="720"/>
        </w:tabs>
        <w:ind w:left="0" w:firstLine="539"/>
      </w:pPr>
      <w:rPr>
        <w:rFonts w:hint="default"/>
      </w:rPr>
    </w:lvl>
    <w:lvl w:ilvl="2" w:tentative="0">
      <w:start w:val="1"/>
      <w:numFmt w:val="lowerRoman"/>
      <w:lvlText w:val="%3)"/>
      <w:lvlJc w:val="left"/>
      <w:pPr>
        <w:tabs>
          <w:tab w:val="left" w:pos="1080"/>
        </w:tabs>
        <w:ind w:left="1080" w:hanging="360"/>
      </w:pPr>
      <w:rPr>
        <w:rFonts w:hint="default"/>
      </w:rPr>
    </w:lvl>
    <w:lvl w:ilvl="3" w:tentative="0">
      <w:start w:val="1"/>
      <w:numFmt w:val="decimal"/>
      <w:lvlText w:val="(%4)"/>
      <w:lvlJc w:val="left"/>
      <w:pPr>
        <w:tabs>
          <w:tab w:val="left" w:pos="144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2">
    <w:nsid w:val="61C0479C"/>
    <w:multiLevelType w:val="multilevel"/>
    <w:tmpl w:val="61C0479C"/>
    <w:lvl w:ilvl="0" w:tentative="0">
      <w:start w:val="1"/>
      <w:numFmt w:val="upperRoman"/>
      <w:pStyle w:val="2"/>
      <w:suff w:val="nothing"/>
      <w:lvlText w:val="Chương %1"/>
      <w:lvlJc w:val="left"/>
      <w:pPr>
        <w:ind w:left="0" w:firstLine="0"/>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1" w:tentative="0">
      <w:start w:val="1"/>
      <w:numFmt w:val="decimal"/>
      <w:pStyle w:val="3"/>
      <w:suff w:val="space"/>
      <w:lvlText w:val="Mục %2"/>
      <w:lvlJc w:val="left"/>
      <w:pPr>
        <w:ind w:left="0" w:firstLine="0"/>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2" w:tentative="0">
      <w:start w:val="1"/>
      <w:numFmt w:val="decimal"/>
      <w:lvlRestart w:val="0"/>
      <w:pStyle w:val="4"/>
      <w:suff w:val="space"/>
      <w:lvlText w:val="Điều %3."/>
      <w:lvlJc w:val="left"/>
      <w:pPr>
        <w:ind w:left="0" w:firstLine="562"/>
      </w:pPr>
      <w:rPr>
        <w:rFonts w:hint="default"/>
      </w:rPr>
    </w:lvl>
    <w:lvl w:ilvl="3" w:tentative="0">
      <w:start w:val="1"/>
      <w:numFmt w:val="decimal"/>
      <w:pStyle w:val="5"/>
      <w:suff w:val="space"/>
      <w:lvlText w:val="%4."/>
      <w:lvlJc w:val="left"/>
      <w:pPr>
        <w:ind w:left="289" w:firstLine="562"/>
      </w:pPr>
      <w:rPr>
        <w:rFonts w:hint="default"/>
        <w:b w:val="0"/>
        <w:i w:val="0"/>
        <w:iCs/>
        <w:strike w:val="0"/>
        <w:sz w:val="28"/>
        <w:szCs w:val="28"/>
      </w:rPr>
    </w:lvl>
    <w:lvl w:ilvl="4" w:tentative="0">
      <w:start w:val="1"/>
      <w:numFmt w:val="decimal"/>
      <w:pStyle w:val="6"/>
      <w:suff w:val="space"/>
      <w:lvlText w:val="%5."/>
      <w:lvlJc w:val="left"/>
      <w:pPr>
        <w:ind w:left="0" w:firstLine="562"/>
      </w:pPr>
      <w:rPr>
        <w:rFonts w:ascii="Times New Roman" w:hAnsi="Times New Roman" w:eastAsia="SimSun" w:cs="Times New Roman"/>
        <w:b w:val="0"/>
        <w:bCs w:val="0"/>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358"/>
    <w:rsid w:val="000551A3"/>
    <w:rsid w:val="00197D9F"/>
    <w:rsid w:val="001C5A78"/>
    <w:rsid w:val="00254E44"/>
    <w:rsid w:val="002751D7"/>
    <w:rsid w:val="002A22E8"/>
    <w:rsid w:val="004C685D"/>
    <w:rsid w:val="006C649B"/>
    <w:rsid w:val="007F1BF1"/>
    <w:rsid w:val="007F25FD"/>
    <w:rsid w:val="009B5EA6"/>
    <w:rsid w:val="009E43CA"/>
    <w:rsid w:val="00A119B0"/>
    <w:rsid w:val="00B95F8B"/>
    <w:rsid w:val="00BC6ADE"/>
    <w:rsid w:val="00C062AB"/>
    <w:rsid w:val="00C54E6F"/>
    <w:rsid w:val="00D21F1B"/>
    <w:rsid w:val="00DC3335"/>
    <w:rsid w:val="00E00358"/>
    <w:rsid w:val="00F25C43"/>
    <w:rsid w:val="5EB76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nhideWhenUsed="0" w:uiPriority="99" w:semiHidden="0" w:name="annotation text"/>
    <w:lsdException w:qFormat="1" w:unhideWhenUsed="0" w:uiPriority="0" w:semiHidden="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SimSun" w:cs="Times New Roman"/>
      <w:sz w:val="24"/>
      <w:szCs w:val="24"/>
      <w:lang w:val="en-US" w:eastAsia="en-US" w:bidi="ar-SA"/>
    </w:rPr>
  </w:style>
  <w:style w:type="paragraph" w:styleId="2">
    <w:name w:val="heading 1"/>
    <w:basedOn w:val="1"/>
    <w:next w:val="1"/>
    <w:link w:val="27"/>
    <w:qFormat/>
    <w:uiPriority w:val="0"/>
    <w:pPr>
      <w:widowControl w:val="0"/>
      <w:numPr>
        <w:ilvl w:val="0"/>
        <w:numId w:val="1"/>
      </w:numPr>
      <w:tabs>
        <w:tab w:val="left" w:pos="1701"/>
      </w:tabs>
      <w:adjustRightInd w:val="0"/>
      <w:snapToGrid w:val="0"/>
      <w:spacing w:before="120" w:after="120"/>
      <w:jc w:val="center"/>
      <w:outlineLvl w:val="0"/>
    </w:pPr>
    <w:rPr>
      <w:b/>
      <w:bCs/>
      <w:kern w:val="32"/>
      <w:sz w:val="28"/>
      <w:szCs w:val="28"/>
      <w:lang w:val="vi-VN"/>
    </w:rPr>
  </w:style>
  <w:style w:type="paragraph" w:styleId="3">
    <w:name w:val="heading 2"/>
    <w:basedOn w:val="1"/>
    <w:next w:val="1"/>
    <w:link w:val="28"/>
    <w:qFormat/>
    <w:uiPriority w:val="0"/>
    <w:pPr>
      <w:widowControl w:val="0"/>
      <w:numPr>
        <w:ilvl w:val="1"/>
        <w:numId w:val="1"/>
      </w:numPr>
      <w:adjustRightInd w:val="0"/>
      <w:snapToGrid w:val="0"/>
      <w:spacing w:before="120" w:after="120"/>
      <w:jc w:val="center"/>
      <w:outlineLvl w:val="1"/>
    </w:pPr>
    <w:rPr>
      <w:rFonts w:eastAsia="Times New Roman"/>
      <w:b/>
      <w:bCs/>
      <w:sz w:val="28"/>
      <w:szCs w:val="28"/>
      <w:lang w:val="pt-BR"/>
    </w:rPr>
  </w:style>
  <w:style w:type="paragraph" w:styleId="4">
    <w:name w:val="heading 3"/>
    <w:basedOn w:val="1"/>
    <w:next w:val="1"/>
    <w:link w:val="29"/>
    <w:qFormat/>
    <w:uiPriority w:val="0"/>
    <w:pPr>
      <w:widowControl w:val="0"/>
      <w:numPr>
        <w:ilvl w:val="2"/>
        <w:numId w:val="1"/>
      </w:numPr>
      <w:spacing w:before="120" w:after="120"/>
      <w:jc w:val="both"/>
      <w:outlineLvl w:val="2"/>
    </w:pPr>
    <w:rPr>
      <w:rFonts w:eastAsia="Times New Roman"/>
      <w:b/>
      <w:bCs/>
      <w:sz w:val="28"/>
      <w:szCs w:val="26"/>
    </w:rPr>
  </w:style>
  <w:style w:type="paragraph" w:styleId="5">
    <w:name w:val="heading 4"/>
    <w:basedOn w:val="1"/>
    <w:next w:val="1"/>
    <w:link w:val="30"/>
    <w:qFormat/>
    <w:uiPriority w:val="0"/>
    <w:pPr>
      <w:widowControl w:val="0"/>
      <w:numPr>
        <w:ilvl w:val="3"/>
        <w:numId w:val="1"/>
      </w:numPr>
      <w:spacing w:before="120" w:after="120"/>
      <w:jc w:val="both"/>
      <w:outlineLvl w:val="3"/>
    </w:pPr>
    <w:rPr>
      <w:rFonts w:eastAsia="Times New Roman"/>
      <w:sz w:val="28"/>
      <w:szCs w:val="28"/>
      <w:shd w:val="clear" w:color="auto" w:fill="FFFFFF"/>
      <w:lang w:val="vi-VN"/>
    </w:rPr>
  </w:style>
  <w:style w:type="paragraph" w:styleId="6">
    <w:name w:val="heading 5"/>
    <w:basedOn w:val="1"/>
    <w:next w:val="1"/>
    <w:link w:val="31"/>
    <w:qFormat/>
    <w:uiPriority w:val="0"/>
    <w:pPr>
      <w:widowControl w:val="0"/>
      <w:numPr>
        <w:ilvl w:val="4"/>
        <w:numId w:val="1"/>
      </w:numPr>
      <w:spacing w:before="120" w:after="120"/>
      <w:jc w:val="both"/>
      <w:outlineLvl w:val="4"/>
    </w:pPr>
    <w:rPr>
      <w:rFonts w:eastAsia="Times New Roman"/>
      <w:sz w:val="28"/>
      <w:szCs w:val="28"/>
      <w:lang w:val="vi-VN"/>
    </w:rPr>
  </w:style>
  <w:style w:type="paragraph" w:styleId="7">
    <w:name w:val="heading 6"/>
    <w:basedOn w:val="1"/>
    <w:next w:val="1"/>
    <w:link w:val="32"/>
    <w:unhideWhenUsed/>
    <w:qFormat/>
    <w:uiPriority w:val="0"/>
    <w:pPr>
      <w:spacing w:before="240" w:after="60"/>
      <w:outlineLvl w:val="5"/>
    </w:pPr>
    <w:rPr>
      <w:rFonts w:ascii="Calibri" w:hAnsi="Calibri" w:eastAsia="DengXian"/>
      <w:b/>
      <w:bCs/>
      <w:sz w:val="22"/>
      <w:szCs w:val="22"/>
    </w:rPr>
  </w:style>
  <w:style w:type="paragraph" w:styleId="8">
    <w:name w:val="heading 7"/>
    <w:basedOn w:val="1"/>
    <w:next w:val="1"/>
    <w:link w:val="33"/>
    <w:unhideWhenUsed/>
    <w:qFormat/>
    <w:uiPriority w:val="0"/>
    <w:pPr>
      <w:spacing w:before="240" w:after="60"/>
      <w:outlineLvl w:val="6"/>
    </w:pPr>
    <w:rPr>
      <w:rFonts w:ascii="Calibri" w:hAnsi="Calibri" w:eastAsia="DengXian"/>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alloon Text"/>
    <w:basedOn w:val="1"/>
    <w:link w:val="57"/>
    <w:uiPriority w:val="0"/>
    <w:rPr>
      <w:rFonts w:ascii="Segoe UI" w:hAnsi="Segoe UI" w:cs="Segoe UI"/>
      <w:sz w:val="18"/>
      <w:szCs w:val="18"/>
    </w:rPr>
  </w:style>
  <w:style w:type="character" w:styleId="12">
    <w:name w:val="annotation reference"/>
    <w:qFormat/>
    <w:uiPriority w:val="99"/>
    <w:rPr>
      <w:sz w:val="16"/>
      <w:szCs w:val="16"/>
    </w:rPr>
  </w:style>
  <w:style w:type="paragraph" w:styleId="13">
    <w:name w:val="annotation text"/>
    <w:basedOn w:val="1"/>
    <w:link w:val="34"/>
    <w:uiPriority w:val="99"/>
    <w:rPr>
      <w:sz w:val="20"/>
      <w:szCs w:val="20"/>
    </w:rPr>
  </w:style>
  <w:style w:type="paragraph" w:styleId="14">
    <w:name w:val="annotation subject"/>
    <w:basedOn w:val="13"/>
    <w:next w:val="13"/>
    <w:link w:val="35"/>
    <w:qFormat/>
    <w:uiPriority w:val="99"/>
    <w:rPr>
      <w:b/>
      <w:bCs/>
    </w:rPr>
  </w:style>
  <w:style w:type="character" w:styleId="15">
    <w:name w:val="FollowedHyperlink"/>
    <w:uiPriority w:val="0"/>
    <w:rPr>
      <w:color w:val="954F72"/>
      <w:u w:val="single"/>
    </w:rPr>
  </w:style>
  <w:style w:type="paragraph" w:styleId="16">
    <w:name w:val="footer"/>
    <w:basedOn w:val="1"/>
    <w:link w:val="36"/>
    <w:semiHidden/>
    <w:qFormat/>
    <w:uiPriority w:val="0"/>
    <w:pPr>
      <w:tabs>
        <w:tab w:val="center" w:pos="4320"/>
        <w:tab w:val="right" w:pos="8640"/>
      </w:tabs>
    </w:pPr>
    <w:rPr>
      <w:rFonts w:ascii=".VnTime" w:hAnsi=".VnTime" w:eastAsia=".VnTime" w:cs=".VnTime"/>
      <w:sz w:val="28"/>
      <w:szCs w:val="28"/>
    </w:rPr>
  </w:style>
  <w:style w:type="character" w:styleId="17">
    <w:name w:val="footnote reference"/>
    <w:link w:val="18"/>
    <w:qFormat/>
    <w:uiPriority w:val="0"/>
    <w:rPr>
      <w:vertAlign w:val="superscript"/>
    </w:rPr>
  </w:style>
  <w:style w:type="paragraph" w:customStyle="1" w:styleId="18">
    <w:name w:val="Ref Char"/>
    <w:basedOn w:val="1"/>
    <w:link w:val="17"/>
    <w:qFormat/>
    <w:uiPriority w:val="0"/>
    <w:pPr>
      <w:spacing w:after="160" w:line="240" w:lineRule="exact"/>
    </w:pPr>
    <w:rPr>
      <w:rFonts w:asciiTheme="minorHAnsi" w:hAnsiTheme="minorHAnsi" w:eastAsiaTheme="minorHAnsi" w:cstheme="minorBidi"/>
      <w:sz w:val="22"/>
      <w:szCs w:val="22"/>
      <w:vertAlign w:val="superscript"/>
    </w:rPr>
  </w:style>
  <w:style w:type="paragraph" w:styleId="19">
    <w:name w:val="footnote text"/>
    <w:basedOn w:val="1"/>
    <w:link w:val="37"/>
    <w:qFormat/>
    <w:uiPriority w:val="99"/>
    <w:rPr>
      <w:sz w:val="20"/>
      <w:szCs w:val="20"/>
    </w:rPr>
  </w:style>
  <w:style w:type="paragraph" w:styleId="20">
    <w:name w:val="header"/>
    <w:basedOn w:val="1"/>
    <w:link w:val="38"/>
    <w:qFormat/>
    <w:uiPriority w:val="0"/>
    <w:pPr>
      <w:tabs>
        <w:tab w:val="center" w:pos="4320"/>
        <w:tab w:val="right" w:pos="8640"/>
      </w:tabs>
    </w:pPr>
  </w:style>
  <w:style w:type="character" w:styleId="21">
    <w:name w:val="Hyperlink"/>
    <w:qFormat/>
    <w:uiPriority w:val="0"/>
    <w:rPr>
      <w:color w:val="0563C1"/>
      <w:u w:val="single"/>
    </w:rPr>
  </w:style>
  <w:style w:type="paragraph" w:styleId="22">
    <w:name w:val="List Number 3"/>
    <w:basedOn w:val="1"/>
    <w:qFormat/>
    <w:uiPriority w:val="0"/>
    <w:pPr>
      <w:numPr>
        <w:ilvl w:val="1"/>
        <w:numId w:val="2"/>
      </w:numPr>
      <w:spacing w:after="120" w:line="300" w:lineRule="auto"/>
      <w:jc w:val="both"/>
    </w:pPr>
    <w:rPr>
      <w:rFonts w:eastAsia="MS Mincho"/>
      <w:sz w:val="28"/>
      <w:szCs w:val="20"/>
    </w:rPr>
  </w:style>
  <w:style w:type="paragraph" w:styleId="23">
    <w:name w:val="Normal (Web)"/>
    <w:basedOn w:val="1"/>
    <w:link w:val="39"/>
    <w:unhideWhenUsed/>
    <w:qFormat/>
    <w:uiPriority w:val="99"/>
    <w:pPr>
      <w:spacing w:before="100" w:beforeAutospacing="1" w:after="100" w:afterAutospacing="1"/>
    </w:pPr>
  </w:style>
  <w:style w:type="character" w:styleId="24">
    <w:name w:val="page number"/>
    <w:semiHidden/>
    <w:qFormat/>
    <w:uiPriority w:val="0"/>
    <w:rPr>
      <w:rFonts w:cs=".VnTime"/>
    </w:rPr>
  </w:style>
  <w:style w:type="paragraph" w:styleId="25">
    <w:name w:val="Subtitle"/>
    <w:basedOn w:val="1"/>
    <w:link w:val="40"/>
    <w:qFormat/>
    <w:uiPriority w:val="0"/>
    <w:pPr>
      <w:spacing w:before="100" w:beforeAutospacing="1" w:after="100" w:afterAutospacing="1"/>
    </w:pPr>
    <w:rPr>
      <w:color w:val="000000"/>
    </w:rPr>
  </w:style>
  <w:style w:type="table" w:styleId="26">
    <w:name w:val="Table Grid"/>
    <w:basedOn w:val="10"/>
    <w:qFormat/>
    <w:uiPriority w:val="0"/>
    <w:pPr>
      <w:spacing w:after="0" w:line="240" w:lineRule="auto"/>
    </w:pPr>
    <w:rPr>
      <w:rFonts w:ascii="Times New Roman" w:hAnsi="Times New Roman" w:eastAsia="SimSun" w:cs="Times New Roman"/>
      <w:sz w:val="20"/>
      <w:szCs w:val="20"/>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Heading 1 Char"/>
    <w:basedOn w:val="9"/>
    <w:link w:val="2"/>
    <w:qFormat/>
    <w:uiPriority w:val="0"/>
    <w:rPr>
      <w:rFonts w:ascii="Times New Roman" w:hAnsi="Times New Roman" w:eastAsia="SimSun" w:cs="Times New Roman"/>
      <w:b/>
      <w:bCs/>
      <w:kern w:val="32"/>
      <w:sz w:val="28"/>
      <w:szCs w:val="28"/>
      <w:lang w:val="vi-VN"/>
    </w:rPr>
  </w:style>
  <w:style w:type="character" w:customStyle="1" w:styleId="28">
    <w:name w:val="Heading 2 Char"/>
    <w:basedOn w:val="9"/>
    <w:link w:val="3"/>
    <w:uiPriority w:val="0"/>
    <w:rPr>
      <w:rFonts w:ascii="Times New Roman" w:hAnsi="Times New Roman" w:eastAsia="Times New Roman" w:cs="Times New Roman"/>
      <w:b/>
      <w:bCs/>
      <w:sz w:val="28"/>
      <w:szCs w:val="28"/>
      <w:lang w:val="pt-BR"/>
    </w:rPr>
  </w:style>
  <w:style w:type="character" w:customStyle="1" w:styleId="29">
    <w:name w:val="Heading 3 Char"/>
    <w:basedOn w:val="9"/>
    <w:link w:val="4"/>
    <w:qFormat/>
    <w:uiPriority w:val="0"/>
    <w:rPr>
      <w:rFonts w:ascii="Times New Roman" w:hAnsi="Times New Roman" w:eastAsia="Times New Roman" w:cs="Times New Roman"/>
      <w:b/>
      <w:bCs/>
      <w:sz w:val="28"/>
      <w:szCs w:val="26"/>
    </w:rPr>
  </w:style>
  <w:style w:type="character" w:customStyle="1" w:styleId="30">
    <w:name w:val="Heading 4 Char"/>
    <w:basedOn w:val="9"/>
    <w:link w:val="5"/>
    <w:qFormat/>
    <w:uiPriority w:val="0"/>
    <w:rPr>
      <w:rFonts w:ascii="Times New Roman" w:hAnsi="Times New Roman" w:eastAsia="Times New Roman" w:cs="Times New Roman"/>
      <w:sz w:val="28"/>
      <w:szCs w:val="28"/>
      <w:lang w:val="vi-VN"/>
    </w:rPr>
  </w:style>
  <w:style w:type="character" w:customStyle="1" w:styleId="31">
    <w:name w:val="Heading 5 Char"/>
    <w:basedOn w:val="9"/>
    <w:link w:val="6"/>
    <w:uiPriority w:val="0"/>
    <w:rPr>
      <w:rFonts w:ascii="Times New Roman" w:hAnsi="Times New Roman" w:eastAsia="Times New Roman" w:cs="Times New Roman"/>
      <w:sz w:val="28"/>
      <w:szCs w:val="28"/>
      <w:lang w:val="vi-VN"/>
    </w:rPr>
  </w:style>
  <w:style w:type="character" w:customStyle="1" w:styleId="32">
    <w:name w:val="Heading 6 Char"/>
    <w:basedOn w:val="9"/>
    <w:link w:val="7"/>
    <w:qFormat/>
    <w:uiPriority w:val="0"/>
    <w:rPr>
      <w:rFonts w:ascii="Calibri" w:hAnsi="Calibri" w:eastAsia="DengXian" w:cs="Times New Roman"/>
      <w:b/>
      <w:bCs/>
    </w:rPr>
  </w:style>
  <w:style w:type="character" w:customStyle="1" w:styleId="33">
    <w:name w:val="Heading 7 Char"/>
    <w:basedOn w:val="9"/>
    <w:link w:val="8"/>
    <w:uiPriority w:val="0"/>
    <w:rPr>
      <w:rFonts w:ascii="Calibri" w:hAnsi="Calibri" w:eastAsia="DengXian" w:cs="Times New Roman"/>
      <w:sz w:val="24"/>
      <w:szCs w:val="24"/>
    </w:rPr>
  </w:style>
  <w:style w:type="character" w:customStyle="1" w:styleId="34">
    <w:name w:val="Comment Text Char"/>
    <w:basedOn w:val="9"/>
    <w:link w:val="13"/>
    <w:qFormat/>
    <w:uiPriority w:val="99"/>
    <w:rPr>
      <w:rFonts w:ascii="Times New Roman" w:hAnsi="Times New Roman" w:eastAsia="SimSun" w:cs="Times New Roman"/>
      <w:sz w:val="20"/>
      <w:szCs w:val="20"/>
    </w:rPr>
  </w:style>
  <w:style w:type="character" w:customStyle="1" w:styleId="35">
    <w:name w:val="Comment Subject Char"/>
    <w:basedOn w:val="34"/>
    <w:link w:val="14"/>
    <w:uiPriority w:val="99"/>
    <w:rPr>
      <w:rFonts w:ascii="Times New Roman" w:hAnsi="Times New Roman" w:eastAsia="SimSun" w:cs="Times New Roman"/>
      <w:b/>
      <w:bCs/>
      <w:sz w:val="20"/>
      <w:szCs w:val="20"/>
    </w:rPr>
  </w:style>
  <w:style w:type="character" w:customStyle="1" w:styleId="36">
    <w:name w:val="Footer Char"/>
    <w:basedOn w:val="9"/>
    <w:link w:val="16"/>
    <w:semiHidden/>
    <w:qFormat/>
    <w:uiPriority w:val="0"/>
    <w:rPr>
      <w:rFonts w:ascii=".VnTime" w:hAnsi=".VnTime" w:eastAsia=".VnTime" w:cs=".VnTime"/>
      <w:sz w:val="28"/>
      <w:szCs w:val="28"/>
    </w:rPr>
  </w:style>
  <w:style w:type="character" w:customStyle="1" w:styleId="37">
    <w:name w:val="Footnote Text Char"/>
    <w:basedOn w:val="9"/>
    <w:link w:val="19"/>
    <w:qFormat/>
    <w:uiPriority w:val="99"/>
    <w:rPr>
      <w:rFonts w:ascii="Times New Roman" w:hAnsi="Times New Roman" w:eastAsia="SimSun" w:cs="Times New Roman"/>
      <w:sz w:val="20"/>
      <w:szCs w:val="20"/>
    </w:rPr>
  </w:style>
  <w:style w:type="character" w:customStyle="1" w:styleId="38">
    <w:name w:val="Header Char"/>
    <w:basedOn w:val="9"/>
    <w:link w:val="20"/>
    <w:qFormat/>
    <w:uiPriority w:val="0"/>
    <w:rPr>
      <w:rFonts w:ascii="Times New Roman" w:hAnsi="Times New Roman" w:eastAsia="SimSun" w:cs="Times New Roman"/>
      <w:sz w:val="24"/>
      <w:szCs w:val="24"/>
    </w:rPr>
  </w:style>
  <w:style w:type="character" w:customStyle="1" w:styleId="39">
    <w:name w:val="Normal (Web) Char"/>
    <w:link w:val="23"/>
    <w:qFormat/>
    <w:uiPriority w:val="99"/>
    <w:rPr>
      <w:rFonts w:ascii="Times New Roman" w:hAnsi="Times New Roman" w:eastAsia="SimSun" w:cs="Times New Roman"/>
      <w:sz w:val="24"/>
      <w:szCs w:val="24"/>
    </w:rPr>
  </w:style>
  <w:style w:type="character" w:customStyle="1" w:styleId="40">
    <w:name w:val="Subtitle Char"/>
    <w:basedOn w:val="9"/>
    <w:link w:val="25"/>
    <w:qFormat/>
    <w:uiPriority w:val="0"/>
    <w:rPr>
      <w:rFonts w:ascii="Times New Roman" w:hAnsi="Times New Roman" w:eastAsia="SimSun" w:cs="Times New Roman"/>
      <w:color w:val="000000"/>
      <w:sz w:val="24"/>
      <w:szCs w:val="24"/>
    </w:rPr>
  </w:style>
  <w:style w:type="paragraph" w:customStyle="1" w:styleId="41">
    <w:name w:val="Revision"/>
    <w:semiHidden/>
    <w:qFormat/>
    <w:uiPriority w:val="99"/>
    <w:pPr>
      <w:spacing w:after="0" w:line="240" w:lineRule="auto"/>
    </w:pPr>
    <w:rPr>
      <w:rFonts w:ascii="Times New Roman" w:hAnsi="Times New Roman" w:eastAsia="SimSun" w:cs="Times New Roman"/>
      <w:sz w:val="24"/>
      <w:szCs w:val="24"/>
      <w:lang w:val="en-US" w:eastAsia="en-US" w:bidi="ar-SA"/>
    </w:rPr>
  </w:style>
  <w:style w:type="paragraph" w:styleId="42">
    <w:name w:val="List Paragraph"/>
    <w:basedOn w:val="1"/>
    <w:qFormat/>
    <w:uiPriority w:val="34"/>
    <w:pPr>
      <w:ind w:left="720"/>
    </w:pPr>
  </w:style>
  <w:style w:type="character" w:customStyle="1" w:styleId="43">
    <w:name w:val="Đề cập Chưa giải quyết"/>
    <w:unhideWhenUsed/>
    <w:qFormat/>
    <w:uiPriority w:val="99"/>
    <w:rPr>
      <w:color w:val="605E5C"/>
      <w:shd w:val="clear" w:color="auto" w:fill="E1DFDD"/>
    </w:rPr>
  </w:style>
  <w:style w:type="paragraph" w:customStyle="1" w:styleId="44">
    <w:name w:val="Char Char1 Char Char Char Char1 Char Char Char Char Char Char Char Char"/>
    <w:basedOn w:val="1"/>
    <w:next w:val="1"/>
    <w:qFormat/>
    <w:uiPriority w:val="0"/>
    <w:pPr>
      <w:spacing w:after="160" w:line="240" w:lineRule="exact"/>
    </w:pPr>
    <w:rPr>
      <w:rFonts w:ascii="Arial" w:hAnsi="Arial" w:eastAsia="Arial"/>
      <w:sz w:val="20"/>
      <w:szCs w:val="20"/>
      <w:vertAlign w:val="superscript"/>
    </w:rPr>
  </w:style>
  <w:style w:type="paragraph" w:customStyle="1" w:styleId="45">
    <w:name w:val="Style1"/>
    <w:basedOn w:val="1"/>
    <w:link w:val="46"/>
    <w:qFormat/>
    <w:uiPriority w:val="0"/>
    <w:pPr>
      <w:widowControl w:val="0"/>
      <w:spacing w:before="120" w:after="120"/>
      <w:jc w:val="center"/>
    </w:pPr>
    <w:rPr>
      <w:b/>
      <w:sz w:val="28"/>
      <w:szCs w:val="28"/>
    </w:rPr>
  </w:style>
  <w:style w:type="character" w:customStyle="1" w:styleId="46">
    <w:name w:val="Style1 Char"/>
    <w:link w:val="45"/>
    <w:qFormat/>
    <w:uiPriority w:val="0"/>
    <w:rPr>
      <w:rFonts w:ascii="Times New Roman" w:hAnsi="Times New Roman" w:eastAsia="SimSun" w:cs="Times New Roman"/>
      <w:b/>
      <w:sz w:val="28"/>
      <w:szCs w:val="28"/>
    </w:rPr>
  </w:style>
  <w:style w:type="paragraph" w:customStyle="1" w:styleId="47">
    <w:name w:val="Numbered List"/>
    <w:basedOn w:val="1"/>
    <w:qFormat/>
    <w:uiPriority w:val="0"/>
    <w:pPr>
      <w:numPr>
        <w:ilvl w:val="0"/>
        <w:numId w:val="3"/>
      </w:numPr>
      <w:spacing w:before="120" w:after="60"/>
    </w:pPr>
    <w:rPr>
      <w:rFonts w:eastAsia="MS Mincho"/>
    </w:rPr>
  </w:style>
  <w:style w:type="character" w:customStyle="1" w:styleId="48">
    <w:name w:val="Unresolved Mention1"/>
    <w:unhideWhenUsed/>
    <w:qFormat/>
    <w:uiPriority w:val="99"/>
    <w:rPr>
      <w:color w:val="605E5C"/>
      <w:shd w:val="clear" w:color="auto" w:fill="E1DFDD"/>
    </w:rPr>
  </w:style>
  <w:style w:type="paragraph" w:customStyle="1" w:styleId="49">
    <w:name w:val="Nội dung A"/>
    <w:qFormat/>
    <w:uiPriority w:val="0"/>
    <w:pPr>
      <w:spacing w:before="120" w:after="120" w:line="264" w:lineRule="auto"/>
      <w:ind w:firstLine="567"/>
      <w:jc w:val="both"/>
    </w:pPr>
    <w:rPr>
      <w:rFonts w:ascii="Calibri" w:hAnsi="Calibri" w:eastAsia="Calibri" w:cs="Calibri"/>
      <w:color w:val="000000"/>
      <w:sz w:val="22"/>
      <w:szCs w:val="22"/>
      <w:u w:color="000000"/>
      <w:lang w:val="en-US" w:eastAsia="en-US" w:bidi="ar-SA"/>
    </w:rPr>
  </w:style>
  <w:style w:type="character" w:customStyle="1" w:styleId="50">
    <w:name w:val="normaltextrun"/>
    <w:qFormat/>
    <w:uiPriority w:val="0"/>
  </w:style>
  <w:style w:type="paragraph" w:customStyle="1" w:styleId="51">
    <w:name w:val="1Normal"/>
    <w:basedOn w:val="1"/>
    <w:link w:val="52"/>
    <w:qFormat/>
    <w:uiPriority w:val="0"/>
    <w:pPr>
      <w:widowControl w:val="0"/>
      <w:spacing w:before="120" w:after="120"/>
      <w:ind w:firstLine="709"/>
      <w:jc w:val="both"/>
    </w:pPr>
    <w:rPr>
      <w:color w:val="000000"/>
      <w:sz w:val="28"/>
      <w:szCs w:val="28"/>
      <w:shd w:val="clear" w:color="auto" w:fill="FFFFFF"/>
      <w:lang w:val="vi-VN"/>
    </w:rPr>
  </w:style>
  <w:style w:type="character" w:customStyle="1" w:styleId="52">
    <w:name w:val="1Normal Char"/>
    <w:link w:val="51"/>
    <w:qFormat/>
    <w:uiPriority w:val="0"/>
    <w:rPr>
      <w:rFonts w:ascii="Times New Roman" w:hAnsi="Times New Roman" w:eastAsia="SimSun" w:cs="Times New Roman"/>
      <w:color w:val="000000"/>
      <w:sz w:val="28"/>
      <w:szCs w:val="28"/>
      <w:lang w:val="vi-VN"/>
    </w:rPr>
  </w:style>
  <w:style w:type="character" w:customStyle="1" w:styleId="53">
    <w:name w:val="Điều Char"/>
    <w:link w:val="54"/>
    <w:qFormat/>
    <w:locked/>
    <w:uiPriority w:val="0"/>
    <w:rPr>
      <w:b/>
      <w:bCs/>
      <w:sz w:val="28"/>
      <w:szCs w:val="28"/>
    </w:rPr>
  </w:style>
  <w:style w:type="paragraph" w:customStyle="1" w:styleId="54">
    <w:name w:val="Điều"/>
    <w:basedOn w:val="1"/>
    <w:link w:val="53"/>
    <w:qFormat/>
    <w:uiPriority w:val="0"/>
    <w:pPr>
      <w:tabs>
        <w:tab w:val="left" w:pos="360"/>
      </w:tabs>
      <w:spacing w:before="120" w:after="120"/>
      <w:jc w:val="both"/>
    </w:pPr>
    <w:rPr>
      <w:rFonts w:asciiTheme="minorHAnsi" w:hAnsiTheme="minorHAnsi" w:eastAsiaTheme="minorHAnsi" w:cstheme="minorBidi"/>
      <w:b/>
      <w:bCs/>
      <w:sz w:val="28"/>
      <w:szCs w:val="28"/>
    </w:rPr>
  </w:style>
  <w:style w:type="character" w:customStyle="1" w:styleId="55">
    <w:name w:val="fontstyle01"/>
    <w:qFormat/>
    <w:uiPriority w:val="0"/>
    <w:rPr>
      <w:rFonts w:hint="default" w:ascii="TimesNewRomanPSMT" w:hAnsi="TimesNewRomanPSMT"/>
      <w:color w:val="000000"/>
      <w:sz w:val="28"/>
      <w:szCs w:val="28"/>
    </w:rPr>
  </w:style>
  <w:style w:type="character" w:customStyle="1" w:styleId="56">
    <w:name w:val="Unresolved Mention2"/>
    <w:unhideWhenUsed/>
    <w:qFormat/>
    <w:uiPriority w:val="99"/>
    <w:rPr>
      <w:color w:val="605E5C"/>
      <w:shd w:val="clear" w:color="auto" w:fill="E1DFDD"/>
    </w:rPr>
  </w:style>
  <w:style w:type="character" w:customStyle="1" w:styleId="57">
    <w:name w:val="Balloon Text Char"/>
    <w:basedOn w:val="9"/>
    <w:link w:val="11"/>
    <w:uiPriority w:val="0"/>
    <w:rPr>
      <w:rFonts w:ascii="Segoe UI" w:hAnsi="Segoe UI" w:eastAsia="SimSun" w:cs="Segoe UI"/>
      <w:sz w:val="18"/>
      <w:szCs w:val="18"/>
    </w:rPr>
  </w:style>
  <w:style w:type="paragraph" w:customStyle="1" w:styleId="58">
    <w:name w:val="Style2"/>
    <w:basedOn w:val="1"/>
    <w:link w:val="59"/>
    <w:qFormat/>
    <w:uiPriority w:val="0"/>
    <w:pPr>
      <w:widowControl w:val="0"/>
      <w:shd w:val="clear" w:color="auto" w:fill="FFFFFF"/>
      <w:tabs>
        <w:tab w:val="left" w:pos="567"/>
      </w:tabs>
      <w:spacing w:before="120" w:after="120"/>
      <w:ind w:firstLine="567"/>
      <w:jc w:val="both"/>
    </w:pPr>
    <w:rPr>
      <w:b/>
      <w:color w:val="000000"/>
      <w:sz w:val="28"/>
      <w:szCs w:val="28"/>
    </w:rPr>
  </w:style>
  <w:style w:type="character" w:customStyle="1" w:styleId="59">
    <w:name w:val="Style2 Char"/>
    <w:link w:val="58"/>
    <w:qFormat/>
    <w:uiPriority w:val="0"/>
    <w:rPr>
      <w:rFonts w:ascii="Times New Roman" w:hAnsi="Times New Roman" w:eastAsia="SimSun" w:cs="Times New Roman"/>
      <w:b/>
      <w:color w:val="000000"/>
      <w:sz w:val="28"/>
      <w:szCs w:val="28"/>
      <w:shd w:val="clear" w:color="auto" w:fill="FFFFFF"/>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36275</Words>
  <Characters>128033</Characters>
  <Lines>1169</Lines>
  <Paragraphs>329</Paragraphs>
  <TotalTime>4</TotalTime>
  <ScaleCrop>false</ScaleCrop>
  <LinksUpToDate>false</LinksUpToDate>
  <CharactersWithSpaces>163439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2024-12-23T07:32:00Z</dcterms:created>
  <dc:creator>LVN_2019_hp03</dc:creator>
  <cp:lastModifiedBy>Phúc Châu</cp:lastModifiedBy>
  <dcterms:modified xsi:type="dcterms:W3CDTF">2026-09-26T09:24:37Z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27B89F986CF14890BFF107E5A972CC78_12</vt:lpwstr>
  </property>
</Properties>
</file>