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5"/>
      </w:tblGrid>
      <w:tr w14:paraId="31E3527F">
        <w:tblPrEx>
          <w:tblCellMar>
            <w:top w:w="0" w:type="dxa"/>
            <w:left w:w="0" w:type="dxa"/>
            <w:bottom w:w="0" w:type="dxa"/>
            <w:right w:w="0" w:type="dxa"/>
          </w:tblCellMar>
        </w:tblPrEx>
        <w:trPr>
          <w:trHeight w:val="920" w:hRule="atLeast"/>
        </w:trPr>
        <w:tc>
          <w:tcPr>
            <w:tcW w:w="1800" w:type="pct"/>
            <w:tcMar>
              <w:top w:w="0" w:type="dxa"/>
              <w:left w:w="108" w:type="dxa"/>
              <w:bottom w:w="0" w:type="dxa"/>
              <w:right w:w="108" w:type="dxa"/>
            </w:tcMar>
          </w:tcPr>
          <w:p w14:paraId="2DC092EC">
            <w:pPr>
              <w:adjustRightInd w:val="0"/>
              <w:snapToGrid w:val="0"/>
              <w:spacing w:after="0" w:line="240" w:lineRule="auto"/>
              <w:jc w:val="center"/>
              <w:rPr>
                <w:rFonts w:ascii="Arial" w:hAnsi="Arial" w:cs="Arial"/>
                <w:color w:val="000000"/>
                <w:sz w:val="20"/>
                <w:szCs w:val="20"/>
              </w:rPr>
            </w:pPr>
            <w:r>
              <w:rPr>
                <w:rFonts w:ascii="Arial" w:hAnsi="Arial" w:cs="Arial"/>
                <w:b/>
                <w:bCs/>
                <w:color w:val="000000"/>
                <w:sz w:val="20"/>
                <w:szCs w:val="20"/>
              </w:rPr>
              <w:t>CHÍNH PHỦ</w:t>
            </w:r>
            <w:r>
              <w:rPr>
                <w:rFonts w:ascii="Arial" w:hAnsi="Arial" w:cs="Arial"/>
                <w:b/>
                <w:bCs/>
                <w:color w:val="000000"/>
                <w:sz w:val="20"/>
                <w:szCs w:val="20"/>
              </w:rPr>
              <w:br w:type="textWrapping"/>
            </w:r>
            <w:r>
              <w:rPr>
                <w:rFonts w:ascii="Arial" w:hAnsi="Arial" w:cs="Arial"/>
                <w:bCs/>
                <w:color w:val="000000"/>
                <w:sz w:val="20"/>
                <w:szCs w:val="20"/>
                <w:vertAlign w:val="superscript"/>
              </w:rPr>
              <w:t>__________</w:t>
            </w:r>
          </w:p>
          <w:p w14:paraId="4FD12C85">
            <w:pPr>
              <w:adjustRightInd w:val="0"/>
              <w:snapToGrid w:val="0"/>
              <w:spacing w:after="0" w:line="240" w:lineRule="auto"/>
              <w:jc w:val="center"/>
              <w:rPr>
                <w:rFonts w:ascii="Arial" w:hAnsi="Arial" w:cs="Arial"/>
                <w:color w:val="000000"/>
                <w:sz w:val="20"/>
                <w:szCs w:val="20"/>
              </w:rPr>
            </w:pPr>
            <w:r>
              <w:rPr>
                <w:rFonts w:ascii="Arial" w:hAnsi="Arial" w:cs="Arial"/>
                <w:color w:val="000000"/>
                <w:sz w:val="20"/>
                <w:szCs w:val="20"/>
              </w:rPr>
              <w:t>Số: 330/2026/NĐ-CP</w:t>
            </w:r>
          </w:p>
        </w:tc>
        <w:tc>
          <w:tcPr>
            <w:tcW w:w="3200" w:type="pct"/>
            <w:tcMar>
              <w:top w:w="0" w:type="dxa"/>
              <w:left w:w="108" w:type="dxa"/>
              <w:bottom w:w="0" w:type="dxa"/>
              <w:right w:w="108" w:type="dxa"/>
            </w:tcMar>
          </w:tcPr>
          <w:p w14:paraId="26A5BA6B">
            <w:pPr>
              <w:adjustRightInd w:val="0"/>
              <w:snapToGrid w:val="0"/>
              <w:spacing w:after="0" w:line="240" w:lineRule="auto"/>
              <w:jc w:val="center"/>
              <w:rPr>
                <w:rFonts w:ascii="Arial" w:hAnsi="Arial" w:cs="Arial"/>
                <w:color w:val="000000"/>
                <w:sz w:val="20"/>
                <w:szCs w:val="20"/>
                <w:vertAlign w:val="superscript"/>
              </w:rPr>
            </w:pPr>
            <w:bookmarkStart w:id="0" w:name="_Hlk225157734"/>
            <w:r>
              <w:rPr>
                <w:rFonts w:ascii="Arial" w:hAnsi="Arial" w:cs="Arial"/>
                <w:b/>
                <w:bCs/>
                <w:color w:val="000000"/>
                <w:sz w:val="20"/>
                <w:szCs w:val="20"/>
              </w:rPr>
              <w:t>CỘNG HÒA XÃ HỘI CHỦ NGHĨA VIỆT NAM</w:t>
            </w:r>
            <w:r>
              <w:rPr>
                <w:rFonts w:ascii="Arial" w:hAnsi="Arial" w:cs="Arial"/>
                <w:b/>
                <w:bCs/>
                <w:color w:val="000000"/>
                <w:sz w:val="20"/>
                <w:szCs w:val="20"/>
              </w:rPr>
              <w:br w:type="textWrapping"/>
            </w:r>
            <w:r>
              <w:rPr>
                <w:rFonts w:ascii="Arial" w:hAnsi="Arial" w:cs="Arial"/>
                <w:b/>
                <w:bCs/>
                <w:color w:val="000000"/>
                <w:sz w:val="20"/>
                <w:szCs w:val="20"/>
              </w:rPr>
              <w:t xml:space="preserve">Độc lập - Tự do - Hạnh phúc </w:t>
            </w:r>
            <w:r>
              <w:rPr>
                <w:rFonts w:ascii="Arial" w:hAnsi="Arial" w:cs="Arial"/>
                <w:b/>
                <w:bCs/>
                <w:color w:val="000000"/>
                <w:sz w:val="20"/>
                <w:szCs w:val="20"/>
              </w:rPr>
              <w:br w:type="textWrapping"/>
            </w:r>
            <w:r>
              <w:rPr>
                <w:rFonts w:ascii="Arial" w:hAnsi="Arial" w:cs="Arial"/>
                <w:bCs/>
                <w:color w:val="000000"/>
                <w:sz w:val="20"/>
                <w:szCs w:val="20"/>
                <w:vertAlign w:val="superscript"/>
              </w:rPr>
              <w:t>______________________</w:t>
            </w:r>
          </w:p>
          <w:bookmarkEnd w:id="0"/>
          <w:p w14:paraId="3EED5504">
            <w:pPr>
              <w:adjustRightInd w:val="0"/>
              <w:snapToGrid w:val="0"/>
              <w:spacing w:after="0" w:line="240" w:lineRule="auto"/>
              <w:jc w:val="center"/>
              <w:rPr>
                <w:rFonts w:ascii="Arial" w:hAnsi="Arial" w:cs="Arial"/>
                <w:i/>
                <w:color w:val="000000"/>
                <w:sz w:val="20"/>
                <w:szCs w:val="20"/>
              </w:rPr>
            </w:pPr>
            <w:r>
              <w:rPr>
                <w:rFonts w:ascii="Arial" w:hAnsi="Arial" w:cs="Arial"/>
                <w:i/>
                <w:sz w:val="20"/>
                <w:szCs w:val="20"/>
              </w:rPr>
              <w:t>Hà Nội, ngày 19 tháng 8 năm 2026</w:t>
            </w:r>
          </w:p>
        </w:tc>
      </w:tr>
    </w:tbl>
    <w:p w14:paraId="4E601DBA">
      <w:pPr>
        <w:adjustRightInd w:val="0"/>
        <w:snapToGrid w:val="0"/>
        <w:spacing w:after="0" w:line="240" w:lineRule="auto"/>
        <w:jc w:val="center"/>
        <w:rPr>
          <w:rFonts w:ascii="Arial" w:hAnsi="Arial" w:cs="Arial"/>
          <w:b/>
          <w:sz w:val="20"/>
          <w:szCs w:val="20"/>
        </w:rPr>
      </w:pPr>
    </w:p>
    <w:p w14:paraId="1208543F">
      <w:pPr>
        <w:adjustRightInd w:val="0"/>
        <w:snapToGrid w:val="0"/>
        <w:spacing w:after="0" w:line="240" w:lineRule="auto"/>
        <w:jc w:val="center"/>
        <w:rPr>
          <w:rFonts w:ascii="Arial" w:hAnsi="Arial" w:cs="Arial"/>
          <w:b/>
          <w:sz w:val="20"/>
          <w:szCs w:val="20"/>
        </w:rPr>
      </w:pPr>
    </w:p>
    <w:p w14:paraId="2764C2FE">
      <w:pPr>
        <w:adjustRightInd w:val="0"/>
        <w:snapToGrid w:val="0"/>
        <w:spacing w:after="0" w:line="240" w:lineRule="auto"/>
        <w:jc w:val="center"/>
        <w:rPr>
          <w:rFonts w:ascii="Arial" w:hAnsi="Arial" w:cs="Arial"/>
          <w:b/>
          <w:sz w:val="20"/>
          <w:szCs w:val="20"/>
        </w:rPr>
      </w:pPr>
      <w:r>
        <w:rPr>
          <w:rFonts w:ascii="Arial" w:hAnsi="Arial" w:cs="Arial"/>
          <w:b/>
          <w:sz w:val="20"/>
          <w:szCs w:val="20"/>
        </w:rPr>
        <w:t xml:space="preserve">NGHỊ ĐỊNH </w:t>
      </w:r>
      <w:r>
        <w:rPr>
          <w:rFonts w:ascii="Arial" w:hAnsi="Arial" w:cs="Arial"/>
          <w:sz w:val="20"/>
          <w:szCs w:val="20"/>
        </w:rPr>
        <w:br w:type="textWrapping"/>
      </w:r>
      <w:r>
        <w:rPr>
          <w:rFonts w:ascii="Arial" w:hAnsi="Arial" w:cs="Arial"/>
          <w:b/>
          <w:sz w:val="20"/>
          <w:szCs w:val="20"/>
        </w:rPr>
        <w:t xml:space="preserve">Quy định xử phạt vi phạm hành chính </w:t>
      </w:r>
      <w:r>
        <w:rPr>
          <w:rFonts w:ascii="Arial" w:hAnsi="Arial" w:cs="Arial"/>
          <w:sz w:val="20"/>
          <w:szCs w:val="20"/>
        </w:rPr>
        <w:br w:type="textWrapping"/>
      </w:r>
      <w:r>
        <w:rPr>
          <w:rFonts w:ascii="Arial" w:hAnsi="Arial" w:cs="Arial"/>
          <w:b/>
          <w:sz w:val="20"/>
          <w:szCs w:val="20"/>
        </w:rPr>
        <w:t>trong lĩnh vực an ninh mạng và bảo vệ dữ liệu cá nhân</w:t>
      </w:r>
    </w:p>
    <w:p w14:paraId="55074948">
      <w:pPr>
        <w:adjustRightInd w:val="0"/>
        <w:snapToGrid w:val="0"/>
        <w:spacing w:after="0" w:line="240" w:lineRule="auto"/>
        <w:jc w:val="center"/>
        <w:rPr>
          <w:rFonts w:ascii="Arial" w:hAnsi="Arial" w:cs="Arial"/>
          <w:sz w:val="20"/>
          <w:szCs w:val="20"/>
        </w:rPr>
      </w:pPr>
    </w:p>
    <w:p w14:paraId="32FF42F4">
      <w:pPr>
        <w:adjustRightInd w:val="0"/>
        <w:snapToGrid w:val="0"/>
        <w:spacing w:after="0" w:line="240" w:lineRule="auto"/>
        <w:jc w:val="center"/>
        <w:rPr>
          <w:rFonts w:ascii="Arial" w:hAnsi="Arial" w:cs="Arial"/>
          <w:b/>
          <w:sz w:val="20"/>
          <w:szCs w:val="20"/>
        </w:rPr>
      </w:pPr>
      <w:r>
        <w:rPr>
          <w:rFonts w:ascii="Arial" w:hAnsi="Arial" w:cs="Arial"/>
          <w:b/>
          <w:sz w:val="20"/>
          <w:szCs w:val="20"/>
        </w:rPr>
        <w:t xml:space="preserve">Chương I </w:t>
      </w:r>
    </w:p>
    <w:p w14:paraId="3EB3ED7C">
      <w:pPr>
        <w:adjustRightInd w:val="0"/>
        <w:snapToGrid w:val="0"/>
        <w:spacing w:after="0" w:line="240" w:lineRule="auto"/>
        <w:jc w:val="center"/>
        <w:rPr>
          <w:rFonts w:ascii="Arial" w:hAnsi="Arial" w:cs="Arial"/>
          <w:b/>
          <w:sz w:val="20"/>
          <w:szCs w:val="20"/>
        </w:rPr>
      </w:pPr>
      <w:r>
        <w:rPr>
          <w:rFonts w:ascii="Arial" w:hAnsi="Arial" w:cs="Arial"/>
          <w:b/>
          <w:sz w:val="20"/>
          <w:szCs w:val="20"/>
        </w:rPr>
        <w:t>QUY ĐỊNH CHUNG</w:t>
      </w:r>
    </w:p>
    <w:p w14:paraId="19ADD1EE">
      <w:pPr>
        <w:adjustRightInd w:val="0"/>
        <w:snapToGrid w:val="0"/>
        <w:spacing w:after="0" w:line="240" w:lineRule="auto"/>
        <w:jc w:val="both"/>
        <w:rPr>
          <w:rFonts w:ascii="Arial" w:hAnsi="Arial" w:cs="Arial"/>
          <w:sz w:val="20"/>
          <w:szCs w:val="20"/>
        </w:rPr>
      </w:pPr>
    </w:p>
    <w:p w14:paraId="17AA7A8D">
      <w:pPr>
        <w:adjustRightInd w:val="0"/>
        <w:snapToGrid w:val="0"/>
        <w:spacing w:after="120" w:line="240" w:lineRule="auto"/>
        <w:jc w:val="both"/>
        <w:rPr>
          <w:rFonts w:ascii="Arial" w:hAnsi="Arial" w:cs="Arial"/>
          <w:sz w:val="20"/>
          <w:szCs w:val="20"/>
        </w:rPr>
      </w:pPr>
      <w:r>
        <w:rPr>
          <w:rFonts w:ascii="Arial" w:hAnsi="Arial" w:cs="Arial"/>
          <w:b/>
          <w:sz w:val="20"/>
          <w:szCs w:val="20"/>
        </w:rPr>
        <w:t>Điều 1. Phạm vi điều chỉnh</w:t>
      </w:r>
    </w:p>
    <w:p w14:paraId="75733490">
      <w:pPr>
        <w:adjustRightInd w:val="0"/>
        <w:snapToGrid w:val="0"/>
        <w:spacing w:after="120" w:line="240" w:lineRule="auto"/>
        <w:jc w:val="both"/>
        <w:rPr>
          <w:rFonts w:ascii="Arial" w:hAnsi="Arial" w:cs="Arial"/>
          <w:sz w:val="20"/>
          <w:szCs w:val="20"/>
        </w:rPr>
      </w:pPr>
      <w:r>
        <w:rPr>
          <w:rFonts w:ascii="Arial" w:hAnsi="Arial" w:cs="Arial"/>
          <w:sz w:val="20"/>
          <w:szCs w:val="2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an ninh mạng và bảo vệ dữ liệu cá nhân.</w:t>
      </w:r>
    </w:p>
    <w:p w14:paraId="5FB476F1">
      <w:pPr>
        <w:adjustRightInd w:val="0"/>
        <w:snapToGrid w:val="0"/>
        <w:spacing w:after="120" w:line="240" w:lineRule="auto"/>
        <w:jc w:val="both"/>
        <w:rPr>
          <w:rFonts w:ascii="Arial" w:hAnsi="Arial" w:cs="Arial"/>
          <w:sz w:val="20"/>
          <w:szCs w:val="20"/>
        </w:rPr>
      </w:pPr>
      <w:r>
        <w:rPr>
          <w:rFonts w:ascii="Arial" w:hAnsi="Arial" w:cs="Arial"/>
          <w:sz w:val="20"/>
          <w:szCs w:val="20"/>
        </w:rPr>
        <w:t>2. Các hành vi vi phạm hành chính khác có liên quan đến lĩnh vực an ninh mạng và lĩnh vực bảo vệ dữ liệu cá nhân nhưng không được quy định tại Nghị định này thì áp dụng theo quy định tại các Nghị định đó của Chính phủ về xử phạt vi phạm hành chính trong lĩnh vực quản lý nhà nước có liên quan để xử phạt.</w:t>
      </w:r>
    </w:p>
    <w:p w14:paraId="2943EB6C">
      <w:pPr>
        <w:adjustRightInd w:val="0"/>
        <w:snapToGrid w:val="0"/>
        <w:spacing w:after="120" w:line="240" w:lineRule="auto"/>
        <w:jc w:val="both"/>
        <w:rPr>
          <w:rFonts w:ascii="Arial" w:hAnsi="Arial" w:cs="Arial"/>
          <w:sz w:val="20"/>
          <w:szCs w:val="20"/>
        </w:rPr>
      </w:pPr>
      <w:r>
        <w:rPr>
          <w:rFonts w:ascii="Arial" w:hAnsi="Arial" w:cs="Arial"/>
          <w:sz w:val="20"/>
          <w:szCs w:val="20"/>
        </w:rPr>
        <w:t>3. Trường hợp một hành vi đồng thời vi phạm quy định của Nghị định này và nghị định quy định xử phạt vi phạm hành chính trong các lĩnh vực quản lý nhà nước khác, cơ quan có thẩm quyền phải xác định đúng bản chất hành vi và căn cứ pháp lý để áp dụng để xử phạt. Trường hợp hành vi đồng thời được quy định tại Nghị định này và nghị định xử phạt vi phạm hành chính trong lĩnh vực quản lý nhà nước khác thì áp dụng Nghị định này nếu hành vi vi phạm trên lĩnh vực an ninh mạng và bảo vệ dữ liệu cá nhân; trường hợp dấu hiệu cấu thành hành vi vi phạm nghĩa vụ, trách nhiệm, điều cấm khác thuộc phạm vi quản lý nhà nước chuyên ngành khác thì áp dụng nghị định của lĩnh vực đó.</w:t>
      </w:r>
    </w:p>
    <w:p w14:paraId="4CDF5788">
      <w:pPr>
        <w:adjustRightInd w:val="0"/>
        <w:snapToGrid w:val="0"/>
        <w:spacing w:after="120" w:line="240" w:lineRule="auto"/>
        <w:jc w:val="both"/>
        <w:rPr>
          <w:rFonts w:ascii="Arial" w:hAnsi="Arial" w:cs="Arial"/>
          <w:sz w:val="20"/>
          <w:szCs w:val="20"/>
        </w:rPr>
      </w:pPr>
      <w:r>
        <w:rPr>
          <w:rFonts w:ascii="Arial" w:hAnsi="Arial" w:cs="Arial"/>
          <w:b/>
          <w:sz w:val="20"/>
          <w:szCs w:val="20"/>
        </w:rPr>
        <w:t>Điều 7. Quy định về mức phạt tiền, thẩm quyền xử phạt</w:t>
      </w:r>
    </w:p>
    <w:p w14:paraId="2F2DCFA7">
      <w:pPr>
        <w:adjustRightInd w:val="0"/>
        <w:snapToGrid w:val="0"/>
        <w:spacing w:after="120" w:line="240" w:lineRule="auto"/>
        <w:jc w:val="both"/>
        <w:rPr>
          <w:rFonts w:ascii="Arial" w:hAnsi="Arial" w:cs="Arial"/>
          <w:sz w:val="20"/>
          <w:szCs w:val="20"/>
        </w:rPr>
      </w:pPr>
      <w:r>
        <w:rPr>
          <w:rFonts w:ascii="Arial" w:hAnsi="Arial" w:cs="Arial"/>
          <w:sz w:val="20"/>
          <w:szCs w:val="20"/>
        </w:rPr>
        <w:t>1. Từ Mục 1 đến Mục 5 Chương II Nghị định này quy định về mức phạt tiền được áp dụng đối với hành vi vi phạm hành chính trong lĩnh vực an ninh mạng do cá nhân thực hiện. Trường hợp tổ chức có cùng hành vi vi phạm, mức phạt tiền được áp dụng với tổ chức bằng hai lần mức phạt tiền áp dụng đối với cá nhân.</w:t>
      </w:r>
    </w:p>
    <w:p w14:paraId="0B840BF1">
      <w:pPr>
        <w:adjustRightInd w:val="0"/>
        <w:snapToGrid w:val="0"/>
        <w:spacing w:after="120" w:line="240" w:lineRule="auto"/>
        <w:jc w:val="both"/>
        <w:rPr>
          <w:rFonts w:ascii="Arial" w:hAnsi="Arial" w:cs="Arial"/>
          <w:sz w:val="20"/>
          <w:szCs w:val="20"/>
        </w:rPr>
      </w:pPr>
      <w:r>
        <w:rPr>
          <w:rFonts w:ascii="Arial" w:hAnsi="Arial" w:cs="Arial"/>
          <w:sz w:val="20"/>
          <w:szCs w:val="20"/>
        </w:rPr>
        <w:t>Mục 6 Chương II Nghị định này quy định về mức phạt tiền được áp dụng đối với hành vi vi phạm hành chính trong lĩnh vực bảo vệ dữ liệu cá nhân do tổ chức thực hiện. Trường hợp cá nhân có cùng hành vi vi phạm, mức phạt tiền được áp dụng với cá nhân bằng một phần hai lần mức phạt tiền áp dụng đối với tổ chức.</w:t>
      </w:r>
    </w:p>
    <w:p w14:paraId="63CAE0F5">
      <w:pPr>
        <w:adjustRightInd w:val="0"/>
        <w:snapToGrid w:val="0"/>
        <w:spacing w:after="120" w:line="240" w:lineRule="auto"/>
        <w:jc w:val="both"/>
        <w:rPr>
          <w:rFonts w:ascii="Arial" w:hAnsi="Arial" w:cs="Arial"/>
          <w:sz w:val="20"/>
          <w:szCs w:val="20"/>
        </w:rPr>
      </w:pPr>
      <w:r>
        <w:rPr>
          <w:rFonts w:ascii="Arial" w:hAnsi="Arial" w:cs="Arial"/>
          <w:sz w:val="20"/>
          <w:szCs w:val="20"/>
        </w:rPr>
        <w:t>2. Thẩm quyền xử phạt của các chức danh quy định tại Chương III Nghị định này là thẩm quyền áp dụng đối với một hành vi vi phạm hành chính của tổ chức. Trong trường hợp phạt tiền, thẩm quyền xử phạt đối với cá nhân bằng một phần hai lần thẩm quyền xử phạt đối với tổ chức.</w:t>
      </w:r>
    </w:p>
    <w:p w14:paraId="792510FC">
      <w:pPr>
        <w:adjustRightInd w:val="0"/>
        <w:snapToGrid w:val="0"/>
        <w:spacing w:after="120" w:line="240" w:lineRule="auto"/>
        <w:jc w:val="both"/>
        <w:rPr>
          <w:rFonts w:ascii="Arial" w:hAnsi="Arial" w:cs="Arial"/>
          <w:sz w:val="20"/>
          <w:szCs w:val="20"/>
        </w:rPr>
      </w:pPr>
      <w:r>
        <w:rPr>
          <w:rFonts w:ascii="Arial" w:hAnsi="Arial" w:cs="Arial"/>
          <w:sz w:val="20"/>
          <w:szCs w:val="20"/>
        </w:rPr>
        <w:t>3. Mức phạt tiền tối đa đối với tổ chức trong lĩnh vực an ninh mạng là 200.000.000 đồng đối với tổ chức, 100.000.000 đồng đối với cá nhân.</w:t>
      </w:r>
    </w:p>
    <w:p w14:paraId="1E0988AA">
      <w:pPr>
        <w:adjustRightInd w:val="0"/>
        <w:snapToGrid w:val="0"/>
        <w:spacing w:after="120" w:line="240" w:lineRule="auto"/>
        <w:jc w:val="both"/>
        <w:rPr>
          <w:rFonts w:ascii="Arial" w:hAnsi="Arial" w:cs="Arial"/>
          <w:sz w:val="20"/>
          <w:szCs w:val="20"/>
        </w:rPr>
      </w:pPr>
      <w:r>
        <w:rPr>
          <w:rFonts w:ascii="Arial" w:hAnsi="Arial" w:cs="Arial"/>
          <w:sz w:val="20"/>
          <w:szCs w:val="20"/>
        </w:rPr>
        <w:t>4. Mức phạt tiền tối đa trong lĩnh vực bảo vệ dữ liệu cá nhân:</w:t>
      </w:r>
    </w:p>
    <w:p w14:paraId="6ECC91A2">
      <w:pPr>
        <w:adjustRightInd w:val="0"/>
        <w:snapToGrid w:val="0"/>
        <w:spacing w:after="120" w:line="240" w:lineRule="auto"/>
        <w:jc w:val="both"/>
        <w:rPr>
          <w:rFonts w:ascii="Arial" w:hAnsi="Arial" w:cs="Arial"/>
          <w:sz w:val="20"/>
          <w:szCs w:val="20"/>
        </w:rPr>
      </w:pPr>
      <w:r>
        <w:rPr>
          <w:rFonts w:ascii="Arial" w:hAnsi="Arial" w:cs="Arial"/>
          <w:sz w:val="20"/>
          <w:szCs w:val="20"/>
        </w:rPr>
        <w:t>a)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điểm c khoản này thì áp dụng mức phạt tiền theo quy định tại điểm c khoản này;</w:t>
      </w:r>
    </w:p>
    <w:p w14:paraId="38FBF6AD">
      <w:pPr>
        <w:adjustRightInd w:val="0"/>
        <w:snapToGrid w:val="0"/>
        <w:spacing w:after="120" w:line="240" w:lineRule="auto"/>
        <w:jc w:val="both"/>
        <w:rPr>
          <w:rFonts w:ascii="Arial" w:hAnsi="Arial" w:cs="Arial"/>
          <w:sz w:val="20"/>
          <w:szCs w:val="20"/>
        </w:rPr>
      </w:pPr>
      <w:r>
        <w:rPr>
          <w:rFonts w:ascii="Arial" w:hAnsi="Arial" w:cs="Arial"/>
          <w:sz w:val="20"/>
          <w:szCs w:val="20"/>
        </w:rPr>
        <w:t>b)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điểm c khoản này thì áp dụng mức phạt tiền theo quy định tại điểm c khoản này;</w:t>
      </w:r>
    </w:p>
    <w:p w14:paraId="35332A62">
      <w:pPr>
        <w:adjustRightInd w:val="0"/>
        <w:snapToGrid w:val="0"/>
        <w:spacing w:after="120" w:line="240" w:lineRule="auto"/>
        <w:jc w:val="both"/>
        <w:rPr>
          <w:rFonts w:ascii="Arial" w:hAnsi="Arial" w:cs="Arial"/>
          <w:sz w:val="20"/>
          <w:szCs w:val="20"/>
        </w:rPr>
      </w:pPr>
      <w:r>
        <w:rPr>
          <w:rFonts w:ascii="Arial" w:hAnsi="Arial" w:cs="Arial"/>
          <w:sz w:val="20"/>
          <w:szCs w:val="20"/>
        </w:rPr>
        <w:t>c) Mức phạt tiền tối đa trong xử phạt vi phạm hành chính đối với các hành vi vi phạm khác trong lĩnh vực bảo vệ dữ liệu cá nhân là 03 tỷ đồng;</w:t>
      </w:r>
    </w:p>
    <w:p w14:paraId="06EDBBC9">
      <w:pPr>
        <w:adjustRightInd w:val="0"/>
        <w:snapToGrid w:val="0"/>
        <w:spacing w:after="120" w:line="240" w:lineRule="auto"/>
        <w:jc w:val="both"/>
        <w:rPr>
          <w:rFonts w:ascii="Arial" w:hAnsi="Arial" w:cs="Arial"/>
          <w:sz w:val="20"/>
          <w:szCs w:val="20"/>
        </w:rPr>
      </w:pPr>
      <w:r>
        <w:rPr>
          <w:rFonts w:ascii="Arial" w:hAnsi="Arial" w:cs="Arial"/>
          <w:sz w:val="20"/>
          <w:szCs w:val="20"/>
        </w:rPr>
        <w:t>d) Mức phạt tiền tối đa quy định tại các điểm a, b và c khoản này được áp dụng đối với tổ chức; cá nhân thực hiện cùng hành vi vi phạm thì mức phạt tiền tối đa bằng một phần hai mức phạt tiền đối với tổ chức.</w:t>
      </w:r>
    </w:p>
    <w:p w14:paraId="5FC90437">
      <w:pPr>
        <w:adjustRightInd w:val="0"/>
        <w:snapToGrid w:val="0"/>
        <w:spacing w:after="120" w:line="240" w:lineRule="auto"/>
        <w:jc w:val="both"/>
        <w:rPr>
          <w:rFonts w:ascii="Arial" w:hAnsi="Arial" w:cs="Arial"/>
          <w:sz w:val="20"/>
          <w:szCs w:val="20"/>
        </w:rPr>
      </w:pPr>
      <w:r>
        <w:rPr>
          <w:rFonts w:ascii="Arial" w:hAnsi="Arial" w:cs="Arial"/>
          <w:b/>
          <w:sz w:val="20"/>
          <w:szCs w:val="20"/>
        </w:rPr>
        <w:t>Điều 13. Vi phạm quy định về bảo vệ thông tin thuộc bí mật cá nhân, bí mật công tác, bí mật kinh doanh, bí mật gia đình và đời sống riêng tư trên không gian mạng</w:t>
      </w:r>
    </w:p>
    <w:p w14:paraId="3DB38CA5">
      <w:pPr>
        <w:adjustRightInd w:val="0"/>
        <w:snapToGrid w:val="0"/>
        <w:spacing w:after="120" w:line="240" w:lineRule="auto"/>
        <w:jc w:val="both"/>
        <w:rPr>
          <w:rFonts w:ascii="Arial" w:hAnsi="Arial" w:cs="Arial"/>
          <w:sz w:val="20"/>
          <w:szCs w:val="20"/>
        </w:rPr>
      </w:pPr>
      <w:r>
        <w:rPr>
          <w:rFonts w:ascii="Arial" w:hAnsi="Arial" w:cs="Arial"/>
          <w:sz w:val="20"/>
          <w:szCs w:val="20"/>
        </w:rPr>
        <w:t>1. Phạt tiền từ 10.000.000 đồng đến 20.000.000 đồng đối với một trong</w:t>
      </w:r>
    </w:p>
    <w:p w14:paraId="2C27678A">
      <w:pPr>
        <w:adjustRightInd w:val="0"/>
        <w:snapToGrid w:val="0"/>
        <w:spacing w:after="120" w:line="240" w:lineRule="auto"/>
        <w:jc w:val="both"/>
        <w:rPr>
          <w:rFonts w:ascii="Arial" w:hAnsi="Arial" w:cs="Arial"/>
          <w:sz w:val="20"/>
          <w:szCs w:val="20"/>
        </w:rPr>
      </w:pPr>
      <w:r>
        <w:rPr>
          <w:rFonts w:ascii="Arial" w:hAnsi="Arial" w:cs="Arial"/>
          <w:sz w:val="20"/>
          <w:szCs w:val="20"/>
        </w:rPr>
        <w:t>các hành vi sau đây:</w:t>
      </w:r>
    </w:p>
    <w:p w14:paraId="7EBBEB8D">
      <w:pPr>
        <w:adjustRightInd w:val="0"/>
        <w:snapToGrid w:val="0"/>
        <w:spacing w:after="120" w:line="240" w:lineRule="auto"/>
        <w:jc w:val="both"/>
        <w:rPr>
          <w:rFonts w:ascii="Arial" w:hAnsi="Arial" w:cs="Arial"/>
          <w:sz w:val="20"/>
          <w:szCs w:val="20"/>
        </w:rPr>
      </w:pPr>
      <w:r>
        <w:rPr>
          <w:rFonts w:ascii="Arial" w:hAnsi="Arial" w:cs="Arial"/>
          <w:sz w:val="20"/>
          <w:szCs w:val="20"/>
        </w:rPr>
        <w:t>a) Đưa lên không gian mạng thông tin thuộc bí mật công tác, bí mật kinh doanh, bí mật cá nhân, bí mật gia đình và đời sống riêng tư gây ảnh hưởng đến danh dự, uy tín, nhân phẩm, quyền và lợi ích hợp pháp của cơ quan, tổ chức, cá nhân nhưng không bị truy cứu trách nhiệm hình sự;</w:t>
      </w:r>
    </w:p>
    <w:p w14:paraId="0A4878F0">
      <w:pPr>
        <w:adjustRightInd w:val="0"/>
        <w:snapToGrid w:val="0"/>
        <w:spacing w:after="120" w:line="240" w:lineRule="auto"/>
        <w:jc w:val="both"/>
        <w:rPr>
          <w:rFonts w:ascii="Arial" w:hAnsi="Arial" w:cs="Arial"/>
          <w:sz w:val="20"/>
          <w:szCs w:val="20"/>
        </w:rPr>
      </w:pPr>
      <w:r>
        <w:rPr>
          <w:rFonts w:ascii="Arial" w:hAnsi="Arial" w:cs="Arial"/>
          <w:sz w:val="20"/>
          <w:szCs w:val="20"/>
        </w:rPr>
        <w:t>b) Không thực hiện yêu cầu của lực lượng chuyên trách bảo vệ an ninh mạng về phòng, chống gián điệp mạng, bảo vệ thông tin thuộc bí mật nhà nước theo quy định của pháp luật;</w:t>
      </w:r>
    </w:p>
    <w:p w14:paraId="19543448">
      <w:pPr>
        <w:adjustRightInd w:val="0"/>
        <w:snapToGrid w:val="0"/>
        <w:spacing w:after="120" w:line="240" w:lineRule="auto"/>
        <w:jc w:val="both"/>
        <w:rPr>
          <w:rFonts w:ascii="Arial" w:hAnsi="Arial" w:cs="Arial"/>
          <w:sz w:val="20"/>
          <w:szCs w:val="20"/>
        </w:rPr>
      </w:pPr>
      <w:r>
        <w:rPr>
          <w:rFonts w:ascii="Arial" w:hAnsi="Arial" w:cs="Arial"/>
          <w:sz w:val="20"/>
          <w:szCs w:val="20"/>
        </w:rPr>
        <w:t>c) Thay đổi, hủy bỏ hoặc vô hiệu hóa trái phép các biện pháp kỹ thuật được xây dựng, sử dụng để bảo vệ thông tin thuộc bí mật nhà nước.</w:t>
      </w:r>
    </w:p>
    <w:p w14:paraId="4E665E42">
      <w:pPr>
        <w:adjustRightInd w:val="0"/>
        <w:snapToGrid w:val="0"/>
        <w:spacing w:after="120" w:line="240" w:lineRule="auto"/>
        <w:jc w:val="both"/>
        <w:rPr>
          <w:rFonts w:ascii="Arial" w:hAnsi="Arial" w:cs="Arial"/>
          <w:sz w:val="20"/>
          <w:szCs w:val="20"/>
        </w:rPr>
      </w:pPr>
      <w:r>
        <w:rPr>
          <w:rFonts w:ascii="Arial" w:hAnsi="Arial" w:cs="Arial"/>
          <w:sz w:val="20"/>
          <w:szCs w:val="20"/>
        </w:rPr>
        <w:t>2. Hình thức xử phạt bổ sung:</w:t>
      </w:r>
    </w:p>
    <w:p w14:paraId="483AFB58">
      <w:pPr>
        <w:adjustRightInd w:val="0"/>
        <w:snapToGrid w:val="0"/>
        <w:spacing w:after="120" w:line="240" w:lineRule="auto"/>
        <w:jc w:val="both"/>
        <w:rPr>
          <w:rFonts w:ascii="Arial" w:hAnsi="Arial" w:cs="Arial"/>
          <w:sz w:val="20"/>
          <w:szCs w:val="20"/>
        </w:rPr>
      </w:pPr>
      <w:r>
        <w:rPr>
          <w:rFonts w:ascii="Arial" w:hAnsi="Arial" w:cs="Arial"/>
          <w:sz w:val="20"/>
          <w:szCs w:val="20"/>
        </w:rPr>
        <w:t>a) Tịch thu tang vật, phương tiện vi phạm hành chính đối với các hành vi vi phạm quy định tại điểm a, c khoản 1 Điều này;</w:t>
      </w:r>
    </w:p>
    <w:p w14:paraId="19C931FE">
      <w:pPr>
        <w:adjustRightInd w:val="0"/>
        <w:snapToGrid w:val="0"/>
        <w:spacing w:after="120" w:line="240" w:lineRule="auto"/>
        <w:jc w:val="both"/>
        <w:rPr>
          <w:rFonts w:ascii="Arial" w:hAnsi="Arial" w:cs="Arial"/>
          <w:sz w:val="20"/>
          <w:szCs w:val="20"/>
        </w:rPr>
      </w:pPr>
      <w:r>
        <w:rPr>
          <w:rFonts w:ascii="Arial" w:hAnsi="Arial" w:cs="Arial"/>
          <w:sz w:val="20"/>
          <w:szCs w:val="20"/>
        </w:rPr>
        <w:t>b) Đình chỉ hoạt động có thời hạn từ 01 tháng đến 03 tháng đối với hành vi vi phạm quy định tại điểm b, c khoản 1 Điều này.</w:t>
      </w:r>
    </w:p>
    <w:p w14:paraId="568F9AA3">
      <w:pPr>
        <w:adjustRightInd w:val="0"/>
        <w:snapToGrid w:val="0"/>
        <w:spacing w:after="120" w:line="240" w:lineRule="auto"/>
        <w:jc w:val="both"/>
        <w:rPr>
          <w:rFonts w:ascii="Arial" w:hAnsi="Arial" w:cs="Arial"/>
          <w:sz w:val="20"/>
          <w:szCs w:val="20"/>
        </w:rPr>
      </w:pPr>
      <w:r>
        <w:rPr>
          <w:rFonts w:ascii="Arial" w:hAnsi="Arial" w:cs="Arial"/>
          <w:sz w:val="20"/>
          <w:szCs w:val="20"/>
        </w:rPr>
        <w:t>3. Biện pháp khắc phục hậu quả:</w:t>
      </w:r>
    </w:p>
    <w:p w14:paraId="5E2C5659">
      <w:pPr>
        <w:adjustRightInd w:val="0"/>
        <w:snapToGrid w:val="0"/>
        <w:spacing w:after="120" w:line="240" w:lineRule="auto"/>
        <w:jc w:val="both"/>
        <w:rPr>
          <w:rFonts w:ascii="Arial" w:hAnsi="Arial" w:cs="Arial"/>
          <w:sz w:val="20"/>
          <w:szCs w:val="20"/>
        </w:rPr>
      </w:pPr>
      <w:r>
        <w:rPr>
          <w:rFonts w:ascii="Arial" w:hAnsi="Arial" w:cs="Arial"/>
          <w:sz w:val="20"/>
          <w:szCs w:val="20"/>
        </w:rPr>
        <w:t>a) Buộc xây dựng, áp dụng biện pháp bảo vệ bí mật nhà nước phòng, chống lộ, mất bí mật nhà nước qua các kênh kỹ thuật đối với các hành vi vi phạm quy định tại khoản 1 Điều này;</w:t>
      </w:r>
    </w:p>
    <w:p w14:paraId="65F98D30">
      <w:pPr>
        <w:adjustRightInd w:val="0"/>
        <w:snapToGrid w:val="0"/>
        <w:spacing w:after="120" w:line="240" w:lineRule="auto"/>
        <w:jc w:val="both"/>
        <w:rPr>
          <w:rFonts w:ascii="Arial" w:hAnsi="Arial" w:cs="Arial"/>
          <w:sz w:val="20"/>
          <w:szCs w:val="20"/>
        </w:rPr>
      </w:pPr>
      <w:r>
        <w:rPr>
          <w:rFonts w:ascii="Arial" w:hAnsi="Arial" w:cs="Arial"/>
          <w:sz w:val="20"/>
          <w:szCs w:val="20"/>
        </w:rPr>
        <w:t>b) Buộc tiêu hủy sản phẩm, thiết bị, dịch vụ, phần mềm gây lộ, mất bí mật nhà nước, không bảo đảm an ninh mạng đối với các hành vi vi phạm quy định tại điểm a, c khoản 1 Điều này, trường hợp có liên quan tới tài liệu, vật chứa bí mật nhà nước thì áp dụng theo quy định của Luật Bảo vệ bí mật nhà nước;</w:t>
      </w:r>
    </w:p>
    <w:p w14:paraId="31AA6A1E">
      <w:pPr>
        <w:adjustRightInd w:val="0"/>
        <w:snapToGrid w:val="0"/>
        <w:spacing w:after="120" w:line="240" w:lineRule="auto"/>
        <w:jc w:val="both"/>
        <w:rPr>
          <w:rFonts w:ascii="Arial" w:hAnsi="Arial" w:cs="Arial"/>
          <w:sz w:val="20"/>
          <w:szCs w:val="20"/>
        </w:rPr>
      </w:pPr>
      <w:r>
        <w:rPr>
          <w:rFonts w:ascii="Arial" w:hAnsi="Arial" w:cs="Arial"/>
          <w:sz w:val="20"/>
          <w:szCs w:val="20"/>
        </w:rPr>
        <w:t>c) Buộc kiểm tra an ninh mạng lại đối với các sản phẩm, thiết bị, dịch vụ, phần mềm phục vụ bảo vệ bí mật nhà nước đối với các hành vi vi phạm quy định tại điểm a khoản 1 Điều này;</w:t>
      </w:r>
    </w:p>
    <w:p w14:paraId="71B5C827">
      <w:pPr>
        <w:adjustRightInd w:val="0"/>
        <w:snapToGrid w:val="0"/>
        <w:spacing w:after="120" w:line="240" w:lineRule="auto"/>
        <w:jc w:val="both"/>
        <w:rPr>
          <w:rFonts w:ascii="Arial" w:hAnsi="Arial" w:cs="Arial"/>
          <w:sz w:val="20"/>
          <w:szCs w:val="20"/>
        </w:rPr>
      </w:pPr>
      <w:r>
        <w:rPr>
          <w:rFonts w:ascii="Arial" w:hAnsi="Arial" w:cs="Arial"/>
          <w:sz w:val="20"/>
          <w:szCs w:val="20"/>
        </w:rPr>
        <w:t>d) Buộc nộp lại số tiền bằng với giá trị tang vật, phương tiện vi phạm hành chính đã bị tiêu thụ, tẩu tán, tiêu hủy trái quy định của pháp luật đối với hành vi quy định tại điểm a khoản 1 Điều này.</w:t>
      </w:r>
    </w:p>
    <w:p w14:paraId="43599A05">
      <w:pPr>
        <w:adjustRightInd w:val="0"/>
        <w:snapToGrid w:val="0"/>
        <w:spacing w:after="120" w:line="240" w:lineRule="auto"/>
        <w:jc w:val="both"/>
        <w:rPr>
          <w:rFonts w:hint="default" w:ascii="Arial" w:hAnsi="Arial" w:cs="Arial"/>
          <w:sz w:val="20"/>
          <w:szCs w:val="20"/>
          <w:lang w:val="en-US"/>
        </w:rPr>
      </w:pPr>
      <w:r>
        <w:rPr>
          <w:rFonts w:hint="default" w:ascii="Arial" w:hAnsi="Arial" w:cs="Arial"/>
          <w:sz w:val="20"/>
          <w:szCs w:val="20"/>
          <w:lang w:val="en-US"/>
        </w:rPr>
        <w:t>d</w:t>
      </w:r>
      <w:bookmarkStart w:id="1" w:name="_GoBack"/>
      <w:bookmarkEnd w:id="1"/>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895"/>
    <w:rsid w:val="00046BC8"/>
    <w:rsid w:val="0012687A"/>
    <w:rsid w:val="001930A8"/>
    <w:rsid w:val="0051400C"/>
    <w:rsid w:val="005267B3"/>
    <w:rsid w:val="00587C68"/>
    <w:rsid w:val="005D7895"/>
    <w:rsid w:val="006A124F"/>
    <w:rsid w:val="006F1B9A"/>
    <w:rsid w:val="00921283"/>
    <w:rsid w:val="009305D9"/>
    <w:rsid w:val="009A3B9F"/>
    <w:rsid w:val="00AA753E"/>
    <w:rsid w:val="00BD5786"/>
    <w:rsid w:val="00F3667B"/>
    <w:rsid w:val="05CD1829"/>
    <w:rsid w:val="4EA10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45344</Words>
  <Characters>158450</Characters>
  <Lines>1445</Lines>
  <Paragraphs>406</Paragraphs>
  <TotalTime>3</TotalTime>
  <ScaleCrop>false</ScaleCrop>
  <LinksUpToDate>false</LinksUpToDate>
  <CharactersWithSpaces>202395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2026-08-22T14:07:00Z</dcterms:created>
  <dc:creator>HP</dc:creator>
  <cp:lastModifiedBy>Phúc Châu</cp:lastModifiedBy>
  <dcterms:modified xsi:type="dcterms:W3CDTF">2026-09-21T10:18:24Z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A6B671910521447DB768B9E2729F3FB7_12</vt:lpwstr>
  </property>
</Properties>
</file>