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Layout w:type="autofit"/>
        <w:tblCellMar>
          <w:top w:w="0" w:type="dxa"/>
          <w:left w:w="0" w:type="dxa"/>
          <w:bottom w:w="0" w:type="dxa"/>
          <w:right w:w="0" w:type="dxa"/>
        </w:tblCellMar>
      </w:tblPr>
      <w:tblGrid>
        <w:gridCol w:w="3327"/>
        <w:gridCol w:w="5915"/>
      </w:tblGrid>
      <w:tr w14:paraId="0EA58BC9">
        <w:tblPrEx>
          <w:tblCellMar>
            <w:top w:w="0" w:type="dxa"/>
            <w:left w:w="0" w:type="dxa"/>
            <w:bottom w:w="0" w:type="dxa"/>
            <w:right w:w="0" w:type="dxa"/>
          </w:tblCellMar>
        </w:tblPrEx>
        <w:trPr>
          <w:trHeight w:val="920" w:hRule="atLeast"/>
        </w:trPr>
        <w:tc>
          <w:tcPr>
            <w:tcW w:w="1800" w:type="pct"/>
            <w:tcMar>
              <w:top w:w="0" w:type="dxa"/>
              <w:left w:w="108" w:type="dxa"/>
              <w:bottom w:w="0" w:type="dxa"/>
              <w:right w:w="108" w:type="dxa"/>
            </w:tcMar>
          </w:tcPr>
          <w:p w14:paraId="509BB461">
            <w:pPr>
              <w:jc w:val="center"/>
              <w:rPr>
                <w:rFonts w:ascii="Arial" w:hAnsi="Arial" w:cs="Arial"/>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CHÍNH PHỦ</w:t>
            </w:r>
            <w:r>
              <w:rPr>
                <w:rFonts w:ascii="Arial" w:hAnsi="Arial" w:cs="Arial"/>
                <w:b/>
                <w:bCs/>
                <w:color w:val="000000" w:themeColor="text1"/>
                <w:sz w:val="20"/>
                <w:szCs w:val="20"/>
                <w14:textFill>
                  <w14:solidFill>
                    <w14:schemeClr w14:val="tx1"/>
                  </w14:solidFill>
                </w14:textFill>
              </w:rPr>
              <w:br w:type="textWrapping"/>
            </w:r>
            <w:r>
              <w:rPr>
                <w:rFonts w:ascii="Arial" w:hAnsi="Arial" w:cs="Arial"/>
                <w:bCs/>
                <w:color w:val="000000" w:themeColor="text1"/>
                <w:sz w:val="20"/>
                <w:szCs w:val="20"/>
                <w:vertAlign w:val="superscript"/>
                <w14:textFill>
                  <w14:solidFill>
                    <w14:schemeClr w14:val="tx1"/>
                  </w14:solidFill>
                </w14:textFill>
              </w:rPr>
              <w:t>__________</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Số: 356/2025/NĐ-CP</w:t>
            </w:r>
          </w:p>
        </w:tc>
        <w:tc>
          <w:tcPr>
            <w:tcW w:w="3200" w:type="pct"/>
            <w:tcMar>
              <w:top w:w="0" w:type="dxa"/>
              <w:left w:w="108" w:type="dxa"/>
              <w:bottom w:w="0" w:type="dxa"/>
              <w:right w:w="108" w:type="dxa"/>
            </w:tcMar>
          </w:tcPr>
          <w:p w14:paraId="0F717516">
            <w:pPr>
              <w:jc w:val="center"/>
              <w:rPr>
                <w:rFonts w:ascii="Arial" w:hAnsi="Arial" w:cs="Arial"/>
                <w:i/>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CỘNG HÒA XÃ HỘI CHỦ NGHĨA VIỆT NAM</w:t>
            </w:r>
            <w:r>
              <w:rPr>
                <w:rFonts w:ascii="Arial" w:hAnsi="Arial" w:cs="Arial"/>
                <w:b/>
                <w:bCs/>
                <w:color w:val="000000" w:themeColor="text1"/>
                <w:sz w:val="20"/>
                <w:szCs w:val="20"/>
                <w14:textFill>
                  <w14:solidFill>
                    <w14:schemeClr w14:val="tx1"/>
                  </w14:solidFill>
                </w14:textFill>
              </w:rPr>
              <w:br w:type="textWrapping"/>
            </w:r>
            <w:r>
              <w:rPr>
                <w:rFonts w:ascii="Arial" w:hAnsi="Arial" w:cs="Arial"/>
                <w:b/>
                <w:bCs/>
                <w:color w:val="000000" w:themeColor="text1"/>
                <w:sz w:val="20"/>
                <w:szCs w:val="20"/>
                <w14:textFill>
                  <w14:solidFill>
                    <w14:schemeClr w14:val="tx1"/>
                  </w14:solidFill>
                </w14:textFill>
              </w:rPr>
              <w:t xml:space="preserve">Độc lập - Tự do - Hạnh phúc </w:t>
            </w:r>
            <w:r>
              <w:rPr>
                <w:rFonts w:ascii="Arial" w:hAnsi="Arial" w:cs="Arial"/>
                <w:b/>
                <w:bCs/>
                <w:color w:val="000000" w:themeColor="text1"/>
                <w:sz w:val="20"/>
                <w:szCs w:val="20"/>
                <w14:textFill>
                  <w14:solidFill>
                    <w14:schemeClr w14:val="tx1"/>
                  </w14:solidFill>
                </w14:textFill>
              </w:rPr>
              <w:br w:type="textWrapping"/>
            </w:r>
            <w:r>
              <w:rPr>
                <w:rFonts w:ascii="Arial" w:hAnsi="Arial" w:cs="Arial"/>
                <w:bCs/>
                <w:color w:val="000000" w:themeColor="text1"/>
                <w:sz w:val="20"/>
                <w:szCs w:val="20"/>
                <w:vertAlign w:val="superscript"/>
                <w14:textFill>
                  <w14:solidFill>
                    <w14:schemeClr w14:val="tx1"/>
                  </w14:solidFill>
                </w14:textFill>
              </w:rPr>
              <w:t>______________________</w:t>
            </w:r>
            <w:r>
              <w:rPr>
                <w:rFonts w:ascii="Arial" w:hAnsi="Arial" w:cs="Arial"/>
                <w:color w:val="000000" w:themeColor="text1"/>
                <w:sz w:val="20"/>
                <w:szCs w:val="20"/>
                <w:vertAlign w:val="superscript"/>
                <w14:textFill>
                  <w14:solidFill>
                    <w14:schemeClr w14:val="tx1"/>
                  </w14:solidFill>
                </w14:textFill>
              </w:rPr>
              <w:br w:type="textWrapping"/>
            </w:r>
            <w:r>
              <w:rPr>
                <w:rFonts w:ascii="Arial" w:hAnsi="Arial" w:cs="Arial"/>
                <w:i/>
                <w:iCs/>
                <w:color w:val="000000" w:themeColor="text1"/>
                <w:sz w:val="20"/>
                <w:szCs w:val="20"/>
                <w:lang w:val="vi-VN" w:eastAsia="vi-VN" w:bidi="vi-VN"/>
                <w14:textFill>
                  <w14:solidFill>
                    <w14:schemeClr w14:val="tx1"/>
                  </w14:solidFill>
                </w14:textFill>
              </w:rPr>
              <w:t>Hà Nội, ngày 31 tháng 12 năm 2025</w:t>
            </w:r>
          </w:p>
        </w:tc>
      </w:tr>
    </w:tbl>
    <w:p w14:paraId="7FF0681A">
      <w:pPr>
        <w:rPr>
          <w:rFonts w:ascii="Arial" w:hAnsi="Arial" w:cs="Arial"/>
          <w:color w:val="000000" w:themeColor="text1"/>
          <w:sz w:val="20"/>
          <w:szCs w:val="20"/>
          <w14:textFill>
            <w14:solidFill>
              <w14:schemeClr w14:val="tx1"/>
            </w14:solidFill>
          </w14:textFill>
        </w:rPr>
      </w:pPr>
    </w:p>
    <w:p w14:paraId="44D6A7C9">
      <w:pPr>
        <w:rPr>
          <w:rFonts w:ascii="Arial" w:hAnsi="Arial" w:cs="Arial"/>
          <w:color w:val="000000" w:themeColor="text1"/>
          <w:sz w:val="20"/>
          <w:szCs w:val="20"/>
          <w14:textFill>
            <w14:solidFill>
              <w14:schemeClr w14:val="tx1"/>
            </w14:solidFill>
          </w14:textFill>
        </w:rPr>
      </w:pPr>
    </w:p>
    <w:p w14:paraId="79EF9D1D">
      <w:pPr>
        <w:pStyle w:val="4"/>
        <w:shd w:val="clear" w:color="auto" w:fill="auto"/>
        <w:spacing w:after="0" w:line="240" w:lineRule="auto"/>
        <w:ind w:firstLine="0"/>
        <w:jc w:val="center"/>
        <w:rPr>
          <w:rFonts w:ascii="Arial" w:hAnsi="Arial" w:cs="Arial"/>
          <w:color w:val="000000" w:themeColor="text1"/>
          <w:sz w:val="20"/>
          <w:szCs w:val="20"/>
          <w14:textFill>
            <w14:solidFill>
              <w14:schemeClr w14:val="tx1"/>
            </w14:solidFill>
          </w14:textFill>
        </w:rPr>
      </w:pPr>
      <w:r>
        <w:rPr>
          <w:rFonts w:ascii="Arial" w:hAnsi="Arial" w:cs="Arial"/>
          <w:b/>
          <w:bCs/>
          <w:color w:val="000000" w:themeColor="text1"/>
          <w:sz w:val="20"/>
          <w:szCs w:val="20"/>
          <w:lang w:val="vi-VN" w:eastAsia="vi-VN" w:bidi="vi-VN"/>
          <w14:textFill>
            <w14:solidFill>
              <w14:schemeClr w14:val="tx1"/>
            </w14:solidFill>
          </w14:textFill>
        </w:rPr>
        <w:t>NGHỊ ĐỊNH</w:t>
      </w:r>
    </w:p>
    <w:p w14:paraId="47586673">
      <w:pPr>
        <w:pStyle w:val="4"/>
        <w:shd w:val="clear" w:color="auto" w:fill="auto"/>
        <w:spacing w:after="0" w:line="240" w:lineRule="auto"/>
        <w:ind w:firstLine="0"/>
        <w:jc w:val="center"/>
        <w:rPr>
          <w:rFonts w:ascii="Arial" w:hAnsi="Arial" w:cs="Arial"/>
          <w:b/>
          <w:bCs/>
          <w:color w:val="000000" w:themeColor="text1"/>
          <w:sz w:val="20"/>
          <w:szCs w:val="20"/>
          <w:lang w:val="vi-VN" w:eastAsia="vi-VN" w:bidi="vi-VN"/>
          <w14:textFill>
            <w14:solidFill>
              <w14:schemeClr w14:val="tx1"/>
            </w14:solidFill>
          </w14:textFill>
        </w:rPr>
      </w:pPr>
      <w:r>
        <w:rPr>
          <w:rFonts w:ascii="Arial" w:hAnsi="Arial" w:cs="Arial"/>
          <w:b/>
          <w:bCs/>
          <w:color w:val="000000" w:themeColor="text1"/>
          <w:sz w:val="20"/>
          <w:szCs w:val="20"/>
          <w:lang w:val="vi-VN" w:eastAsia="vi-VN" w:bidi="vi-VN"/>
          <w14:textFill>
            <w14:solidFill>
              <w14:schemeClr w14:val="tx1"/>
            </w14:solidFill>
          </w14:textFill>
        </w:rPr>
        <w:t>Quy định chi tiết một số điều và biện pháp thi hành</w:t>
      </w:r>
      <w:r>
        <w:rPr>
          <w:rFonts w:ascii="Arial" w:hAnsi="Arial" w:cs="Arial"/>
          <w:color w:val="000000" w:themeColor="text1"/>
          <w:sz w:val="20"/>
          <w:szCs w:val="20"/>
          <w14:textFill>
            <w14:solidFill>
              <w14:schemeClr w14:val="tx1"/>
            </w14:solidFill>
          </w14:textFill>
        </w:rPr>
        <w:br w:type="textWrapping"/>
      </w:r>
      <w:r>
        <w:rPr>
          <w:rFonts w:ascii="Arial" w:hAnsi="Arial" w:cs="Arial"/>
          <w:b/>
          <w:bCs/>
          <w:color w:val="000000" w:themeColor="text1"/>
          <w:sz w:val="20"/>
          <w:szCs w:val="20"/>
          <w:lang w:val="vi-VN" w:eastAsia="vi-VN" w:bidi="vi-VN"/>
          <w14:textFill>
            <w14:solidFill>
              <w14:schemeClr w14:val="tx1"/>
            </w14:solidFill>
          </w14:textFill>
        </w:rPr>
        <w:t>Luật Bảo vệ dữ liệu cá nhân</w:t>
      </w:r>
    </w:p>
    <w:p w14:paraId="255F1CBA">
      <w:pPr>
        <w:pStyle w:val="4"/>
        <w:shd w:val="clear" w:color="auto" w:fill="auto"/>
        <w:spacing w:after="0" w:line="240" w:lineRule="auto"/>
        <w:ind w:firstLine="0"/>
        <w:jc w:val="center"/>
        <w:rPr>
          <w:rFonts w:ascii="Arial" w:hAnsi="Arial" w:cs="Arial"/>
          <w:color w:val="000000" w:themeColor="text1"/>
          <w:sz w:val="20"/>
          <w:szCs w:val="20"/>
          <w14:textFill>
            <w14:solidFill>
              <w14:schemeClr w14:val="tx1"/>
            </w14:solidFill>
          </w14:textFill>
        </w:rPr>
      </w:pPr>
    </w:p>
    <w:p w14:paraId="4CDDC1F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Căn cứ Luật Tổ chức Chính phủ số 63/2025/QH15;</w:t>
      </w:r>
    </w:p>
    <w:p w14:paraId="72671BF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Căn cứ Luật Bảo vệ dữ liệu cá nhân số 91/2025/QH15;</w:t>
      </w:r>
    </w:p>
    <w:p w14:paraId="78A98B0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Căn cứ Luật Dữ liệu số 60/2024/QH15;</w:t>
      </w:r>
    </w:p>
    <w:p w14:paraId="1B478EB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14:paraId="233BEAF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Theo đề nghị của Bộ trưởng Bộ Công an;</w:t>
      </w:r>
    </w:p>
    <w:p w14:paraId="4CB1B456">
      <w:pPr>
        <w:ind w:firstLine="720"/>
        <w:jc w:val="both"/>
        <w:rPr>
          <w:rFonts w:ascii="Arial" w:hAnsi="Arial" w:cs="Arial"/>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Chính phủ ban hành Nghị định quy định chi tiết một số điều và biện pháp thi hành Luật Bảo vệ dữ liệu cá nhân.</w:t>
      </w:r>
    </w:p>
    <w:p w14:paraId="58602055">
      <w:pPr>
        <w:jc w:val="center"/>
        <w:rPr>
          <w:rFonts w:ascii="Arial" w:hAnsi="Arial" w:cs="Arial"/>
          <w:b/>
          <w:color w:val="000000" w:themeColor="text1"/>
          <w:sz w:val="20"/>
          <w:szCs w:val="20"/>
          <w14:textFill>
            <w14:solidFill>
              <w14:schemeClr w14:val="tx1"/>
            </w14:solidFill>
          </w14:textFill>
        </w:rPr>
      </w:pPr>
    </w:p>
    <w:p w14:paraId="7AC53597">
      <w:pPr>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Chương I</w:t>
      </w:r>
    </w:p>
    <w:p w14:paraId="7AA5E474">
      <w:pPr>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QUY ĐỊNH CHUNG</w:t>
      </w:r>
    </w:p>
    <w:p w14:paraId="56F93A19">
      <w:pPr>
        <w:spacing w:after="120"/>
        <w:ind w:firstLine="720"/>
        <w:jc w:val="both"/>
        <w:rPr>
          <w:rFonts w:ascii="Arial" w:hAnsi="Arial" w:cs="Arial"/>
          <w:color w:val="000000" w:themeColor="text1"/>
          <w:sz w:val="20"/>
          <w:szCs w:val="20"/>
          <w14:textFill>
            <w14:solidFill>
              <w14:schemeClr w14:val="tx1"/>
            </w14:solidFill>
          </w14:textFill>
        </w:rPr>
      </w:pPr>
      <w:r>
        <w:rPr>
          <w:rFonts w:hint="default" w:ascii="Arial" w:hAnsi="Arial" w:cs="Arial"/>
          <w:b/>
          <w:color w:val="000000" w:themeColor="text1"/>
          <w:sz w:val="20"/>
          <w:szCs w:val="20"/>
          <w:lang w:val="vi-VN"/>
          <w14:textFill>
            <w14:solidFill>
              <w14:schemeClr w14:val="tx1"/>
            </w14:solidFill>
          </w14:textFill>
        </w:rPr>
        <w:t>Đ</w:t>
      </w:r>
      <w:r>
        <w:rPr>
          <w:rFonts w:ascii="Arial" w:hAnsi="Arial" w:cs="Arial"/>
          <w:b/>
          <w:color w:val="000000" w:themeColor="text1"/>
          <w:sz w:val="20"/>
          <w:szCs w:val="20"/>
          <w14:textFill>
            <w14:solidFill>
              <w14:schemeClr w14:val="tx1"/>
            </w14:solidFill>
          </w14:textFill>
        </w:rPr>
        <w:t>iều 1. Phạm vi điều chỉnh</w:t>
      </w:r>
    </w:p>
    <w:p w14:paraId="3236AE2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Nghị định này quy định chi tiết khoản 2, khoản 3 Điều 2; khoản 5 Điều 4; khoản 3 Điều 6; khoản 5 Điều 9; khoản 3 Điều 17; khoản 7 Điều 20; khoản 7 Điều 21; khoản 4 Điều 22; khoản 5 Điều 23; khoản 3 Điều 27; khoản 6 Điều 30; điểm b khoản 4 Điều 31; khoản 3 Điều 33; Điều 35; khoản 4 Điều 38 Luật Bảo vệ dữ liệu cá nhân và quy định các biện pháp để tổ chức thi hành Luật về nghiên cứu, phát triển các giải pháp bảo vệ dữ liệu cá nhân, cơ quan chuyên trách bảo vệ dữ liệu cá nhân, Cổng thông tin quốc gia về bảo vệ dữ liệu cá nhân; trách nhiệm của các bộ, ngành, địa phương trong bảo vệ dữ liệu cá nhân; kinh phí bảo đảm hoạt động bảo vệ dữ liệu cá nhân.</w:t>
      </w:r>
    </w:p>
    <w:p w14:paraId="358ACA77">
      <w:pPr>
        <w:spacing w:after="120"/>
        <w:ind w:firstLine="720"/>
        <w:jc w:val="both"/>
        <w:rPr>
          <w:rFonts w:ascii="Arial" w:hAnsi="Arial" w:cs="Arial"/>
          <w:b/>
          <w:color w:val="000000" w:themeColor="text1"/>
          <w:sz w:val="20"/>
          <w:szCs w:val="20"/>
          <w14:textFill>
            <w14:solidFill>
              <w14:schemeClr w14:val="tx1"/>
            </w14:solidFill>
          </w14:textFill>
        </w:rPr>
      </w:pPr>
      <w:bookmarkStart w:id="0" w:name="_GoBack"/>
    </w:p>
    <w:bookmarkEnd w:id="0"/>
    <w:p w14:paraId="76C38BD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 Đối tượng áp dụng</w:t>
      </w:r>
    </w:p>
    <w:p w14:paraId="46D8C57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Cơ quan, tổ chức, cá nhân Việt Nam;</w:t>
      </w:r>
    </w:p>
    <w:p w14:paraId="4112BE7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 Danh mục dữ liệu cá nhân cơ bản</w:t>
      </w:r>
    </w:p>
    <w:p w14:paraId="0721BFF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Dữ liệu cá nhân cơ bản bao gồm:</w:t>
      </w:r>
    </w:p>
    <w:p w14:paraId="34CD127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Họ, chữ đệm và tên khai sinh, tên gọi khác (nếu có);</w:t>
      </w:r>
    </w:p>
    <w:p w14:paraId="3A49FC2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Ngày, tháng, năm sinh; ngày, tháng, năm chết hoặc mất tích;</w:t>
      </w:r>
    </w:p>
    <w:p w14:paraId="435B425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Giới tính;</w:t>
      </w:r>
    </w:p>
    <w:p w14:paraId="1F0D5CE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Nơi sinh, nơi đăng ký khai sinh, nơi đăng ký thường trú, nơi đăng ký tạm trú, nơi ở hiện tại, quê quán, địa chỉ liên hệ;</w:t>
      </w:r>
    </w:p>
    <w:p w14:paraId="5EB1B41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Quốc tịch;</w:t>
      </w:r>
    </w:p>
    <w:p w14:paraId="62572D6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Hình ảnh của cá nhân;</w:t>
      </w:r>
    </w:p>
    <w:p w14:paraId="457587B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7. Số điện thoại, số định danh cá nhân, số hộ chiếu, số giấy phép lái xe, số biển số xe;</w:t>
      </w:r>
    </w:p>
    <w:p w14:paraId="48E4FD6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8. Tình trạng hôn nhân;</w:t>
      </w:r>
    </w:p>
    <w:p w14:paraId="13DB3F6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9. Thông tin về mối quan hệ gia đình (cha mẹ, con, vợ, chồng);</w:t>
      </w:r>
    </w:p>
    <w:p w14:paraId="5D1C0F1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10. Thông tin về tài khoản số của cá nhân;</w:t>
      </w:r>
    </w:p>
    <w:p w14:paraId="187C83F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11. Các thông tin khác gắn liền với một con người cụ thể hoặc giúp xác định một con người cụ thể không thuộc quy định tại Điều 4 Nghị định này.</w:t>
      </w:r>
    </w:p>
    <w:p w14:paraId="7BDF1F3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4. Danh mục dữ liệu cá nhân nhạy cảm</w:t>
      </w:r>
    </w:p>
    <w:p w14:paraId="39BDCA0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Dữ liệu cá nhân nhạy cảm bao gồm:</w:t>
      </w:r>
    </w:p>
    <w:p w14:paraId="40FBBC1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Dữ liệu tiết lộ nguồn gốc chủng tộc, nguồn gốc dân tộc;</w:t>
      </w:r>
    </w:p>
    <w:p w14:paraId="146C9B6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Quan điểm về chính trị, tôn giáo, tín ngưỡng;</w:t>
      </w:r>
    </w:p>
    <w:p w14:paraId="2591688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Thông tin về đời sống riêng tư, bí mật cá nhân, bí mật gia đình;</w:t>
      </w:r>
    </w:p>
    <w:p w14:paraId="5662B9E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Tình trạng sức khỏe;</w:t>
      </w:r>
    </w:p>
    <w:p w14:paraId="2483F1F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Dữ liệu sinh trắc học, đặc điểm di truyền;</w:t>
      </w:r>
    </w:p>
    <w:p w14:paraId="74E5AED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Dữ liệu tiết lộ đời sống tình dục, xu hướng tình dục của cá nhân;</w:t>
      </w:r>
    </w:p>
    <w:p w14:paraId="2A7298A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Dữ liệu về tội phạm, vi phạm pháp luật được thu thập, lưu trữ bởi các cơ quan thực thi pháp luật;</w:t>
      </w:r>
    </w:p>
    <w:p w14:paraId="0957DB7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h) Vị trí của cá nhân được xác định qua dịch vụ định vị;</w:t>
      </w:r>
    </w:p>
    <w:p w14:paraId="0A8B746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i) Thông tin tên đăng nhập và mật khẩu truy cập tài khoản định danh điện tử của cá nhân; hình ảnh thẻ căn cước, thẻ căn cước công dân, chứng minh nhân dân;</w:t>
      </w:r>
    </w:p>
    <w:p w14:paraId="22FD0C7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k) Tên đăng nhập, mật khẩu truy cập của tài khoản ngân hàng; thông tin thẻ ngân hàng, dữ liệu về lịch sử giao dịch của tài khoản ngân hàng; thông tin tài chính, tín dụng và các thông tin về hoạt động, lịch sử giao dịch tài chính, chứng khoán, bảo hiểm của khách hàng tại các tổ chức tín dụng, chi nhánh ngân hàng nước ngoài, tổ chức cung ứng dịch vụ trung gian thanh toán, chứng khoán, bảo hiểm, các tổ chức được phép khác;</w:t>
      </w:r>
    </w:p>
    <w:p w14:paraId="60D375B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l) Dữ liệu theo dõi hành vi, hoạt động sử dụng dịch vụ viễn thông, mạng xã hội, dịch vụ truyền thông trực tuyến và các dịch vụ khác trên không gian mạng;</w:t>
      </w:r>
    </w:p>
    <w:p w14:paraId="2B58A4F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m)Dữ liệu cá nhân khác được pháp luật quy định cần giữ bí mật hoặc cần có biện pháp bảo mật chặt chẽ.</w:t>
      </w:r>
    </w:p>
    <w:p w14:paraId="02BD27EB">
      <w:pPr>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Trong quá trình xử lý dữ liệu cá nhân nhạy cảm, cơ quan, tổ chức phải thiết lập quy định phân quyền giới hạn truy cập, quy trình xử lý và các biện pháp bảo mật.</w:t>
      </w:r>
    </w:p>
    <w:p w14:paraId="2DB11ED7">
      <w:pPr>
        <w:jc w:val="center"/>
        <w:rPr>
          <w:rFonts w:ascii="Arial" w:hAnsi="Arial" w:cs="Arial"/>
          <w:b/>
          <w:color w:val="000000" w:themeColor="text1"/>
          <w:sz w:val="20"/>
          <w:szCs w:val="20"/>
          <w14:textFill>
            <w14:solidFill>
              <w14:schemeClr w14:val="tx1"/>
            </w14:solidFill>
          </w14:textFill>
        </w:rPr>
      </w:pPr>
    </w:p>
    <w:p w14:paraId="7EF8E7FC">
      <w:pPr>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Chương II</w:t>
      </w:r>
    </w:p>
    <w:p w14:paraId="2DE8A323">
      <w:pPr>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YÊU CẦU, ĐIỀU KIỆN BẢO VỆ DỮ LIỆU CÁ NHÂN</w:t>
      </w:r>
    </w:p>
    <w:p w14:paraId="50C74177">
      <w:pPr>
        <w:jc w:val="center"/>
        <w:rPr>
          <w:rFonts w:ascii="Arial" w:hAnsi="Arial" w:cs="Arial"/>
          <w:color w:val="000000" w:themeColor="text1"/>
          <w:sz w:val="20"/>
          <w:szCs w:val="20"/>
          <w14:textFill>
            <w14:solidFill>
              <w14:schemeClr w14:val="tx1"/>
            </w14:solidFill>
          </w14:textFill>
        </w:rPr>
      </w:pPr>
    </w:p>
    <w:p w14:paraId="0727649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5. Thực hiện quyền của chủ thể dữ liệu cá nhân</w:t>
      </w:r>
    </w:p>
    <w:p w14:paraId="0D4A15E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Bên kiểm soát dữ liệu cá nhân, bên kiểm soát và xử lý dữ liệu cá nhân phải xây dựng quy trình, thủ tục, biểu mẫu rõ ràng để thực hiện các quyền của chủ thể dữ liệu cá nhân phù hợp với hoạt động xử lý dữ liệu cá nhân và trách nhiệm các bộ phận có liên quan; đảm bảo chủ thể dữ liệu cá nhân được biết về thủ tục thực hiện các quyền quy định tại khoản 1 Điều 4 của Luật Bảo vệ dữ liệu cá nhân.</w:t>
      </w:r>
    </w:p>
    <w:p w14:paraId="6E37D34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Khi nhận được yêu cầu rút lại sự đồng ý cho phép xử lý dữ liệu cá nhân, hạn chế xử lý dữ liệu cá nhân, phản đối xử lý dữ liệu cá nhân theo đúng thủ tục của chủ thể dữ liệu cá nhân, bên kiểm soát dữ liệu cá nhân, bên kiểm soát và xử lý dữ liệu cá nhân phải phản hồi trong thời hạn 02 ngày làm việc, cung cấp đầy đủ thông tin cho chủ thể dữ liệu cá nhân về thủ tục ngừng xử lý dữ liệu cá nhân và thực hiện trong thời hạn 15 ngày, trừ trường hợp xử lý dữ liệu cá nhân không cần sự đồng ý của chủ thể dữ liệu cá nhân theo quy định tại Điều 19 Luật Bảo vệ dữ liệu cá nhân.Trường hợp cần yêu cầu bên xử lý dữ liệu cá nhân, bên thứ ba ngừng xử lý dữ liệu cá nhân của chủ thể dữ liệu cá nhân thì thực hiện trong thời hạn 20 ngày.</w:t>
      </w:r>
    </w:p>
    <w:p w14:paraId="6EB03A4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Tùy theo tính chất, mức độ phức tạp của yêu cầu, trường hợp cần gia hạn thời gian xử lý thì kéo dài thêm tối đa 01 lần gia hạn trong thời hạn không quá 15 ngày, bên kiểm soát dữ liệu cá nhân, bên kiểm soát và xử lý dữ liệu cá nhân thông báo cho chủ thể dữ liệu cá nhân lý do cần gia hạn và chịu trách nhiệm chứng minh việc gia hạn là cần thiết, hợp lý.</w:t>
      </w:r>
    </w:p>
    <w:p w14:paraId="79B7C12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Khi nhận được yêu cầu xem, chỉnh sửa hoặc yêu cầu chỉnh sửa dữ liệu cá nhân, cung cấp dữ liệu cá nhân theo đúng thủ tục của chủ thể dữ liệu cá nhân, bên kiểm soát dữ liệu cá nhân, bên kiểm soát và xử lý dữ liệu cá nhân phải phản hồi trong thời hạn 02 ngày làm việc, cung cấp đầy đủ thông tin cho chủ thể dữ liệu cá nhân về thủ tục và thực hiện trong thời hạn 10 ngày. Trường hợp cần yêu cầu bên xử lý dữ liệu cá nhân, bên thứ ba chỉnh sửa dữ liệu cá nhân của chủ thể dữ liệu cá nhân thì thực hiện trong thời hạn 15 ngày.</w:t>
      </w:r>
    </w:p>
    <w:p w14:paraId="1978F00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Tùy theo tính chất, mức độ phức tạp của yêu cầu, trường hợp cần gia hạn thời gian xử lý thì kéo dài thêm tối đa 01 lần gia hạn trong thời hạn không quá 10 ngày, bên kiểm soát dữ liệu cá nhân, bên kiểm soát và xử lý dữ liệu cá nhân thông báo cho chủ thể dữ liệu cá nhân lý do cần gia hạn và chịu trách nhiệm chứng minh việc gia hạn là cần thiết, hợp lý.</w:t>
      </w:r>
    </w:p>
    <w:p w14:paraId="4F9CD25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Khi nhận được yêu cầu xóa dữ liệu cá nhân theo đúng thủ tục của chủ thể dữ liệu cá nhân, bên kiểm soát dữ liệu cá nhân, bên kiểm soát và xử lý dữ liệu cá nhân phải phản hồi trong thời hạn 02 ngày làm việc, cung cấp đầy đủ thông tin cho chủ thể dữ liệu cá nhân về thủ tục và thực hiện trong thời hạn 20 ngày. Trường hợp cần yêu cầu bên xử lý dữ liệu cá nhân, bên thứ ba cung cấp, xóa, hạn chế xử lý dữ liệu của chủ thể dữ liệu cá nhân thì thực hiện trong thời hạn 30 ngày.</w:t>
      </w:r>
    </w:p>
    <w:p w14:paraId="4E3E74B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Tùy theo tính chất, mức độ phức tạp của yêu cầu, trường hợp cần gia hạn thời gian xử lý thì kéo dài thêm tối đa 01 lần gia hạn trong thời hạn không quá 20 ngày, bên kiểm soát dữ liệu cá nhân, bên kiểm soát và xử lý dữ liệu cá nhân thông báo cho chủ thể dữ liệu cá nhân lý do cần gia hạn và chịu trách nhiệm chứng minh việc gia hạn là cần thiết, hợp lý.</w:t>
      </w:r>
    </w:p>
    <w:p w14:paraId="4D0FE51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Khi nhận được yêu cầu thực hiện các biện pháp, giải pháp bảo vệ dữ liệu cá nhân của mình theo đúng thủ tục của chủ thể dữ liệu cá nhân, cơ quan có thẩm quyền hoặc cơ quan, tổ chức, cá nhân liên quan đến xử lý dữ liệu cá nhân phải phản hồi trong thời hạn 02 ngày làm việc, cung cấp đầy đủ thông tin cho chủ thể dữ liệu cá nhân về thủ tục và thực hiện trong thời hạn 15 ngày.</w:t>
      </w:r>
    </w:p>
    <w:p w14:paraId="75D4C36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Tùy theo tính chất, mức độ phức tạp của yêu cầu, trường hợp cần gia hạn thời gian xử lý thì kéo dài thêm tối đa 01 lần gia hạn trong thời hạn không quá 15 ngày, bên kiểm soát dữ liệu cá nhân, bên kiểm soát và xử lý dữ liệu cá nhân thông báo cho chủ thể dữ liệu cá nhân lý do cần gia hạn và chịu trách nhiệm chứng minh việc gia hạn là cần thiết, hợp lý.</w:t>
      </w:r>
    </w:p>
    <w:p w14:paraId="7E591FA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6. Phương thức thể hiện sự đồng ý của chủ thể dữ liệu cá nhân</w:t>
      </w:r>
    </w:p>
    <w:p w14:paraId="3C2056C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Các phương thức xin sự đồng ý của chủ thể dữ liệu cá nhân phải bảo đảm khả năng kiểm chứng được về việc xác định chủ thể dữ liệu cá nhân đã thực hiện sự đồng ý, thời điểm và nội dung được đồng ý, bao gồm:</w:t>
      </w:r>
    </w:p>
    <w:p w14:paraId="3FAD2B8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Bằng văn bản;</w:t>
      </w:r>
    </w:p>
    <w:p w14:paraId="716B350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Bằng cuộc gọi ghi âm;</w:t>
      </w:r>
    </w:p>
    <w:p w14:paraId="38DE31B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Cú pháp đồng ý qua tin nhắn điện thoại;</w:t>
      </w:r>
    </w:p>
    <w:p w14:paraId="3F265A8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Qua thư điện tử, trên trang thông tin điện tử, nền tảng, ứng dụng có thiết lập kỹ thuật xin sự đồng ý;</w:t>
      </w:r>
    </w:p>
    <w:p w14:paraId="3D6AC79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Bằng các phương thức khác phù hợp có thể in, sao chép bằng văn bản, bao gồm cả dưới dạng điện tử hoặc định dạng kiểm chứng được.</w:t>
      </w:r>
    </w:p>
    <w:p w14:paraId="4478366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Bên kiểm soát dữ liệu, bên kiểm soát và xử lý dữ liệu cá nhân phải lưu trữ sự đồng ý của chủ thể dữ liệu. Trong trường hợp có tranh chấp, trách nhiệm chứng minh sự đồng ý của chủ thể dữ liệu thuộc về bên kiểm soát dữ liệu cá nhân, bên kiểm soát và xử lý dữ liệu cá nhân.</w:t>
      </w:r>
    </w:p>
    <w:p w14:paraId="52CB4CD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Bên kiểm soát dữ liệu cá nhân, bên kiểm soát và xử lý dữ liệu cá nhân không được thiết lập phương thức mặc định đồng ý hoặc tạo ra các chỉ dẫn không rõ ràng, gây hiểu lầm giữa đồng ý và không đồng ý cho chủ thể dữ liệu. Các thiết lập mặc định sẵn có phải đảm bảo nguyên tắc bảo vệ dữ liệu cá nhân, tôn trọng các quyền của chủ thể dữ liệu cá nhân.</w:t>
      </w:r>
    </w:p>
    <w:p w14:paraId="5C4F4B3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Đối với việc xin sự đồng ý xử lý dữ liệu cá nhân nhạy cảm, chủ thể dữ liệu phải được thông báo rằng dữ liệu cần xử lý là dữ liệu cá nhân nhạy cảm.</w:t>
      </w:r>
    </w:p>
    <w:p w14:paraId="6904590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7. Chuyển giao dữ liệu cá nhân</w:t>
      </w:r>
    </w:p>
    <w:p w14:paraId="66D89DF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Tổ chức, cá nhân chuyển giao dữ liệu cá nhân theo điểm a, điểm c, điểm d khoản 1 Điều 17 của Luật Bảo vệ dữ liệu cá nhân phải xác lập thỏa thuận về việc chuyển giao dữ liệu cá nhân với bên nhận dữ liệu cá nhân, trong đó nêu rõ các nội dung sau:</w:t>
      </w:r>
    </w:p>
    <w:p w14:paraId="1F31C61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Mục đích chuyển giao dữ liệu cá nhân;</w:t>
      </w:r>
    </w:p>
    <w:p w14:paraId="5388DEE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Đối tượng chủ thể dữ liệu cá nhân và loại dữ liệu cá nhân được chuyển giao phù hợp với mục đích chuyển giao;</w:t>
      </w:r>
    </w:p>
    <w:p w14:paraId="44DD3F5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Thời hạn xử lý dữ liệu cá nhân, yêu cầu về xóa, hủy dữ liệu cá nhân sau khi hoàn thành mục đích chuyển giao;</w:t>
      </w:r>
    </w:p>
    <w:p w14:paraId="76D4594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Cơ sở pháp lý của việc chuyển giao dữ liệu cá nhân;</w:t>
      </w:r>
    </w:p>
    <w:p w14:paraId="4B72D79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Trách nhiệm bảo vệ dữ liệu cá nhân trong quá trình chuyển giao, xử lý dữ liệu cá nhân;</w:t>
      </w:r>
    </w:p>
    <w:p w14:paraId="0FC6403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Trách nhiệm thực hiện các quyền của chủ thể dữ liệu cá nhân;</w:t>
      </w:r>
    </w:p>
    <w:p w14:paraId="439AF8F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Trách nhiệm phối hợp và tuân thủ của các bên trong trường hợp phát hiện vi phạm quy định bảo vệ dữ liệu cá nhân.</w:t>
      </w:r>
    </w:p>
    <w:p w14:paraId="2B4EEEC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Việc chuyển giao dữ liệu cá nhân nhạy cảm phải có biện pháp bảo mật vật lý đối với thiết bị lưu trữ và truyền tải, biện pháp mã hóa, ẩn danh dữ liệu cá nhân và các biện pháp bảo mật khác trong quá trình chuyển giao.</w:t>
      </w:r>
    </w:p>
    <w:p w14:paraId="0E2B459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Trường hợp chuyển giao dữ liệu cá nhân theo điểm a, điểm d khoản 1 Điều 17 của Luật Bảo vệ dữ liệu cá nhân có thu phí để cung cấp dịch vụ cho chủ thể dữ liệu cá nhân hoặc để phục vụ lợi ích hợp pháp của chủ thể dữ liệu cá nhân, tổ chức, cá nhân tuân thủ các quy định như sau:</w:t>
      </w:r>
    </w:p>
    <w:p w14:paraId="2D18E6D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Phải thiết lập hệ thống kỹ thuật, cơ chế minh bạch để chủ thể dữ liệu cá nhân đồng ý chính xác, rõ ràng theo từng lần chuyển giao, trên cơ sở được biết chính xác mục đích chuyển giao, tổ chức, cá nhân tiếp nhận và xử lý dữ liệu cá nhân;</w:t>
      </w:r>
    </w:p>
    <w:p w14:paraId="2F5D19D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Chỉ được xử lý dữ liệu cá nhân đúng cho mục đích chuyển giao được chủ thể dữ liệu cá nhân đồng ý, phù hợp với ngành, nghề đăng ký kinh doanh;</w:t>
      </w:r>
    </w:p>
    <w:p w14:paraId="21B5A62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Loại dữ liệu cá nhân chuyển giao phải giới hạn trong phạm vi mục đích chuyển giao;</w:t>
      </w:r>
    </w:p>
    <w:p w14:paraId="50B4C7F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Không được thu thập, lưu trữ, hình thành kho dữ liệu cá nhân từ hoạt động chuyển giao dữ liệu cá nhân để sử dụng cho các mục đích khác ngoài các mục đích đã được chủ thể dữ liệu cá nhân đồng ý;</w:t>
      </w:r>
    </w:p>
    <w:p w14:paraId="4269253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Xác định rõ vai trò bên kiểm soát dữ liệu cá nhân, bên xử lý dữ liệu cá nhân, bên thứ ba trong hoạt động chuyển giao dữ liệu cá nhân;</w:t>
      </w:r>
    </w:p>
    <w:p w14:paraId="56C6069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Phải có thỏa thuận chuyển giao, xử lý dữ liệu cá nhân trước khi chuyển và cam kết trách nhiệm, nghĩa vụ với chủ thể dữ liệu cá nhân.</w:t>
      </w:r>
    </w:p>
    <w:p w14:paraId="05F8F8D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Trường hợp chia sẻ dữ liệu cá nhân giữa các bộ phận trong cùng một cơ quan, tổ chức để xử lý dữ liệu cá nhân phù hợp với mục đích xử lý đã xác lập, cơ quan, tổ chức phải xây dựng quy trình kiểm soát việc chia sẻ, sử dụng dữ liệu cá nhân đúng quy định; có biện pháp phòng, chống việc nhân sự nội bộ cơ quan, tổ chức chia sẻ trái phép dữ liệu cá nhân với bên thứ ba.</w:t>
      </w:r>
    </w:p>
    <w:p w14:paraId="3B6E822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Dữ liệu cá nhân phải được khử nhận dạng trước khi giao dịch trên sàn dữ liệu.</w:t>
      </w:r>
    </w:p>
    <w:p w14:paraId="1984FC2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Cơ quan, tổ chức, cá nhân thực hiện cung cấp dữ liệu cá nhân theo khoản 2 Điều 15 của Luật Bảo vệ dữ liệu cá nhân dựa trên từng yêu cầu cụ thể của chủ thể dữ liệu thì không được coi là chuyển giao dữ liệu và không phải thực hiện theo quy định tại Điều này.</w:t>
      </w:r>
    </w:p>
    <w:p w14:paraId="118E1C8F">
      <w:pPr>
        <w:jc w:val="center"/>
        <w:rPr>
          <w:rFonts w:ascii="Arial" w:hAnsi="Arial" w:cs="Arial"/>
          <w:b/>
          <w:color w:val="000000" w:themeColor="text1"/>
          <w:sz w:val="20"/>
          <w:szCs w:val="20"/>
          <w14:textFill>
            <w14:solidFill>
              <w14:schemeClr w14:val="tx1"/>
            </w14:solidFill>
          </w14:textFill>
        </w:rPr>
      </w:pPr>
    </w:p>
    <w:p w14:paraId="13EA4D5A">
      <w:pPr>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Chương III</w:t>
      </w:r>
    </w:p>
    <w:p w14:paraId="1EA64067">
      <w:pPr>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Hồ sơ, trình tự, thủ tục về dữ liệu cá nhân</w:t>
      </w:r>
    </w:p>
    <w:p w14:paraId="6B016690">
      <w:pPr>
        <w:jc w:val="center"/>
        <w:rPr>
          <w:rFonts w:ascii="Arial" w:hAnsi="Arial" w:cs="Arial"/>
          <w:color w:val="000000" w:themeColor="text1"/>
          <w:sz w:val="20"/>
          <w:szCs w:val="20"/>
          <w14:textFill>
            <w14:solidFill>
              <w14:schemeClr w14:val="tx1"/>
            </w14:solidFill>
          </w14:textFill>
        </w:rPr>
      </w:pPr>
    </w:p>
    <w:p w14:paraId="0827310F">
      <w:pPr>
        <w:spacing w:after="120"/>
        <w:ind w:firstLine="720"/>
        <w:jc w:val="both"/>
        <w:rPr>
          <w:rFonts w:ascii="Arial" w:hAnsi="Arial" w:cs="Arial"/>
          <w:color w:val="000000" w:themeColor="text1"/>
          <w:sz w:val="20"/>
          <w:szCs w:val="20"/>
          <w14:textFill>
            <w14:solidFill>
              <w14:schemeClr w14:val="tx1"/>
            </w14:solidFill>
          </w14:textFill>
        </w:rPr>
      </w:pPr>
    </w:p>
    <w:p w14:paraId="60DE648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21. Dịch vụ xử lý dữ liệu cá nhân</w:t>
      </w:r>
    </w:p>
    <w:p w14:paraId="4EC3D53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Dịch vụ cung cấp và vận hành hệ thống, phần mềm tự động để thay mặt bên kiểm soát, bên kiểm soát và xử lý tiến hành xử lý dữ liệu cá nhân.</w:t>
      </w:r>
    </w:p>
    <w:p w14:paraId="49D7FCC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Dịch vụ chấm điểm, xếp hạng, đánh giá mức độ tín nhiệm của chủ thể dữ liệu cá nhân.</w:t>
      </w:r>
    </w:p>
    <w:p w14:paraId="7E08DE3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Dịch vụ thu thập, xử lý dữ liệu cá nhân trực tuyến từ trang web, ứng dụng, phần mềm và mạng xã hội.</w:t>
      </w:r>
    </w:p>
    <w:p w14:paraId="3541DD3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Dịch vụ thu thập, xử lý dữ liệu cá nhân qua trang web, ứng dụng, phần mềm chăm sóc sức khỏe, theo dõi sức khỏe, dịch vụ y tế.</w:t>
      </w:r>
    </w:p>
    <w:p w14:paraId="3AD05CE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Dịch vụ thu thập, xử lý dữ liệu cá nhân qua ứng dụng, phần mềm giáo dục có yếu tố giám sát như điểm danh, ghi hình, chấm điểm hành vi, nhận diện cảm xúc.</w:t>
      </w:r>
    </w:p>
    <w:p w14:paraId="6689B0A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Dịch vụ phân tích và khai thác dữ liệu cá nhân, gồm: sử dụng các công cụ phân tích để tìm kiếm thông tin, xu hướng và mẫu từ dữ liệu cá nhân; áp dụng các phương pháp khai thác dữ liệu để trích xuất giá trị từ dữ liệu cá nhân, dự đoán hành vi người dùng hoặc tối ưu hóa dịch vụ.</w:t>
      </w:r>
    </w:p>
    <w:p w14:paraId="4B4C197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7. Dịch vụ mã hóa dữ liệu cá nhân trong quá trình truyền tải và lưu trữ.</w:t>
      </w:r>
    </w:p>
    <w:p w14:paraId="4178E52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8. Dịch vụ xử lý dữ liệu cá nhân tự động dựa trên công nghệ dữ liệu lớn, trí tuệ nhân tạo, chuỗi khối, vũ trụ ảo.</w:t>
      </w:r>
    </w:p>
    <w:p w14:paraId="55FC18F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9. Dịch vụ nền tảng ứng dụng cung cấp dữ liệu vị trí cá nhân.</w:t>
      </w:r>
    </w:p>
    <w:p w14:paraId="4DBD120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28. Nội dung thông báo vi phạm quy định về bảo vệ dữ liệu cá nhân</w:t>
      </w:r>
    </w:p>
    <w:p w14:paraId="696A6E8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Nội dung thông báo vi phạm quy định về bảo vệ dữ liệu cá nhân, gồm:</w:t>
      </w:r>
    </w:p>
    <w:p w14:paraId="331F7A9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Mô tả tính chất của việc vi phạm quy định bảo vệ dữ liệu cá nhân, bao gồm: thời gian, địa điểm, hành vi, tổ chức, cá nhân, các loại dữ liệu cá nhân và số lượng dữ liệu liên quan;</w:t>
      </w:r>
    </w:p>
    <w:p w14:paraId="59AF30F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Chi tiết liên lạc của bộ phận, nhân sự bảo vệ dữ liệu cá nhân hoặc tổ chức, cá nhân cung cấp dịch vụ bảo vệ dữ liệu cá nhân;</w:t>
      </w:r>
    </w:p>
    <w:p w14:paraId="30F5AD4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Mô tả các hậu quả, thiệt hại có thể xảy ra của việc vi phạm quy định bảo vệ dữ liệu cá nhân;</w:t>
      </w:r>
    </w:p>
    <w:p w14:paraId="5C06205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Mô tả biện pháp được đưa ra để giải quyết, giảm thiểu tác hại của hành vi vi phạm quy định bảo vệ dữ liệu cá nhân.</w:t>
      </w:r>
    </w:p>
    <w:p w14:paraId="72137A6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Bên kiểm soát dữ liệu cá nhân, bên kiểm soát và xử lý dữ liệu cá nhân, bên xử lý bên thứ ba gửi thông báo vi phạm quy định về dữ liệu cá nhân đến cơ quan chuyên trách bảo vệ dữ liệu cá nhân hoặc qua cổng thông tin quốc gia về bảo vệ dữ liệu cá nhân theo Mẫu số 08 tại Phụ lục của Nghị định này.</w:t>
      </w:r>
    </w:p>
    <w:p w14:paraId="704AADB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29. Thông báo vi phạm đối với dữ liệu vị trí cá nhân và dữ liệu sinh trắc học</w:t>
      </w:r>
    </w:p>
    <w:p w14:paraId="7BF7DEA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Khi xảy ra sự cố vi phạm dữ liệu cá nhân liên quan đến dữ liệu vị trí hoặc dữ liệu sinh trắc học, bên kiểm soát dữ liệu cá nhân hoặc bên kiểm soát và xử lý dữ liệu cá nhân có trách nhiệm:</w:t>
      </w:r>
    </w:p>
    <w:p w14:paraId="6F26D43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Thông báo cho chủ thể dữ liệu bị ảnh hưởng trong thời hạn không quá 72 giờ kể từ thời điểm phát hiện vi phạm;</w:t>
      </w:r>
    </w:p>
    <w:p w14:paraId="3FA8FAF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Báo cáo cho cơ quan nhà nước có thẩm quyền theo quy định tại Điều 28 Nghị định này;</w:t>
      </w:r>
    </w:p>
    <w:p w14:paraId="50B057E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Ghi nhận, lưu trữ và cập nhật hồ sơ vi phạm phục vụ công tác thanh tra, kiểm tra và xử lý. Tổ chức phải lưu hồ sơ vi phạm trong thời gian tối thiểu 5 năm kể từ ngày khắc phục xong sự cố.</w:t>
      </w:r>
    </w:p>
    <w:p w14:paraId="18291D0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Thông báo cho chủ thể dữ liệu theo điểm a khoản 1 Điều này phải bao gồm tối thiểu các nội dung sau:</w:t>
      </w:r>
    </w:p>
    <w:p w14:paraId="7C4B3C6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Thời điểm và hình thức phát hiện vi phạm;</w:t>
      </w:r>
    </w:p>
    <w:p w14:paraId="6D5A2C3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Loại dữ liệu bị ảnh hưởng (vị trí, sinh trắc học hoặc cả hai);</w:t>
      </w:r>
    </w:p>
    <w:p w14:paraId="375F155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Mức độ nghiêm trọng và các rủi ro có thể xảy ra đối với quyền và lợi ích hợp pháp của chủ thể dữ liệu;</w:t>
      </w:r>
    </w:p>
    <w:p w14:paraId="55C1AE7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Biện pháp đã, đang và sẽ được thực hiện để khắc phục sự cố và giảm thiểu thiệt hại;</w:t>
      </w:r>
    </w:p>
    <w:p w14:paraId="024E4C7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Hướng dẫn chủ thể dữ liệu thực hiện các biện pháp phòng ngừa, ngăn chặn tiếp theo;</w:t>
      </w:r>
    </w:p>
    <w:p w14:paraId="10D75CA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Thông tin liên hệ của bộ phận, nhân sự bảo vệ dữ liệu cá nhân hoặc tổ chức, cá nhân cung cấp dịch vụ bảo vệ dữ liệu cá nhân; bộ phận tiếp nhận, xử lý sự cố dữ liệu cá nhân tại tổ chức.</w:t>
      </w:r>
    </w:p>
    <w:p w14:paraId="310A1EB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Trường hợp tổ chức, cá nhân không thể thông báo cho tất cả chủ thể dữ liệu cá nhân bị ảnh hưởng trong thời hạn nêu tại khoản 1 Điều này vì lý do kỹ thuật hoặc khẩn cấp, phải thực hiện:</w:t>
      </w:r>
    </w:p>
    <w:p w14:paraId="6C49AEE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Thông báo công khai bằng phương tiện điện tử chính thức của tổ chức qua trang thông tin điện tử, ứng dụng;</w:t>
      </w:r>
    </w:p>
    <w:p w14:paraId="61C8560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Gửi thông báo cho chủ thể dữ liệu cá nhân liên quan ngay khi điều kiện kỹ thuật cho phép.</w:t>
      </w:r>
    </w:p>
    <w:p w14:paraId="5D99DAC2">
      <w:pPr>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Trường hợp tổ chức, cá nhân không thực hiện thông báo đúng hạn hoặc cố tình trì hoãn, né tránh nghĩa vụ thông báo sẽ bị xem xét xử lý vi phạm theo quy định của pháp luật.</w:t>
      </w:r>
    </w:p>
    <w:p w14:paraId="726A1A7E">
      <w:pPr>
        <w:jc w:val="center"/>
        <w:rPr>
          <w:rFonts w:ascii="Arial" w:hAnsi="Arial" w:cs="Arial"/>
          <w:b/>
          <w:color w:val="000000" w:themeColor="text1"/>
          <w:sz w:val="20"/>
          <w:szCs w:val="20"/>
          <w14:textFill>
            <w14:solidFill>
              <w14:schemeClr w14:val="tx1"/>
            </w14:solidFill>
          </w14:textFill>
        </w:rPr>
      </w:pPr>
    </w:p>
    <w:p w14:paraId="09F94DB8">
      <w:pPr>
        <w:tabs>
          <w:tab w:val="left" w:pos="4212"/>
        </w:tabs>
        <w:adjustRightInd w:val="0"/>
        <w:snapToGrid w:val="0"/>
        <w:rPr>
          <w:rFonts w:ascii="Arial" w:hAnsi="Arial" w:cs="Arial"/>
          <w:color w:val="000000" w:themeColor="text1"/>
          <w:sz w:val="20"/>
          <w:szCs w:val="20"/>
          <w14:textFill>
            <w14:solidFill>
              <w14:schemeClr w14:val="tx1"/>
            </w14:solidFill>
          </w14:textFill>
        </w:rPr>
      </w:pPr>
    </w:p>
    <w:sectPr>
      <w:pgSz w:w="11906" w:h="16838"/>
      <w:pgMar w:top="1440" w:right="1440" w:bottom="1440" w:left="1440" w:header="0" w:footer="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221"/>
    <w:rsid w:val="00001057"/>
    <w:rsid w:val="0007689A"/>
    <w:rsid w:val="00143F65"/>
    <w:rsid w:val="00265221"/>
    <w:rsid w:val="002E29CC"/>
    <w:rsid w:val="003702D0"/>
    <w:rsid w:val="00483B56"/>
    <w:rsid w:val="00606756"/>
    <w:rsid w:val="006E5405"/>
    <w:rsid w:val="00784F12"/>
    <w:rsid w:val="008D4252"/>
    <w:rsid w:val="008F1A89"/>
    <w:rsid w:val="00B53CA4"/>
    <w:rsid w:val="00D72178"/>
    <w:rsid w:val="00D874CE"/>
    <w:rsid w:val="00E252EE"/>
    <w:rsid w:val="00E81517"/>
    <w:rsid w:val="00E869EE"/>
    <w:rsid w:val="00FB276D"/>
    <w:rsid w:val="0D097A7D"/>
    <w:rsid w:val="214C4D66"/>
    <w:rsid w:val="3FE945E8"/>
    <w:rsid w:val="44076BA3"/>
    <w:rsid w:val="73F00142"/>
    <w:rsid w:val="79BD0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8"/>
    <w:qFormat/>
    <w:uiPriority w:val="0"/>
    <w:pPr>
      <w:widowControl w:val="0"/>
      <w:shd w:val="clear" w:color="auto" w:fill="FFFFFF"/>
      <w:spacing w:after="220" w:line="288" w:lineRule="auto"/>
      <w:ind w:firstLine="400"/>
    </w:pPr>
    <w:rPr>
      <w:sz w:val="26"/>
      <w:szCs w:val="26"/>
    </w:rPr>
  </w:style>
  <w:style w:type="paragraph" w:styleId="5">
    <w:name w:val="footer"/>
    <w:basedOn w:val="1"/>
    <w:link w:val="13"/>
    <w:unhideWhenUsed/>
    <w:qFormat/>
    <w:uiPriority w:val="99"/>
    <w:pPr>
      <w:tabs>
        <w:tab w:val="center" w:pos="4513"/>
        <w:tab w:val="right" w:pos="9026"/>
      </w:tabs>
    </w:pPr>
  </w:style>
  <w:style w:type="paragraph" w:styleId="6">
    <w:name w:val="header"/>
    <w:basedOn w:val="1"/>
    <w:link w:val="12"/>
    <w:unhideWhenUsed/>
    <w:uiPriority w:val="99"/>
    <w:pPr>
      <w:tabs>
        <w:tab w:val="center" w:pos="4513"/>
        <w:tab w:val="right" w:pos="9026"/>
      </w:tabs>
    </w:pPr>
  </w:style>
  <w:style w:type="table" w:styleId="7">
    <w:name w:val="Table Grid"/>
    <w:basedOn w:val="3"/>
    <w:qFormat/>
    <w:uiPriority w:val="39"/>
    <w:pPr>
      <w:spacing w:after="0" w:line="240" w:lineRule="auto"/>
    </w:pPr>
    <w:rPr>
      <w:rFonts w:eastAsiaTheme="minorEastAsia"/>
      <w:kern w:val="2"/>
      <w:sz w:val="24"/>
      <w:szCs w:val="24"/>
      <w:lang w:val="vi-VN" w:eastAsia="vi-VN"/>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Body Text Char"/>
    <w:basedOn w:val="2"/>
    <w:link w:val="4"/>
    <w:qFormat/>
    <w:uiPriority w:val="0"/>
    <w:rPr>
      <w:rFonts w:ascii="Times New Roman" w:hAnsi="Times New Roman" w:eastAsia="Times New Roman" w:cs="Times New Roman"/>
      <w:sz w:val="26"/>
      <w:szCs w:val="26"/>
      <w:shd w:val="clear" w:color="auto" w:fill="FFFFFF"/>
    </w:rPr>
  </w:style>
  <w:style w:type="character" w:customStyle="1" w:styleId="9">
    <w:name w:val="Heading #1_"/>
    <w:basedOn w:val="2"/>
    <w:link w:val="10"/>
    <w:qFormat/>
    <w:uiPriority w:val="0"/>
    <w:rPr>
      <w:rFonts w:ascii="Times New Roman" w:hAnsi="Times New Roman" w:eastAsia="Times New Roman" w:cs="Times New Roman"/>
      <w:b/>
      <w:bCs/>
      <w:sz w:val="26"/>
      <w:szCs w:val="26"/>
      <w:shd w:val="clear" w:color="auto" w:fill="FFFFFF"/>
    </w:rPr>
  </w:style>
  <w:style w:type="paragraph" w:customStyle="1" w:styleId="10">
    <w:name w:val="Heading #1"/>
    <w:basedOn w:val="1"/>
    <w:link w:val="9"/>
    <w:qFormat/>
    <w:uiPriority w:val="0"/>
    <w:pPr>
      <w:widowControl w:val="0"/>
      <w:shd w:val="clear" w:color="auto" w:fill="FFFFFF"/>
      <w:spacing w:after="220" w:line="276" w:lineRule="auto"/>
      <w:ind w:firstLine="600"/>
      <w:outlineLvl w:val="0"/>
    </w:pPr>
    <w:rPr>
      <w:b/>
      <w:bCs/>
      <w:sz w:val="26"/>
      <w:szCs w:val="26"/>
    </w:rPr>
  </w:style>
  <w:style w:type="character" w:customStyle="1" w:styleId="11">
    <w:name w:val="Body Text Char1"/>
    <w:basedOn w:val="2"/>
    <w:semiHidden/>
    <w:qFormat/>
    <w:uiPriority w:val="99"/>
    <w:rPr>
      <w:rFonts w:ascii="Times New Roman" w:hAnsi="Times New Roman" w:eastAsia="Times New Roman" w:cs="Times New Roman"/>
      <w:sz w:val="24"/>
      <w:szCs w:val="24"/>
    </w:rPr>
  </w:style>
  <w:style w:type="character" w:customStyle="1" w:styleId="12">
    <w:name w:val="Header Char"/>
    <w:basedOn w:val="2"/>
    <w:link w:val="6"/>
    <w:qFormat/>
    <w:uiPriority w:val="99"/>
    <w:rPr>
      <w:rFonts w:ascii="Times New Roman" w:hAnsi="Times New Roman" w:eastAsia="Times New Roman" w:cs="Times New Roman"/>
      <w:sz w:val="24"/>
      <w:szCs w:val="24"/>
    </w:rPr>
  </w:style>
  <w:style w:type="character" w:customStyle="1" w:styleId="13">
    <w:name w:val="Footer Char"/>
    <w:basedOn w:val="2"/>
    <w:link w:val="5"/>
    <w:uiPriority w:val="99"/>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3679</Words>
  <Characters>12323</Characters>
  <Lines>900</Lines>
  <Paragraphs>253</Paragraphs>
  <TotalTime>0</TotalTime>
  <ScaleCrop>false</ScaleCrop>
  <LinksUpToDate>false</LinksUpToDate>
  <CharactersWithSpaces>15876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2026-01-01T17:25:00Z</dcterms:created>
  <dc:creator>DELL</dc:creator>
  <cp:lastModifiedBy>Phúc Châu</cp:lastModifiedBy>
  <dcterms:modified xsi:type="dcterms:W3CDTF">2026-09-21T10:19:57Z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959F07F1396E43DA91EAB4E482BF88C2_12</vt:lpwstr>
  </property>
</Properties>
</file>