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3620"/>
        <w:gridCol w:w="5956"/>
      </w:tblGrid>
      <w:tr w14:paraId="5861B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04" w:hRule="atLeast"/>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04F9D572">
            <w:pPr>
              <w:jc w:val="center"/>
              <w:rPr>
                <w:rFonts w:ascii="Arial" w:hAnsi="Arial" w:cs="Arial"/>
                <w:color w:val="000000" w:themeColor="text1"/>
                <w:sz w:val="20"/>
                <w:szCs w:val="20"/>
                <w14:textFill>
                  <w14:solidFill>
                    <w14:schemeClr w14:val="tx1"/>
                  </w14:solidFill>
                </w14:textFill>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694313BE">
            <w:pPr>
              <w:jc w:val="center"/>
              <w:rPr>
                <w:rFonts w:ascii="Arial" w:hAnsi="Arial" w:cs="Arial"/>
                <w:color w:val="000000" w:themeColor="text1"/>
                <w:sz w:val="20"/>
                <w:szCs w:val="20"/>
                <w:vertAlign w:val="superscript"/>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CỘNG HÒA XÃ HỘI CHỦ NGHĨA VIỆT NAM</w:t>
            </w:r>
            <w:r>
              <w:rPr>
                <w:rFonts w:ascii="Arial" w:hAnsi="Arial" w:cs="Arial"/>
                <w:b/>
                <w:bCs/>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14:textFill>
                  <w14:solidFill>
                    <w14:schemeClr w14:val="tx1"/>
                  </w14:solidFill>
                </w14:textFill>
              </w:rPr>
              <w:t xml:space="preserve">Độc lập - Tự do - Hạnh phúc </w:t>
            </w:r>
            <w:r>
              <w:rPr>
                <w:rFonts w:ascii="Arial" w:hAnsi="Arial" w:cs="Arial"/>
                <w:b/>
                <w:bCs/>
                <w:color w:val="000000" w:themeColor="text1"/>
                <w:sz w:val="20"/>
                <w:szCs w:val="20"/>
                <w14:textFill>
                  <w14:solidFill>
                    <w14:schemeClr w14:val="tx1"/>
                  </w14:solidFill>
                </w14:textFill>
              </w:rPr>
              <w:br w:type="textWrapping"/>
            </w:r>
            <w:r>
              <w:rPr>
                <w:rFonts w:ascii="Arial" w:hAnsi="Arial" w:cs="Arial"/>
                <w:b/>
                <w:bCs/>
                <w:color w:val="000000" w:themeColor="text1"/>
                <w:sz w:val="20"/>
                <w:szCs w:val="20"/>
                <w:vertAlign w:val="superscript"/>
                <w14:textFill>
                  <w14:solidFill>
                    <w14:schemeClr w14:val="tx1"/>
                  </w14:solidFill>
                </w14:textFill>
              </w:rPr>
              <w:t>_____________________</w:t>
            </w:r>
          </w:p>
          <w:p w14:paraId="0793A625">
            <w:pPr>
              <w:jc w:val="center"/>
              <w:rPr>
                <w:rFonts w:ascii="Arial" w:hAnsi="Arial" w:cs="Arial"/>
                <w:color w:val="000000" w:themeColor="text1"/>
                <w:sz w:val="20"/>
                <w:szCs w:val="20"/>
                <w14:textFill>
                  <w14:solidFill>
                    <w14:schemeClr w14:val="tx1"/>
                  </w14:solidFill>
                </w14:textFill>
              </w:rPr>
            </w:pPr>
          </w:p>
        </w:tc>
      </w:tr>
    </w:tbl>
    <w:p w14:paraId="5EE4890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w:t>
      </w:r>
    </w:p>
    <w:p w14:paraId="145BF960">
      <w:pPr>
        <w:jc w:val="center"/>
        <w:rPr>
          <w:rFonts w:ascii="Arial" w:hAnsi="Arial" w:cs="Arial"/>
          <w:color w:val="000000" w:themeColor="text1"/>
          <w:sz w:val="20"/>
          <w:szCs w:val="20"/>
          <w14:textFill>
            <w14:solidFill>
              <w14:schemeClr w14:val="tx1"/>
            </w14:solidFill>
          </w14:textFill>
        </w:rPr>
      </w:pPr>
      <w:bookmarkStart w:id="0" w:name="loai_1"/>
      <w:r>
        <w:rPr>
          <w:rFonts w:ascii="Arial" w:hAnsi="Arial" w:cs="Arial"/>
          <w:b/>
          <w:bCs/>
          <w:color w:val="000000" w:themeColor="text1"/>
          <w:sz w:val="20"/>
          <w:szCs w:val="20"/>
          <w14:textFill>
            <w14:solidFill>
              <w14:schemeClr w14:val="tx1"/>
            </w14:solidFill>
          </w14:textFill>
        </w:rPr>
        <w:t>BỘ LUẬT</w:t>
      </w:r>
      <w:bookmarkEnd w:id="0"/>
    </w:p>
    <w:p w14:paraId="2085B1CA">
      <w:pPr>
        <w:jc w:val="center"/>
        <w:rPr>
          <w:rFonts w:ascii="Arial" w:hAnsi="Arial" w:cs="Arial"/>
          <w:b/>
          <w:bCs/>
          <w:color w:val="000000" w:themeColor="text1"/>
          <w:sz w:val="20"/>
          <w:szCs w:val="20"/>
          <w14:textFill>
            <w14:solidFill>
              <w14:schemeClr w14:val="tx1"/>
            </w14:solidFill>
          </w14:textFill>
        </w:rPr>
      </w:pPr>
      <w:r>
        <w:rPr>
          <w:rFonts w:ascii="Arial" w:hAnsi="Arial" w:cs="Arial"/>
          <w:b/>
          <w:bCs/>
          <w:color w:val="000000" w:themeColor="text1"/>
          <w:sz w:val="20"/>
          <w:szCs w:val="20"/>
          <w14:textFill>
            <w14:solidFill>
              <w14:schemeClr w14:val="tx1"/>
            </w14:solidFill>
          </w14:textFill>
        </w:rPr>
        <w:t>HÌNH SỰ</w:t>
      </w:r>
    </w:p>
    <w:p w14:paraId="09E1AEA4">
      <w:pPr>
        <w:jc w:val="center"/>
        <w:rPr>
          <w:rFonts w:ascii="Arial" w:hAnsi="Arial" w:cs="Arial"/>
          <w:color w:val="000000" w:themeColor="text1"/>
          <w:sz w:val="20"/>
          <w:szCs w:val="20"/>
          <w14:textFill>
            <w14:solidFill>
              <w14:schemeClr w14:val="tx1"/>
            </w14:solidFill>
          </w14:textFill>
        </w:rPr>
      </w:pPr>
    </w:p>
    <w:p w14:paraId="225F693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Bộ luật Hình sự số 100/2015/QH13 ngày 27 tháng 11 năm 2015 của Quốc hội, có hiệu lực kể từ ngày 01 tháng 01 năm 2018</w:t>
      </w:r>
      <w:bookmarkStart w:id="1" w:name="_ftnref1"/>
      <w:bookmarkEnd w:id="1"/>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được sửa đổi, bổ sung bởi:</w:t>
      </w:r>
    </w:p>
    <w:p w14:paraId="3DB1710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Luật số 12/2017/QH14 ngày 20 tháng 6 năm 2017 của Quốc hội sửa đổi, bổ sung một số điều của Bộ luật Hình sự số 100/2015/QH13, có hiệu lực kể từ ngày 01 tháng 01 năm 2018;</w:t>
      </w:r>
    </w:p>
    <w:p w14:paraId="6E8B864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Luật Tư pháp người chưa thành niên số 59/2024/QH15 ngày 30 tháng 11 năm 2024 của Quốc hội, có hiệu lực kể từ ngày 01 tháng 01 năm 2026;</w:t>
      </w:r>
    </w:p>
    <w:p w14:paraId="7C39DF1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Luật số 86/2025/QH15 ngày 25 tháng 6 năm 2025 của Quốc hội sửa đổi, bổ sung một số điều của Bộ luật Hình sự, có hiệu lực kể từ ngày 01 tháng 7 năm 2025.</w:t>
      </w:r>
    </w:p>
    <w:p w14:paraId="40DBF35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i/>
          <w:iCs/>
          <w:color w:val="000000" w:themeColor="text1"/>
          <w:sz w:val="20"/>
          <w:szCs w:val="20"/>
          <w14:textFill>
            <w14:solidFill>
              <w14:schemeClr w14:val="tx1"/>
            </w14:solidFill>
          </w14:textFill>
        </w:rPr>
        <w:t>Căn cứ Hiến pháp nước Cộng hòa xã hội chủ nghĩa Việt Nam; Quốc hội ban hành Bộ luật Hình sự</w:t>
      </w:r>
      <w:bookmarkStart w:id="2" w:name="_ftnref2"/>
      <w:bookmarkEnd w:id="2"/>
      <w:r>
        <w:rPr>
          <w:rFonts w:ascii="Arial" w:hAnsi="Arial" w:cs="Arial"/>
          <w:i/>
          <w:iCs/>
          <w:color w:val="000000" w:themeColor="text1"/>
          <w:sz w:val="20"/>
          <w:szCs w:val="20"/>
          <w14:textFill>
            <w14:solidFill>
              <w14:schemeClr w14:val="tx1"/>
            </w14:solidFill>
          </w14:textFill>
        </w:rPr>
        <w:fldChar w:fldCharType="begin"/>
      </w:r>
      <w:r>
        <w:rPr>
          <w:rFonts w:ascii="Arial" w:hAnsi="Arial" w:cs="Arial"/>
          <w:i/>
          <w:iCs/>
          <w:color w:val="000000" w:themeColor="text1"/>
          <w:sz w:val="20"/>
          <w:szCs w:val="20"/>
          <w14:textFill>
            <w14:solidFill>
              <w14:schemeClr w14:val="tx1"/>
            </w14:solidFill>
          </w14:textFill>
        </w:rPr>
        <w:instrText xml:space="preserve"> HYPERLINK \l "_ftn2" </w:instrText>
      </w:r>
      <w:r>
        <w:rPr>
          <w:rFonts w:ascii="Arial" w:hAnsi="Arial" w:cs="Arial"/>
          <w:i/>
          <w:iCs/>
          <w:color w:val="000000" w:themeColor="text1"/>
          <w:sz w:val="20"/>
          <w:szCs w:val="20"/>
          <w14:textFill>
            <w14:solidFill>
              <w14:schemeClr w14:val="tx1"/>
            </w14:solidFill>
          </w14:textFill>
        </w:rPr>
        <w:fldChar w:fldCharType="separate"/>
      </w:r>
      <w:r>
        <w:rPr>
          <w:rFonts w:ascii="Arial" w:hAnsi="Arial" w:cs="Arial"/>
          <w:i/>
          <w:iCs/>
          <w:color w:val="000000" w:themeColor="text1"/>
          <w:sz w:val="20"/>
          <w:szCs w:val="20"/>
          <w:u w:val="single"/>
          <w14:textFill>
            <w14:solidFill>
              <w14:schemeClr w14:val="tx1"/>
            </w14:solidFill>
          </w14:textFill>
        </w:rPr>
        <w:t>[2]</w:t>
      </w:r>
      <w:r>
        <w:rPr>
          <w:rFonts w:ascii="Arial" w:hAnsi="Arial" w:cs="Arial"/>
          <w:i/>
          <w:iCs/>
          <w:color w:val="000000" w:themeColor="text1"/>
          <w:sz w:val="20"/>
          <w:szCs w:val="20"/>
          <w14:textFill>
            <w14:solidFill>
              <w14:schemeClr w14:val="tx1"/>
            </w14:solidFill>
          </w14:textFill>
        </w:rPr>
        <w:fldChar w:fldCharType="end"/>
      </w:r>
      <w:r>
        <w:rPr>
          <w:rFonts w:ascii="Arial" w:hAnsi="Arial" w:cs="Arial"/>
          <w:i/>
          <w:iCs/>
          <w:color w:val="000000" w:themeColor="text1"/>
          <w:sz w:val="20"/>
          <w:szCs w:val="20"/>
          <w14:textFill>
            <w14:solidFill>
              <w14:schemeClr w14:val="tx1"/>
            </w14:solidFill>
          </w14:textFill>
        </w:rPr>
        <w:t>.</w:t>
      </w:r>
    </w:p>
    <w:p w14:paraId="5C4E9F9D">
      <w:pPr>
        <w:spacing w:after="120"/>
        <w:jc w:val="center"/>
        <w:rPr>
          <w:rFonts w:ascii="Arial" w:hAnsi="Arial" w:cs="Arial"/>
          <w:color w:val="000000" w:themeColor="text1"/>
          <w:sz w:val="20"/>
          <w:szCs w:val="20"/>
          <w14:textFill>
            <w14:solidFill>
              <w14:schemeClr w14:val="tx1"/>
            </w14:solidFill>
          </w14:textFill>
        </w:rPr>
      </w:pPr>
      <w:bookmarkStart w:id="3" w:name="chuong_1"/>
      <w:r>
        <w:rPr>
          <w:rFonts w:ascii="Arial" w:hAnsi="Arial" w:cs="Arial"/>
          <w:b/>
          <w:bCs/>
          <w:color w:val="000000" w:themeColor="text1"/>
          <w:sz w:val="20"/>
          <w:szCs w:val="20"/>
          <w14:textFill>
            <w14:solidFill>
              <w14:schemeClr w14:val="tx1"/>
            </w14:solidFill>
          </w14:textFill>
        </w:rPr>
        <w:t>Phần thứ nhất</w:t>
      </w:r>
      <w:bookmarkEnd w:id="3"/>
    </w:p>
    <w:p w14:paraId="6695CAF4">
      <w:pPr>
        <w:spacing w:after="120"/>
        <w:jc w:val="center"/>
        <w:rPr>
          <w:rFonts w:ascii="Arial" w:hAnsi="Arial" w:cs="Arial"/>
          <w:color w:val="000000" w:themeColor="text1"/>
          <w:sz w:val="20"/>
          <w:szCs w:val="20"/>
          <w14:textFill>
            <w14:solidFill>
              <w14:schemeClr w14:val="tx1"/>
            </w14:solidFill>
          </w14:textFill>
        </w:rPr>
      </w:pPr>
      <w:bookmarkStart w:id="4" w:name="chuong_1_name"/>
      <w:r>
        <w:rPr>
          <w:rFonts w:ascii="Arial" w:hAnsi="Arial" w:cs="Arial"/>
          <w:b/>
          <w:bCs/>
          <w:color w:val="000000" w:themeColor="text1"/>
          <w:sz w:val="20"/>
          <w:szCs w:val="20"/>
          <w14:textFill>
            <w14:solidFill>
              <w14:schemeClr w14:val="tx1"/>
            </w14:solidFill>
          </w14:textFill>
        </w:rPr>
        <w:t>NHỮNG QUY ĐỊNH CHUNG</w:t>
      </w:r>
      <w:bookmarkEnd w:id="4"/>
    </w:p>
    <w:p w14:paraId="244F43F2">
      <w:pPr>
        <w:spacing w:after="120"/>
        <w:jc w:val="center"/>
        <w:rPr>
          <w:rFonts w:ascii="Arial" w:hAnsi="Arial" w:cs="Arial"/>
          <w:color w:val="000000" w:themeColor="text1"/>
          <w:sz w:val="20"/>
          <w:szCs w:val="20"/>
          <w14:textFill>
            <w14:solidFill>
              <w14:schemeClr w14:val="tx1"/>
            </w14:solidFill>
          </w14:textFill>
        </w:rPr>
      </w:pPr>
      <w:bookmarkStart w:id="5" w:name="chuong_3"/>
      <w:r>
        <w:rPr>
          <w:rFonts w:ascii="Arial" w:hAnsi="Arial" w:cs="Arial"/>
          <w:b/>
          <w:bCs/>
          <w:color w:val="000000" w:themeColor="text1"/>
          <w:sz w:val="20"/>
          <w:szCs w:val="20"/>
          <w14:textFill>
            <w14:solidFill>
              <w14:schemeClr w14:val="tx1"/>
            </w14:solidFill>
          </w14:textFill>
        </w:rPr>
        <w:t>Chương III</w:t>
      </w:r>
      <w:bookmarkEnd w:id="5"/>
      <w:r>
        <w:rPr>
          <w:rFonts w:ascii="Arial" w:hAnsi="Arial" w:cs="Arial"/>
          <w:b/>
          <w:bCs/>
          <w:color w:val="000000" w:themeColor="text1"/>
          <w:sz w:val="20"/>
          <w:szCs w:val="20"/>
          <w14:textFill>
            <w14:solidFill>
              <w14:schemeClr w14:val="tx1"/>
            </w14:solidFill>
          </w14:textFill>
        </w:rPr>
        <w:t xml:space="preserve"> </w:t>
      </w:r>
    </w:p>
    <w:p w14:paraId="6FC93272">
      <w:pPr>
        <w:spacing w:after="120"/>
        <w:jc w:val="center"/>
        <w:rPr>
          <w:rFonts w:ascii="Arial" w:hAnsi="Arial" w:cs="Arial"/>
          <w:color w:val="000000" w:themeColor="text1"/>
          <w:sz w:val="20"/>
          <w:szCs w:val="20"/>
          <w14:textFill>
            <w14:solidFill>
              <w14:schemeClr w14:val="tx1"/>
            </w14:solidFill>
          </w14:textFill>
        </w:rPr>
      </w:pPr>
      <w:bookmarkStart w:id="6" w:name="chuong_3_name"/>
      <w:r>
        <w:rPr>
          <w:rFonts w:ascii="Arial" w:hAnsi="Arial" w:cs="Arial"/>
          <w:b/>
          <w:bCs/>
          <w:color w:val="000000" w:themeColor="text1"/>
          <w:sz w:val="20"/>
          <w:szCs w:val="20"/>
          <w14:textFill>
            <w14:solidFill>
              <w14:schemeClr w14:val="tx1"/>
            </w14:solidFill>
          </w14:textFill>
        </w:rPr>
        <w:t>TỘI PHẠM</w:t>
      </w:r>
      <w:bookmarkEnd w:id="6"/>
    </w:p>
    <w:p w14:paraId="0ECE02E7">
      <w:pPr>
        <w:spacing w:after="120"/>
        <w:ind w:firstLine="720"/>
        <w:jc w:val="both"/>
        <w:rPr>
          <w:rFonts w:ascii="Arial" w:hAnsi="Arial" w:cs="Arial"/>
          <w:color w:val="000000" w:themeColor="text1"/>
          <w:sz w:val="20"/>
          <w:szCs w:val="20"/>
          <w14:textFill>
            <w14:solidFill>
              <w14:schemeClr w14:val="tx1"/>
            </w14:solidFill>
          </w14:textFill>
        </w:rPr>
      </w:pPr>
      <w:bookmarkStart w:id="7" w:name="dieu_8"/>
      <w:r>
        <w:rPr>
          <w:rFonts w:ascii="Arial" w:hAnsi="Arial" w:cs="Arial"/>
          <w:b/>
          <w:bCs/>
          <w:color w:val="000000" w:themeColor="text1"/>
          <w:sz w:val="20"/>
          <w:szCs w:val="20"/>
          <w14:textFill>
            <w14:solidFill>
              <w14:schemeClr w14:val="tx1"/>
            </w14:solidFill>
          </w14:textFill>
        </w:rPr>
        <w:t>Điều 8. Khái niệm tội phạm</w:t>
      </w:r>
      <w:bookmarkEnd w:id="7"/>
    </w:p>
    <w:p w14:paraId="66B8139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nhất, toàn vẹn lãnh thổ Tổ quốc, xâm phạm chế độ chính trị, chế độ kinh tế, nền văn hoá,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14:paraId="7898188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Những hành vi tuy có dấu hiệu của tội phạm nhưng tính chất nguy hiểm cho xã hội không đáng kể thì không phải là tội phạm và được xử lý bằng các biện pháp khác.</w:t>
      </w:r>
    </w:p>
    <w:p w14:paraId="20F8C63F">
      <w:pPr>
        <w:spacing w:after="120"/>
        <w:ind w:firstLine="720"/>
        <w:jc w:val="both"/>
        <w:rPr>
          <w:rFonts w:ascii="Arial" w:hAnsi="Arial" w:cs="Arial"/>
          <w:color w:val="000000" w:themeColor="text1"/>
          <w:sz w:val="20"/>
          <w:szCs w:val="20"/>
          <w14:textFill>
            <w14:solidFill>
              <w14:schemeClr w14:val="tx1"/>
            </w14:solidFill>
          </w14:textFill>
        </w:rPr>
      </w:pPr>
      <w:bookmarkStart w:id="8" w:name="dieu_134"/>
      <w:r>
        <w:rPr>
          <w:rFonts w:ascii="Arial" w:hAnsi="Arial" w:cs="Arial"/>
          <w:b/>
          <w:bCs/>
          <w:color w:val="000000" w:themeColor="text1"/>
          <w:sz w:val="20"/>
          <w:szCs w:val="20"/>
          <w14:textFill>
            <w14:solidFill>
              <w14:schemeClr w14:val="tx1"/>
            </w14:solidFill>
          </w14:textFill>
        </w:rPr>
        <w:t>Điều 134. Tội cố ý gây thương tích hoặc gây tổn hại cho sức khỏe của người khác</w:t>
      </w:r>
      <w:bookmarkEnd w:id="8"/>
      <w:bookmarkStart w:id="9" w:name="_ftnref42"/>
      <w:bookmarkEnd w:id="9"/>
      <w:r>
        <w:rPr>
          <w:rFonts w:ascii="Arial" w:hAnsi="Arial" w:cs="Arial"/>
          <w:b/>
          <w:bCs/>
          <w:color w:val="000000" w:themeColor="text1"/>
          <w:sz w:val="20"/>
          <w:szCs w:val="20"/>
          <w14:textFill>
            <w14:solidFill>
              <w14:schemeClr w14:val="tx1"/>
            </w14:solidFill>
          </w14:textFill>
        </w:rPr>
        <w:fldChar w:fldCharType="begin"/>
      </w:r>
      <w:r>
        <w:rPr>
          <w:rFonts w:ascii="Arial" w:hAnsi="Arial" w:cs="Arial"/>
          <w:b/>
          <w:bCs/>
          <w:color w:val="000000" w:themeColor="text1"/>
          <w:sz w:val="20"/>
          <w:szCs w:val="20"/>
          <w14:textFill>
            <w14:solidFill>
              <w14:schemeClr w14:val="tx1"/>
            </w14:solidFill>
          </w14:textFill>
        </w:rPr>
        <w:instrText xml:space="preserve"> HYPERLINK \l "_ftn42" </w:instrText>
      </w:r>
      <w:r>
        <w:rPr>
          <w:rFonts w:ascii="Arial" w:hAnsi="Arial" w:cs="Arial"/>
          <w:b/>
          <w:bCs/>
          <w:color w:val="000000" w:themeColor="text1"/>
          <w:sz w:val="20"/>
          <w:szCs w:val="20"/>
          <w14:textFill>
            <w14:solidFill>
              <w14:schemeClr w14:val="tx1"/>
            </w14:solidFill>
          </w14:textFill>
        </w:rPr>
        <w:fldChar w:fldCharType="separate"/>
      </w:r>
      <w:r>
        <w:rPr>
          <w:rFonts w:ascii="Arial" w:hAnsi="Arial" w:cs="Arial"/>
          <w:b/>
          <w:bCs/>
          <w:color w:val="000000" w:themeColor="text1"/>
          <w:sz w:val="20"/>
          <w:szCs w:val="20"/>
          <w:u w:val="single"/>
          <w14:textFill>
            <w14:solidFill>
              <w14:schemeClr w14:val="tx1"/>
            </w14:solidFill>
          </w14:textFill>
        </w:rPr>
        <w:t>[42]</w:t>
      </w:r>
      <w:r>
        <w:rPr>
          <w:rFonts w:ascii="Arial" w:hAnsi="Arial" w:cs="Arial"/>
          <w:b/>
          <w:bCs/>
          <w:color w:val="000000" w:themeColor="text1"/>
          <w:sz w:val="20"/>
          <w:szCs w:val="20"/>
          <w14:textFill>
            <w14:solidFill>
              <w14:schemeClr w14:val="tx1"/>
            </w14:solidFill>
          </w14:textFill>
        </w:rPr>
        <w:fldChar w:fldCharType="end"/>
      </w:r>
    </w:p>
    <w:p w14:paraId="2CC67B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cố ý gây thương tích hoặc gây tổn hại cho sức khỏe của người khác mà tỷ lệ tổn thương cơ thể từ 11% đến 30% hoặc dưới 11% nhưng thuộc một trong các trường hợp sau đây, thì bị phạt cải tạo không giam giữ đến 03 năm hoặc phạt tù từ 06 tháng đến 03 năm:</w:t>
      </w:r>
    </w:p>
    <w:p w14:paraId="236EA25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Dùng vũ khí, vật liệu nổ, hung khí nguy hiểm hoặc thủ đoạn có khả năng gây nguy hại cho nhiều người;</w:t>
      </w:r>
    </w:p>
    <w:p w14:paraId="64B9BBC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Dùng a-xít nguy hiểm hoặc hóa chất nguy hiểm;</w:t>
      </w:r>
    </w:p>
    <w:p w14:paraId="303D216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Đối với người dưới 16 tuổi, phụ nữ mà biết là có thai, người già yếu, ốm đau hoặc người khác không có khả năng tự vệ;</w:t>
      </w:r>
    </w:p>
    <w:p w14:paraId="77BB3B8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Đối với ông, bà, cha, mẹ, thầy giáo, cô giáo của mình, người nuôi dưỡng, chữa bệnh cho mình;</w:t>
      </w:r>
    </w:p>
    <w:p w14:paraId="2788D7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Có tổ chức;</w:t>
      </w:r>
    </w:p>
    <w:p w14:paraId="3D2EA4E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Lợi dụng chức vụ, quyền hạn;</w:t>
      </w:r>
    </w:p>
    <w:p w14:paraId="29AF71D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Trong thời gian đang bị giữ, tạm giữ, tạm giam, đang chấp hành án phạt tù, đang chấp hành biện pháp</w:t>
      </w:r>
      <w:bookmarkStart w:id="10" w:name="_ftnref43"/>
      <w:bookmarkEnd w:id="10"/>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"_ftn43"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[43]</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giáo dục tại trường giáo dưỡng hoặc đang chấp hành biện pháp xử lý vi phạm hành chính đưa vào cơ sở giáo dục bắt buộc, đưa vào trường giáo dưỡng hoặc đưa vào cơ sở cai nghiện bắt buộc;</w:t>
      </w:r>
    </w:p>
    <w:p w14:paraId="73BFB0A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Thuê gây thương tích hoặc gây tổn hại cho sức khỏe của người khác hoặc gây thương tích hoặc gây tổn hại cho sức khỏe của người khác do được thuê;</w:t>
      </w:r>
    </w:p>
    <w:p w14:paraId="5A3ADA1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i) Có tính chất côn đồ;</w:t>
      </w:r>
    </w:p>
    <w:p w14:paraId="7BD8C44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k) Đối với người đang thi hành công vụ hoặc vì lý do công vụ của nạn nhân.</w:t>
      </w:r>
    </w:p>
    <w:p w14:paraId="1EC692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02 năm đến 06 năm:</w:t>
      </w:r>
    </w:p>
    <w:p w14:paraId="1A9B560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Gây thương tích hoặc gây tổn hại cho sức khỏe của người khác mà tỷ lệ tổn thương cơ thể từ 31% đến 60%;</w:t>
      </w:r>
    </w:p>
    <w:p w14:paraId="3BCC345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tỷ lệ tổn thương cơ thể của mỗi người từ 11% đến 30%;</w:t>
      </w:r>
    </w:p>
    <w:p w14:paraId="159B851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Phạm tội 02 lần trở lên;</w:t>
      </w:r>
    </w:p>
    <w:p w14:paraId="0DDDF76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Tái phạm nguy hiểm;</w:t>
      </w:r>
    </w:p>
    <w:p w14:paraId="3D30FD8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p>
    <w:p w14:paraId="47399BA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05 năm đến 10 năm:</w:t>
      </w:r>
    </w:p>
    <w:p w14:paraId="2664896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Gây thương tích hoặc gây tổn hại cho sức khỏe của người khác mà tỷ lệ tổn thương cơ thể 61% trở lên, nếu không thuộc trường hợp quy định tại điểm b khoản 4 Điều này;</w:t>
      </w:r>
    </w:p>
    <w:p w14:paraId="7B1F4B2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tỷ lệ tổn thương cơ thể của mỗi người từ 31% đến 60%;</w:t>
      </w:r>
    </w:p>
    <w:p w14:paraId="5D12BDB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14:paraId="0E6C8D0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14:paraId="08553B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thuộc một trong các trường hợp sau đây, thì bị phạt tù từ 07 năm đến 14 năm:</w:t>
      </w:r>
    </w:p>
    <w:p w14:paraId="7B00557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người;</w:t>
      </w:r>
    </w:p>
    <w:p w14:paraId="6328ED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làm biến dạng vùng mặt của người khác mà tỷ lệ tổn thương cơ thể 61% trở lên;</w:t>
      </w:r>
    </w:p>
    <w:p w14:paraId="38A4833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hoặc gây tổn hại cho sức khỏe của 02 người trở lên mà tỷ lệ tổn thương cơ thể của mỗi người 61% trở lên;</w:t>
      </w:r>
    </w:p>
    <w:p w14:paraId="2D1F4DE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14:paraId="3EDC6F6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14:paraId="6023BA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Phạm tội thuộc một trong các trường hợp sau đây, thì bị phạt tù từ 12 năm đến 20 năm hoặc tù chung thân:</w:t>
      </w:r>
    </w:p>
    <w:p w14:paraId="0D6A289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02 người trở lên;</w:t>
      </w:r>
    </w:p>
    <w:p w14:paraId="00CEFFD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14:paraId="0FD36D6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6. Người nào chuẩn bị vũ khí, vật liệu nổ, hung khí nguy hiểm, a-xít nguy hiểm, hóa chất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14:paraId="496C013F">
      <w:pPr>
        <w:spacing w:after="120"/>
        <w:ind w:firstLine="720"/>
        <w:jc w:val="both"/>
        <w:rPr>
          <w:rFonts w:ascii="Arial" w:hAnsi="Arial" w:cs="Arial"/>
          <w:color w:val="000000" w:themeColor="text1"/>
          <w:sz w:val="20"/>
          <w:szCs w:val="20"/>
          <w14:textFill>
            <w14:solidFill>
              <w14:schemeClr w14:val="tx1"/>
            </w14:solidFill>
          </w14:textFill>
        </w:rPr>
      </w:pPr>
      <w:bookmarkStart w:id="11" w:name="dieu_155"/>
      <w:r>
        <w:rPr>
          <w:rFonts w:ascii="Arial" w:hAnsi="Arial" w:cs="Arial"/>
          <w:b/>
          <w:bCs/>
          <w:color w:val="000000" w:themeColor="text1"/>
          <w:sz w:val="20"/>
          <w:szCs w:val="20"/>
          <w14:textFill>
            <w14:solidFill>
              <w14:schemeClr w14:val="tx1"/>
            </w14:solidFill>
          </w14:textFill>
        </w:rPr>
        <w:t>Điều 155. Tội làm nhục người khác</w:t>
      </w:r>
      <w:bookmarkEnd w:id="11"/>
    </w:p>
    <w:p w14:paraId="04681CE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xúc phạm nghiêm trọng nhân phẩm, danh dự của người khác, thì bị phạt cảnh cáo, phạt tiền từ 10.000.000 đồng đến 30.000.000 đồng hoặc phạt cải tạo không giam giữ đến 03 năm.</w:t>
      </w:r>
    </w:p>
    <w:p w14:paraId="0F061BF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03 tháng đến 02 năm:</w:t>
      </w:r>
    </w:p>
    <w:p w14:paraId="5873BF3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Phạm tội 02 lần trở lên;</w:t>
      </w:r>
    </w:p>
    <w:p w14:paraId="6994421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Đối với 02 người trở lên;</w:t>
      </w:r>
    </w:p>
    <w:p w14:paraId="3005D6A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Lợi dụng chức vụ, quyền hạn;</w:t>
      </w:r>
    </w:p>
    <w:p w14:paraId="628A2D6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Đối với người đang thi hành công vụ;</w:t>
      </w:r>
    </w:p>
    <w:p w14:paraId="282D857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Đối với người dạy dỗ, nuôi dưỡng, chăm sóc, chữa bệnh cho mình;</w:t>
      </w:r>
    </w:p>
    <w:p w14:paraId="37FEFE2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Sử dụng mạng máy tính hoặc mạng viễn thông, phương tiện điện tử để phạm tội;</w:t>
      </w:r>
    </w:p>
    <w:p w14:paraId="5DDBD15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Gây rối loạn tâm thần và hành vi của nạn nhân mà tỷ lệ tổn thương cơ thể từ 31% đến 60%</w:t>
      </w:r>
      <w:bookmarkStart w:id="12" w:name="_ftnref77"/>
      <w:bookmarkEnd w:id="12"/>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"_ftn77"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[77]</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2781740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02 năm đến 05 năm:</w:t>
      </w:r>
    </w:p>
    <w:p w14:paraId="4D2B116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Gây rối loạn tâm thần và hành vi của nạn nhân mà tỷ lệ tổn thương cơ thể 61% trở lên</w:t>
      </w:r>
      <w:bookmarkStart w:id="13" w:name="_ftnref78"/>
      <w:bookmarkEnd w:id="13"/>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"_ftn78"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[78]</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0B335C5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Làm nạn nhân tự sát.</w:t>
      </w:r>
    </w:p>
    <w:p w14:paraId="3E0CDC3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Người phạm tội còn có thể bị cấm đảm nhiệm chức vụ, cấm hành nghề hoặc làm công việc nhất định từ 01 năm đến 05 năm.</w:t>
      </w:r>
    </w:p>
    <w:p w14:paraId="728FBB79">
      <w:pPr>
        <w:spacing w:after="120"/>
        <w:ind w:firstLine="720"/>
        <w:jc w:val="both"/>
        <w:rPr>
          <w:rFonts w:ascii="Arial" w:hAnsi="Arial" w:cs="Arial"/>
          <w:color w:val="000000" w:themeColor="text1"/>
          <w:sz w:val="20"/>
          <w:szCs w:val="20"/>
          <w14:textFill>
            <w14:solidFill>
              <w14:schemeClr w14:val="tx1"/>
            </w14:solidFill>
          </w14:textFill>
        </w:rPr>
      </w:pPr>
      <w:bookmarkStart w:id="14" w:name="dieu_156"/>
      <w:r>
        <w:rPr>
          <w:rFonts w:ascii="Arial" w:hAnsi="Arial" w:cs="Arial"/>
          <w:b/>
          <w:bCs/>
          <w:color w:val="000000" w:themeColor="text1"/>
          <w:sz w:val="20"/>
          <w:szCs w:val="20"/>
          <w14:textFill>
            <w14:solidFill>
              <w14:schemeClr w14:val="tx1"/>
            </w14:solidFill>
          </w14:textFill>
        </w:rPr>
        <w:t>Điều 156. Tội vu khống</w:t>
      </w:r>
      <w:bookmarkEnd w:id="14"/>
    </w:p>
    <w:p w14:paraId="3AE0CE7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thực hiện một trong các hành vi sau đây, thì bị phạt tiền từ 10.000.000 đồng đến 50.000.000 đồng, phạt cải tạo không giam giữ đến 02 năm hoặc phạt tù từ 03 tháng đến 01 năm:</w:t>
      </w:r>
    </w:p>
    <w:p w14:paraId="103EA05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Bịa đặt hoặc loan truyền những điều biết rõ là sai sự thật nhằm xúc phạm nghiêm trọng nhân phẩm, danh dự hoặc gây thiệt hại đến quyền, lợi ích hợp pháp của người khác;</w:t>
      </w:r>
    </w:p>
    <w:p w14:paraId="48CC03C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Bịa đặt người khác phạm tội và tố cáo họ trước cơ quan có thẩm quyền.</w:t>
      </w:r>
    </w:p>
    <w:p w14:paraId="056769A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01 năm đến 03 năm:</w:t>
      </w:r>
    </w:p>
    <w:p w14:paraId="047A067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70689C8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chức vụ, quyền hạn;</w:t>
      </w:r>
    </w:p>
    <w:p w14:paraId="5AA286E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Đối với 02 người trở lên;</w:t>
      </w:r>
    </w:p>
    <w:p w14:paraId="42459AA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Đối với ông, bà, cha, mẹ, người dạy dỗ, nuôi dưỡng, chăm sóc, giáo dục, chữa bệnh cho mình;</w:t>
      </w:r>
    </w:p>
    <w:p w14:paraId="0B5F534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Đối với người đang thi hành công vụ;</w:t>
      </w:r>
    </w:p>
    <w:p w14:paraId="736A101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Sử dụng mạng máy tính hoặc mạng viễn thông, phương tiện điện tử để phạm tội;</w:t>
      </w:r>
    </w:p>
    <w:p w14:paraId="3E0B00B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Gây rối loạn tâm thần và hành vi của nạn nhân mà tỷ lệ tổn thương cơ thể từ 31% đến 60%</w:t>
      </w:r>
      <w:bookmarkStart w:id="15" w:name="_ftnref79"/>
      <w:bookmarkEnd w:id="1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"_ftn79"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[79]</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55B34F2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Vu khống người khác phạm tội rất nghiêm trọng hoặc đặc biệt nghiêm trọng.</w:t>
      </w:r>
    </w:p>
    <w:p w14:paraId="1913066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03 năm đến 07 năm:</w:t>
      </w:r>
    </w:p>
    <w:p w14:paraId="241F8FB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Vì động cơ đê hèn;</w:t>
      </w:r>
    </w:p>
    <w:p w14:paraId="25CC9F3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rối loạn tâm thần và hành vi của nạn nhân mà tỷ lệ tổn thương cơ thể 61% trở lên</w:t>
      </w:r>
      <w:bookmarkStart w:id="16" w:name="_ftnref80"/>
      <w:bookmarkEnd w:id="16"/>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"_ftn80"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[80]</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7B6812C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Làm nạn nhân tự sát.</w:t>
      </w:r>
    </w:p>
    <w:p w14:paraId="2C9C5EA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Người phạm tội còn có thể bị phạt tiền từ 10.000.000 đồng đến 50.000.000 đồng, cấm đảm nhiệm chức vụ, cấm hành nghề hoặc làm công việc nhất định từ 01 năm đến 05 năm.</w:t>
      </w:r>
    </w:p>
    <w:p w14:paraId="08DCA7D0">
      <w:pPr>
        <w:spacing w:after="120"/>
        <w:jc w:val="center"/>
        <w:rPr>
          <w:rFonts w:ascii="Arial" w:hAnsi="Arial" w:cs="Arial"/>
          <w:color w:val="000000" w:themeColor="text1"/>
          <w:sz w:val="20"/>
          <w:szCs w:val="20"/>
          <w14:textFill>
            <w14:solidFill>
              <w14:schemeClr w14:val="tx1"/>
            </w14:solidFill>
          </w14:textFill>
        </w:rPr>
      </w:pPr>
      <w:bookmarkStart w:id="17" w:name="chuong_15"/>
      <w:r>
        <w:rPr>
          <w:rFonts w:ascii="Arial" w:hAnsi="Arial" w:cs="Arial"/>
          <w:b/>
          <w:bCs/>
          <w:color w:val="000000" w:themeColor="text1"/>
          <w:sz w:val="20"/>
          <w:szCs w:val="20"/>
          <w14:textFill>
            <w14:solidFill>
              <w14:schemeClr w14:val="tx1"/>
            </w14:solidFill>
          </w14:textFill>
        </w:rPr>
        <w:t>Chương XV</w:t>
      </w:r>
      <w:bookmarkEnd w:id="17"/>
    </w:p>
    <w:p w14:paraId="5D0D18AB">
      <w:pPr>
        <w:spacing w:after="120"/>
        <w:jc w:val="center"/>
        <w:rPr>
          <w:rFonts w:ascii="Arial" w:hAnsi="Arial" w:cs="Arial"/>
          <w:color w:val="000000" w:themeColor="text1"/>
          <w:sz w:val="20"/>
          <w:szCs w:val="20"/>
          <w14:textFill>
            <w14:solidFill>
              <w14:schemeClr w14:val="tx1"/>
            </w14:solidFill>
          </w14:textFill>
        </w:rPr>
      </w:pPr>
      <w:bookmarkStart w:id="18" w:name="chuong_15_name"/>
      <w:r>
        <w:rPr>
          <w:rFonts w:ascii="Arial" w:hAnsi="Arial" w:cs="Arial"/>
          <w:b/>
          <w:bCs/>
          <w:color w:val="000000" w:themeColor="text1"/>
          <w:sz w:val="20"/>
          <w:szCs w:val="20"/>
          <w14:textFill>
            <w14:solidFill>
              <w14:schemeClr w14:val="tx1"/>
            </w14:solidFill>
          </w14:textFill>
        </w:rPr>
        <w:t>CÁC TỘI XÂM PHẠM QUYỀN TỰ DO CỦA CON NGƯỜI, QUYỀN TỰ DO, DÂN CHỦ CỦA CÔNG DÂN</w:t>
      </w:r>
      <w:bookmarkEnd w:id="18"/>
    </w:p>
    <w:p w14:paraId="7B54F8DC">
      <w:pPr>
        <w:spacing w:after="120"/>
        <w:ind w:firstLine="720"/>
        <w:jc w:val="both"/>
        <w:rPr>
          <w:rFonts w:ascii="Arial" w:hAnsi="Arial" w:cs="Arial"/>
          <w:color w:val="000000" w:themeColor="text1"/>
          <w:sz w:val="20"/>
          <w:szCs w:val="20"/>
          <w14:textFill>
            <w14:solidFill>
              <w14:schemeClr w14:val="tx1"/>
            </w14:solidFill>
          </w14:textFill>
        </w:rPr>
      </w:pPr>
      <w:bookmarkStart w:id="19" w:name="dieu_157"/>
      <w:r>
        <w:rPr>
          <w:rFonts w:ascii="Arial" w:hAnsi="Arial" w:cs="Arial"/>
          <w:b/>
          <w:bCs/>
          <w:color w:val="000000" w:themeColor="text1"/>
          <w:sz w:val="20"/>
          <w:szCs w:val="20"/>
          <w14:textFill>
            <w14:solidFill>
              <w14:schemeClr w14:val="tx1"/>
            </w14:solidFill>
          </w14:textFill>
        </w:rPr>
        <w:t>Điều 157. Tội bắt, giữ hoặc giam người trái pháp luật</w:t>
      </w:r>
      <w:bookmarkEnd w:id="19"/>
    </w:p>
    <w:p w14:paraId="63A1C81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w:t>
      </w:r>
      <w:bookmarkStart w:id="20" w:name="_ftnref81"/>
      <w:bookmarkEnd w:id="20"/>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"_ftn81"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[81]</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Người nào bắt, giữ hoặc giam người trái pháp luật, nếu không thuộc trường hợp quy định tại </w:t>
      </w:r>
      <w:bookmarkStart w:id="21" w:name="tc_85"/>
      <w:r>
        <w:rPr>
          <w:rFonts w:ascii="Arial" w:hAnsi="Arial" w:cs="Arial"/>
          <w:color w:val="000000" w:themeColor="text1"/>
          <w:sz w:val="20"/>
          <w:szCs w:val="20"/>
          <w14:textFill>
            <w14:solidFill>
              <w14:schemeClr w14:val="tx1"/>
            </w14:solidFill>
          </w14:textFill>
        </w:rPr>
        <w:t>Điều 153 và Điều 377 của Bộ luật này</w:t>
      </w:r>
      <w:bookmarkEnd w:id="21"/>
      <w:r>
        <w:rPr>
          <w:rFonts w:ascii="Arial" w:hAnsi="Arial" w:cs="Arial"/>
          <w:color w:val="000000" w:themeColor="text1"/>
          <w:sz w:val="20"/>
          <w:szCs w:val="20"/>
          <w14:textFill>
            <w14:solidFill>
              <w14:schemeClr w14:val="tx1"/>
            </w14:solidFill>
          </w14:textFill>
        </w:rPr>
        <w:t>, thì bị phạt cải tạo không giam giữ đến 03 năm hoặc phạt tù từ 06 tháng đến 03 năm.</w:t>
      </w:r>
    </w:p>
    <w:p w14:paraId="5BE3B36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w:t>
      </w:r>
      <w:bookmarkStart w:id="22" w:name="_ftnref82"/>
      <w:bookmarkEnd w:id="22"/>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"_ftn82"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[82]</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02 năm đến 07 năm:</w:t>
      </w:r>
    </w:p>
    <w:p w14:paraId="67605BE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34B00E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chức vụ, quyền hạn;</w:t>
      </w:r>
    </w:p>
    <w:p w14:paraId="6AD1B80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Đối với người đang thi hành công vụ;</w:t>
      </w:r>
    </w:p>
    <w:p w14:paraId="4EA2309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Phạm tội 02 lần trở lên;</w:t>
      </w:r>
    </w:p>
    <w:p w14:paraId="086747B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Đối với 02 người trở lên;</w:t>
      </w:r>
    </w:p>
    <w:p w14:paraId="57BB1D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Đối với người dưới 18 tuổi, phụ nữ mà biết là có thai, người già yếu hoặc người không có khả năng tự vệ;</w:t>
      </w:r>
    </w:p>
    <w:p w14:paraId="716C0F0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Làm cho người bị bắt, giữ, giam hoặc gia đình họ lâm vào hoàn cảnh kinh tế đặc biệt khó khăn;</w:t>
      </w:r>
    </w:p>
    <w:p w14:paraId="783ED21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h) Gây thương tích, gây tổn hại cho sức khỏe hoặc gây rối loạn tâm thần và hành vi của người bị bắt, giữ, giam mà tỷ lệ tổn thương cơ thể từ 31% đến 60%.</w:t>
      </w:r>
    </w:p>
    <w:p w14:paraId="76EDEBC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w:t>
      </w:r>
      <w:bookmarkStart w:id="23" w:name="_ftnref83"/>
      <w:bookmarkEnd w:id="23"/>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"_ftn83"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[83]</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05 năm đến 12 năm:</w:t>
      </w:r>
    </w:p>
    <w:p w14:paraId="3330D4D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người bị bắt, giữ, giam chết hoặc tự sát;</w:t>
      </w:r>
    </w:p>
    <w:p w14:paraId="2F04F82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Tra tấn, đối xử hoặc trừng phạt tàn bạo, vô nhân đạo hoặc hạ nhục nhân phẩm của người bị bắt, giữ, giam;</w:t>
      </w:r>
    </w:p>
    <w:p w14:paraId="425081A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gây tổn hại cho sức khỏe hoặc gây rối loạn tâm thần và hành vi của người bị bắt, giữ, giam mà tỷ lệ tổn thương cơ thể 61% trở lên.</w:t>
      </w:r>
    </w:p>
    <w:p w14:paraId="64837C3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Người phạm tội còn có thể bị cấm đảm nhiệm chức vụ nhất định từ 01 năm đến 05 năm.</w:t>
      </w:r>
    </w:p>
    <w:p w14:paraId="2E633307">
      <w:pPr>
        <w:spacing w:after="120"/>
        <w:ind w:firstLine="720"/>
        <w:jc w:val="both"/>
        <w:rPr>
          <w:rFonts w:ascii="Arial" w:hAnsi="Arial" w:cs="Arial"/>
          <w:color w:val="000000" w:themeColor="text1"/>
          <w:sz w:val="20"/>
          <w:szCs w:val="20"/>
          <w14:textFill>
            <w14:solidFill>
              <w14:schemeClr w14:val="tx1"/>
            </w14:solidFill>
          </w14:textFill>
        </w:rPr>
      </w:pPr>
      <w:bookmarkStart w:id="24" w:name="dieu_158"/>
      <w:r>
        <w:rPr>
          <w:rFonts w:ascii="Arial" w:hAnsi="Arial" w:cs="Arial"/>
          <w:b/>
          <w:bCs/>
          <w:color w:val="000000" w:themeColor="text1"/>
          <w:sz w:val="20"/>
          <w:szCs w:val="20"/>
          <w14:textFill>
            <w14:solidFill>
              <w14:schemeClr w14:val="tx1"/>
            </w14:solidFill>
          </w14:textFill>
        </w:rPr>
        <w:t>Điều 158. Tội xâm phạm chỗ ở của người khác</w:t>
      </w:r>
      <w:bookmarkEnd w:id="24"/>
    </w:p>
    <w:p w14:paraId="63E35DB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w:t>
      </w:r>
      <w:bookmarkStart w:id="25" w:name="_ftnref84"/>
      <w:bookmarkEnd w:id="2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"_ftn84"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[84]</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Người nào thực hiện một trong các hành vi sau đây xâm phạm chỗ ở của người khác, thì bị phạt cải tạo không giam giữ đến 02 năm hoặc phạt tù từ 03 tháng đến 02 năm:</w:t>
      </w:r>
    </w:p>
    <w:p w14:paraId="2D2C5EF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Khám xét trái pháp luật chỗ ở của người khác;</w:t>
      </w:r>
    </w:p>
    <w:p w14:paraId="778D6F1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Đuổi trái pháp luật người khác ra khỏi chỗ ở của họ;</w:t>
      </w:r>
    </w:p>
    <w:p w14:paraId="7A902FD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Chiếm giữ chỗ ở hoặc cản trở trái pháp luật người đang ở hoặc người đang quản lý hợp pháp vào chỗ ở của họ;</w:t>
      </w:r>
    </w:p>
    <w:p w14:paraId="4461E5D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Xâm nhập trái pháp luật chỗ ở của người khác.</w:t>
      </w:r>
    </w:p>
    <w:p w14:paraId="528BDEC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01 năm đến 05 năm:</w:t>
      </w:r>
    </w:p>
    <w:p w14:paraId="0359482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7E87ADA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chức vụ, quyền hạn;</w:t>
      </w:r>
    </w:p>
    <w:p w14:paraId="34037FF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Phạm tội 02 lần trở lên;</w:t>
      </w:r>
    </w:p>
    <w:p w14:paraId="0B8FA8F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Làm người bị xâm phạm chỗ ở tự sát;</w:t>
      </w:r>
    </w:p>
    <w:p w14:paraId="6096655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Gây ảnh hưởng xấu đến an ninh, trật tự, an toàn xã hội.</w:t>
      </w:r>
    </w:p>
    <w:p w14:paraId="2450698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Người phạm tội còn có thể bị cấm đảm nhiệm chức vụ nhất định từ 01 năm đến 05 năm.</w:t>
      </w:r>
    </w:p>
    <w:p w14:paraId="0FC03467">
      <w:pPr>
        <w:spacing w:after="120"/>
        <w:ind w:firstLine="720"/>
        <w:jc w:val="both"/>
        <w:rPr>
          <w:rFonts w:ascii="Arial" w:hAnsi="Arial" w:cs="Arial"/>
          <w:color w:val="000000" w:themeColor="text1"/>
          <w:sz w:val="20"/>
          <w:szCs w:val="20"/>
          <w14:textFill>
            <w14:solidFill>
              <w14:schemeClr w14:val="tx1"/>
            </w14:solidFill>
          </w14:textFill>
        </w:rPr>
      </w:pPr>
      <w:bookmarkStart w:id="26" w:name="dieu_159"/>
      <w:r>
        <w:rPr>
          <w:rFonts w:ascii="Arial" w:hAnsi="Arial" w:cs="Arial"/>
          <w:b/>
          <w:bCs/>
          <w:color w:val="000000" w:themeColor="text1"/>
          <w:sz w:val="20"/>
          <w:szCs w:val="20"/>
          <w14:textFill>
            <w14:solidFill>
              <w14:schemeClr w14:val="tx1"/>
            </w14:solidFill>
          </w14:textFill>
        </w:rPr>
        <w:t>Điều 159. Tội xâm phạm bí mật hoặc an toàn thư tín, điện thoại, điện tín hoặc hình thức trao đổi thông tin riêng tư khác của người khác</w:t>
      </w:r>
      <w:bookmarkEnd w:id="26"/>
    </w:p>
    <w:p w14:paraId="642EA1B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thực hiện một trong các hành vi sau đây, đã bị xử lý kỷ luật hoặc xử phạt vi phạm hành chính về hành vi này mà còn vi phạm, thì bị phạt cảnh cáo, phạt tiền từ 20.000.000 đồng đến 50.000.000 đồng hoặc phạt cải tạo không giam giữ đến 03 năm:</w:t>
      </w:r>
    </w:p>
    <w:p w14:paraId="072B05A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thư tín, điện báo, telex, fax hoặc văn bản khác của người khác được truyền đưa bằng mạng bưu chính, viễn thông dưới bất kỳ hình thức nào;</w:t>
      </w:r>
    </w:p>
    <w:p w14:paraId="572D7F7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Cố ý làm hư hỏng, thất lạc hoặc cố ý lấy các thông tin, nội dung của thư tín, điện báo, telex, fax hoặc văn bản khác của người khác được truyền đưa bằng mạng bưu chính, viễn thông;</w:t>
      </w:r>
    </w:p>
    <w:p w14:paraId="1819A5B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Nghe, ghi âm cuộc đàm thoại trái pháp luật;</w:t>
      </w:r>
    </w:p>
    <w:p w14:paraId="625606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Khám xét, thu giữ thư tín, điện tín trái pháp luật;</w:t>
      </w:r>
    </w:p>
    <w:p w14:paraId="03DECA4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Hành vi khác xâm phạm bí mật hoặc an toàn thư tín, điện thoại, điện tín, telex, fax hoặc hình thức trao đổi thông tin riêng tư khác của người khác.</w:t>
      </w:r>
    </w:p>
    <w:p w14:paraId="5C9459B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01 năm đến 03 năm:</w:t>
      </w:r>
    </w:p>
    <w:p w14:paraId="0E8A202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6DF41F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chức vụ, quyền hạn;</w:t>
      </w:r>
    </w:p>
    <w:p w14:paraId="5504167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Phạm tội 02 lần trở lên;</w:t>
      </w:r>
    </w:p>
    <w:p w14:paraId="0C99CBF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Tiết lộ các thông tin đã chiếm đoạt, làm ảnh hưởng đến danh dự, uy tín, nhân phẩm của người khác;</w:t>
      </w:r>
    </w:p>
    <w:p w14:paraId="37217E1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Làm nạn nhân tự sát.</w:t>
      </w:r>
    </w:p>
    <w:p w14:paraId="44FBC9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Người phạm tội còn có thể bị phạt tiền từ 5.000.000 đồng đến 20.000.000 đồng, cấm đảm nhiệm chức vụ nhất định từ 01 năm đến 05 năm.</w:t>
      </w:r>
    </w:p>
    <w:p w14:paraId="405DC09F">
      <w:pPr>
        <w:spacing w:after="120"/>
        <w:ind w:firstLine="720"/>
        <w:jc w:val="both"/>
        <w:rPr>
          <w:rFonts w:ascii="Arial" w:hAnsi="Arial" w:cs="Arial"/>
          <w:color w:val="000000" w:themeColor="text1"/>
          <w:sz w:val="20"/>
          <w:szCs w:val="20"/>
          <w14:textFill>
            <w14:solidFill>
              <w14:schemeClr w14:val="tx1"/>
            </w14:solidFill>
          </w14:textFill>
        </w:rPr>
      </w:pPr>
      <w:bookmarkStart w:id="27" w:name="dieu_170"/>
      <w:r>
        <w:rPr>
          <w:rFonts w:ascii="Arial" w:hAnsi="Arial" w:cs="Arial"/>
          <w:b/>
          <w:bCs/>
          <w:color w:val="000000" w:themeColor="text1"/>
          <w:sz w:val="20"/>
          <w:szCs w:val="20"/>
          <w14:textFill>
            <w14:solidFill>
              <w14:schemeClr w14:val="tx1"/>
            </w14:solidFill>
          </w14:textFill>
        </w:rPr>
        <w:t>Điều 170. Tội cưỡng đoạt tài sản</w:t>
      </w:r>
      <w:bookmarkEnd w:id="27"/>
    </w:p>
    <w:p w14:paraId="4F33FD6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đe dọa sẽ dùng vũ lực hoặc có thủ đoạn khác uy hiếp tinh thần người khác nhằm chiếm đoạt tài sản, thì bị phạt tù từ 01 năm đến 05 năm.</w:t>
      </w:r>
    </w:p>
    <w:p w14:paraId="1156696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03 năm đến 10 năm:</w:t>
      </w:r>
    </w:p>
    <w:p w14:paraId="036A38B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5984052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Có tính chất chuyên nghiệp;</w:t>
      </w:r>
    </w:p>
    <w:p w14:paraId="6630645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Phạm tội đối với người dưới 16 tuổi, phụ nữ mà biết là có thai, người già yếu hoặc người không có khả năng tự vệ;</w:t>
      </w:r>
    </w:p>
    <w:p w14:paraId="6067908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Chiếm đoạt tài sản trị giá từ 50.000.000 đồng đến dưới 200.000.000 đồng;</w:t>
      </w:r>
    </w:p>
    <w:p w14:paraId="3B6063E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Gây ảnh hưởng xấu đến an ninh, trật tự, an toàn xã hội;</w:t>
      </w:r>
    </w:p>
    <w:p w14:paraId="6ABF380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Tái phạm nguy hiểm.</w:t>
      </w:r>
    </w:p>
    <w:p w14:paraId="34D586B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07 năm đến 15 năm:</w:t>
      </w:r>
    </w:p>
    <w:p w14:paraId="168972C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từ 200.000.000 đồng đến dưới 500.000.000 đồng;</w:t>
      </w:r>
    </w:p>
    <w:p w14:paraId="330528A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thiên tai, dịch bệnh.</w:t>
      </w:r>
    </w:p>
    <w:p w14:paraId="65CF930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thuộc một trong các trường hợp sau đây, thì bị phạt tù từ 12 năm đến 20 năm:</w:t>
      </w:r>
    </w:p>
    <w:p w14:paraId="25EFB90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500.000.000 đồng trở lên;</w:t>
      </w:r>
    </w:p>
    <w:p w14:paraId="2837EEA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hoàn cảnh chiến tranh, tình trạng khẩn cấp.</w:t>
      </w:r>
    </w:p>
    <w:p w14:paraId="1E235B5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100.000.000 đồng hoặc tịch thu một phần hoặc toàn bộ tài sản.</w:t>
      </w:r>
    </w:p>
    <w:p w14:paraId="42060BA5">
      <w:pPr>
        <w:spacing w:after="120"/>
        <w:ind w:firstLine="720"/>
        <w:jc w:val="both"/>
        <w:rPr>
          <w:rFonts w:ascii="Arial" w:hAnsi="Arial" w:cs="Arial"/>
          <w:color w:val="000000" w:themeColor="text1"/>
          <w:sz w:val="20"/>
          <w:szCs w:val="20"/>
          <w14:textFill>
            <w14:solidFill>
              <w14:schemeClr w14:val="tx1"/>
            </w14:solidFill>
          </w14:textFill>
        </w:rPr>
      </w:pPr>
      <w:bookmarkStart w:id="28" w:name="dieu_173"/>
      <w:r>
        <w:rPr>
          <w:rFonts w:ascii="Arial" w:hAnsi="Arial" w:cs="Arial"/>
          <w:b/>
          <w:bCs/>
          <w:color w:val="000000" w:themeColor="text1"/>
          <w:sz w:val="20"/>
          <w:szCs w:val="20"/>
          <w14:textFill>
            <w14:solidFill>
              <w14:schemeClr w14:val="tx1"/>
            </w14:solidFill>
          </w14:textFill>
        </w:rPr>
        <w:t>Điều 173. Tội trộm cắp tài sản</w:t>
      </w:r>
      <w:bookmarkEnd w:id="28"/>
    </w:p>
    <w:p w14:paraId="021A4F3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w:t>
      </w:r>
      <w:bookmarkStart w:id="29" w:name="_ftnref94"/>
      <w:bookmarkEnd w:id="29"/>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"_ftn94"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[94]</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Người nào trộm cắp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14:paraId="37065A8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Đã bị xử phạt vi phạm hành chính về hành vi chiếm đoạt tài sản mà còn vi phạm;</w:t>
      </w:r>
    </w:p>
    <w:p w14:paraId="1765F6A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b) Đã bị kết án về tội này hoặc về một trong các tội quy định tại các </w:t>
      </w:r>
      <w:bookmarkStart w:id="30" w:name="tc_90"/>
      <w:r>
        <w:rPr>
          <w:rFonts w:ascii="Arial" w:hAnsi="Arial" w:cs="Arial"/>
          <w:color w:val="000000" w:themeColor="text1"/>
          <w:sz w:val="20"/>
          <w:szCs w:val="20"/>
          <w14:textFill>
            <w14:solidFill>
              <w14:schemeClr w14:val="tx1"/>
            </w14:solidFill>
          </w14:textFill>
        </w:rPr>
        <w:t>điều 168, 169</w:t>
      </w:r>
      <w:bookmarkEnd w:id="30"/>
      <w:r>
        <w:rPr>
          <w:rFonts w:ascii="Arial" w:hAnsi="Arial" w:cs="Arial"/>
          <w:color w:val="000000" w:themeColor="text1"/>
          <w:sz w:val="20"/>
          <w:szCs w:val="20"/>
          <w14:textFill>
            <w14:solidFill>
              <w14:schemeClr w14:val="tx1"/>
            </w14:solidFill>
          </w14:textFill>
        </w:rPr>
        <w:t xml:space="preserve">, </w:t>
      </w:r>
      <w:bookmarkStart w:id="31" w:name="tc_91"/>
      <w:r>
        <w:rPr>
          <w:rFonts w:ascii="Arial" w:hAnsi="Arial" w:cs="Arial"/>
          <w:color w:val="000000" w:themeColor="text1"/>
          <w:sz w:val="20"/>
          <w:szCs w:val="20"/>
          <w14:textFill>
            <w14:solidFill>
              <w14:schemeClr w14:val="tx1"/>
            </w14:solidFill>
          </w14:textFill>
        </w:rPr>
        <w:t>170, 171</w:t>
      </w:r>
      <w:bookmarkEnd w:id="31"/>
      <w:r>
        <w:rPr>
          <w:rFonts w:ascii="Arial" w:hAnsi="Arial" w:cs="Arial"/>
          <w:color w:val="000000" w:themeColor="text1"/>
          <w:sz w:val="20"/>
          <w:szCs w:val="20"/>
          <w14:textFill>
            <w14:solidFill>
              <w14:schemeClr w14:val="tx1"/>
            </w14:solidFill>
          </w14:textFill>
        </w:rPr>
        <w:t xml:space="preserve">, </w:t>
      </w:r>
      <w:bookmarkStart w:id="32" w:name="tc_92"/>
      <w:r>
        <w:rPr>
          <w:rFonts w:ascii="Arial" w:hAnsi="Arial" w:cs="Arial"/>
          <w:color w:val="000000" w:themeColor="text1"/>
          <w:sz w:val="20"/>
          <w:szCs w:val="20"/>
          <w14:textFill>
            <w14:solidFill>
              <w14:schemeClr w14:val="tx1"/>
            </w14:solidFill>
          </w14:textFill>
        </w:rPr>
        <w:t>172, 174</w:t>
      </w:r>
      <w:bookmarkEnd w:id="32"/>
      <w:r>
        <w:rPr>
          <w:rFonts w:ascii="Arial" w:hAnsi="Arial" w:cs="Arial"/>
          <w:color w:val="000000" w:themeColor="text1"/>
          <w:sz w:val="20"/>
          <w:szCs w:val="20"/>
          <w14:textFill>
            <w14:solidFill>
              <w14:schemeClr w14:val="tx1"/>
            </w14:solidFill>
          </w14:textFill>
        </w:rPr>
        <w:t xml:space="preserve">, </w:t>
      </w:r>
      <w:bookmarkStart w:id="33" w:name="tc_93"/>
      <w:r>
        <w:rPr>
          <w:rFonts w:ascii="Arial" w:hAnsi="Arial" w:cs="Arial"/>
          <w:color w:val="000000" w:themeColor="text1"/>
          <w:sz w:val="20"/>
          <w:szCs w:val="20"/>
          <w14:textFill>
            <w14:solidFill>
              <w14:schemeClr w14:val="tx1"/>
            </w14:solidFill>
          </w14:textFill>
        </w:rPr>
        <w:t>175 và 290 của Bộ luật này</w:t>
      </w:r>
      <w:bookmarkEnd w:id="33"/>
      <w:r>
        <w:rPr>
          <w:rFonts w:ascii="Arial" w:hAnsi="Arial" w:cs="Arial"/>
          <w:color w:val="000000" w:themeColor="text1"/>
          <w:sz w:val="20"/>
          <w:szCs w:val="20"/>
          <w14:textFill>
            <w14:solidFill>
              <w14:schemeClr w14:val="tx1"/>
            </w14:solidFill>
          </w14:textFill>
        </w:rPr>
        <w:t>, chưa được xóa án tích mà còn vi phạm;</w:t>
      </w:r>
    </w:p>
    <w:p w14:paraId="1194F43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ảnh hưởng xấu đến an ninh, trật tự, an toàn xã hội;</w:t>
      </w:r>
    </w:p>
    <w:p w14:paraId="6C36B0B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Tài sản là phương tiện kiếm sống chính của người bị hại và gia đình họ;</w:t>
      </w:r>
    </w:p>
    <w:p w14:paraId="4528166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Tài sản là di vật, cổ vật.</w:t>
      </w:r>
    </w:p>
    <w:p w14:paraId="496571A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w:t>
      </w:r>
      <w:bookmarkStart w:id="34" w:name="_ftnref95"/>
      <w:bookmarkEnd w:id="34"/>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"_ftn95"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[95]</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02 năm đến 07 năm:</w:t>
      </w:r>
    </w:p>
    <w:p w14:paraId="3B7DFE0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280C71E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Có tính chất chuyên nghiệp;</w:t>
      </w:r>
    </w:p>
    <w:p w14:paraId="534D179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Chiếm đoạt tài sản trị giá từ 50.000.000 đồng đến dưới 200.000.000 đồng;</w:t>
      </w:r>
    </w:p>
    <w:p w14:paraId="4A8BDDC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Dùng thủ đoạn xảo quyệt, nguy hiểm;</w:t>
      </w:r>
    </w:p>
    <w:p w14:paraId="39B81FA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Hành hung để tẩu thoát;</w:t>
      </w:r>
    </w:p>
    <w:p w14:paraId="1965963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Tài sản là bảo vật quốc gia;</w:t>
      </w:r>
    </w:p>
    <w:p w14:paraId="68EB597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Tái phạm nguy hiểm.</w:t>
      </w:r>
    </w:p>
    <w:p w14:paraId="7D8CBFE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w:t>
      </w:r>
      <w:bookmarkStart w:id="35" w:name="_ftnref96"/>
      <w:bookmarkEnd w:id="3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"_ftn96"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[96]</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07 năm đến 15 năm:</w:t>
      </w:r>
    </w:p>
    <w:p w14:paraId="3DB3B3F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từ 200.000.000 đồng đến dưới 500.000.000 đồng;</w:t>
      </w:r>
    </w:p>
    <w:p w14:paraId="7287F13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thiên tai, dịch bệnh.</w:t>
      </w:r>
    </w:p>
    <w:p w14:paraId="7E19854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w:t>
      </w:r>
      <w:bookmarkStart w:id="36" w:name="_ftnref97"/>
      <w:bookmarkEnd w:id="36"/>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"_ftn97"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[97]</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12 năm đến 20 năm:</w:t>
      </w:r>
    </w:p>
    <w:p w14:paraId="4B9AB06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500.000.000 đồng trở lên;</w:t>
      </w:r>
    </w:p>
    <w:p w14:paraId="31A6D84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hoàn cảnh chiến tranh, tình trạng khẩn cấp.</w:t>
      </w:r>
    </w:p>
    <w:p w14:paraId="3BA414C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5.000.000 đồng đến 50.000.000 đồng.</w:t>
      </w:r>
    </w:p>
    <w:p w14:paraId="2D6F6D45">
      <w:pPr>
        <w:spacing w:after="120"/>
        <w:ind w:firstLine="720"/>
        <w:jc w:val="both"/>
        <w:rPr>
          <w:rFonts w:ascii="Arial" w:hAnsi="Arial" w:cs="Arial"/>
          <w:color w:val="000000" w:themeColor="text1"/>
          <w:sz w:val="20"/>
          <w:szCs w:val="20"/>
          <w14:textFill>
            <w14:solidFill>
              <w14:schemeClr w14:val="tx1"/>
            </w14:solidFill>
          </w14:textFill>
        </w:rPr>
      </w:pPr>
      <w:bookmarkStart w:id="37" w:name="dieu_174"/>
      <w:r>
        <w:rPr>
          <w:rFonts w:ascii="Arial" w:hAnsi="Arial" w:cs="Arial"/>
          <w:b/>
          <w:bCs/>
          <w:color w:val="000000" w:themeColor="text1"/>
          <w:sz w:val="20"/>
          <w:szCs w:val="20"/>
          <w14:textFill>
            <w14:solidFill>
              <w14:schemeClr w14:val="tx1"/>
            </w14:solidFill>
          </w14:textFill>
        </w:rPr>
        <w:t>Điều 174. Tội lừa đảo chiếm đoạt tài sản</w:t>
      </w:r>
      <w:bookmarkEnd w:id="37"/>
    </w:p>
    <w:p w14:paraId="2C3814C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bằng thủ đoạn gian dối chiếm đoạt tài sản của người khác trị giá từ 2.000.000 đồng đến dưới 50.000.000 đồng hoặc dưới 2.000.000 đồng nhưng thuộc một trong các trường hợp sau đây, thì bị phạt cải tạo không giam giữ đến 03 năm hoặc phạt tù từ 06 tháng đến 03 năm:</w:t>
      </w:r>
    </w:p>
    <w:p w14:paraId="24DC364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Đã bị xử phạt vi phạm hành chính về hành vi chiếm đoạt tài sản mà còn vi phạm;</w:t>
      </w:r>
    </w:p>
    <w:p w14:paraId="29CECB0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b) Đã bị kết án về tội này hoặc về một trong các tội quy định tại các </w:t>
      </w:r>
      <w:bookmarkStart w:id="38" w:name="tc_94"/>
      <w:r>
        <w:rPr>
          <w:rFonts w:ascii="Arial" w:hAnsi="Arial" w:cs="Arial"/>
          <w:color w:val="000000" w:themeColor="text1"/>
          <w:sz w:val="20"/>
          <w:szCs w:val="20"/>
          <w14:textFill>
            <w14:solidFill>
              <w14:schemeClr w14:val="tx1"/>
            </w14:solidFill>
          </w14:textFill>
        </w:rPr>
        <w:t>điều 168, 169</w:t>
      </w:r>
      <w:bookmarkEnd w:id="38"/>
      <w:r>
        <w:rPr>
          <w:rFonts w:ascii="Arial" w:hAnsi="Arial" w:cs="Arial"/>
          <w:color w:val="000000" w:themeColor="text1"/>
          <w:sz w:val="20"/>
          <w:szCs w:val="20"/>
          <w14:textFill>
            <w14:solidFill>
              <w14:schemeClr w14:val="tx1"/>
            </w14:solidFill>
          </w14:textFill>
        </w:rPr>
        <w:t xml:space="preserve">, </w:t>
      </w:r>
      <w:bookmarkStart w:id="39" w:name="tc_95"/>
      <w:r>
        <w:rPr>
          <w:rFonts w:ascii="Arial" w:hAnsi="Arial" w:cs="Arial"/>
          <w:color w:val="000000" w:themeColor="text1"/>
          <w:sz w:val="20"/>
          <w:szCs w:val="20"/>
          <w14:textFill>
            <w14:solidFill>
              <w14:schemeClr w14:val="tx1"/>
            </w14:solidFill>
          </w14:textFill>
        </w:rPr>
        <w:t>170, 171</w:t>
      </w:r>
      <w:bookmarkEnd w:id="39"/>
      <w:r>
        <w:rPr>
          <w:rFonts w:ascii="Arial" w:hAnsi="Arial" w:cs="Arial"/>
          <w:color w:val="000000" w:themeColor="text1"/>
          <w:sz w:val="20"/>
          <w:szCs w:val="20"/>
          <w14:textFill>
            <w14:solidFill>
              <w14:schemeClr w14:val="tx1"/>
            </w14:solidFill>
          </w14:textFill>
        </w:rPr>
        <w:t xml:space="preserve">, </w:t>
      </w:r>
      <w:bookmarkStart w:id="40" w:name="tc_96"/>
      <w:r>
        <w:rPr>
          <w:rFonts w:ascii="Arial" w:hAnsi="Arial" w:cs="Arial"/>
          <w:color w:val="000000" w:themeColor="text1"/>
          <w:sz w:val="20"/>
          <w:szCs w:val="20"/>
          <w14:textFill>
            <w14:solidFill>
              <w14:schemeClr w14:val="tx1"/>
            </w14:solidFill>
          </w14:textFill>
        </w:rPr>
        <w:t>172, 173</w:t>
      </w:r>
      <w:bookmarkEnd w:id="40"/>
      <w:r>
        <w:rPr>
          <w:rFonts w:ascii="Arial" w:hAnsi="Arial" w:cs="Arial"/>
          <w:color w:val="000000" w:themeColor="text1"/>
          <w:sz w:val="20"/>
          <w:szCs w:val="20"/>
          <w14:textFill>
            <w14:solidFill>
              <w14:schemeClr w14:val="tx1"/>
            </w14:solidFill>
          </w14:textFill>
        </w:rPr>
        <w:t xml:space="preserve">, </w:t>
      </w:r>
      <w:bookmarkStart w:id="41" w:name="tc_97"/>
      <w:r>
        <w:rPr>
          <w:rFonts w:ascii="Arial" w:hAnsi="Arial" w:cs="Arial"/>
          <w:color w:val="000000" w:themeColor="text1"/>
          <w:sz w:val="20"/>
          <w:szCs w:val="20"/>
          <w14:textFill>
            <w14:solidFill>
              <w14:schemeClr w14:val="tx1"/>
            </w14:solidFill>
          </w14:textFill>
        </w:rPr>
        <w:t>175 và 290 của Bộ luật này</w:t>
      </w:r>
      <w:bookmarkEnd w:id="41"/>
      <w:r>
        <w:rPr>
          <w:rFonts w:ascii="Arial" w:hAnsi="Arial" w:cs="Arial"/>
          <w:color w:val="000000" w:themeColor="text1"/>
          <w:sz w:val="20"/>
          <w:szCs w:val="20"/>
          <w14:textFill>
            <w14:solidFill>
              <w14:schemeClr w14:val="tx1"/>
            </w14:solidFill>
          </w14:textFill>
        </w:rPr>
        <w:t>, chưa được xóa án tích mà còn vi phạm;</w:t>
      </w:r>
    </w:p>
    <w:p w14:paraId="6EE3C5A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ảnh hưởng xấu đến an ninh, trật tự, an toàn xã hội;</w:t>
      </w:r>
    </w:p>
    <w:p w14:paraId="09EAF58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Tài sản là phương tiện kiếm sống chính của người bị hại và gia đình họ</w:t>
      </w:r>
      <w:bookmarkStart w:id="42" w:name="_ftnref98"/>
      <w:bookmarkEnd w:id="42"/>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"_ftn98"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[98]</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w:t>
      </w:r>
    </w:p>
    <w:p w14:paraId="47BCE87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02 năm đến 07 năm:</w:t>
      </w:r>
    </w:p>
    <w:p w14:paraId="4E5E5BC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24CB5D6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Có tính chất chuyên nghiệp;</w:t>
      </w:r>
    </w:p>
    <w:p w14:paraId="00DD125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Chiếm đoạt tài sản trị giá từ 50.000.000 đồng đến dưới 200.000.000 đồng;</w:t>
      </w:r>
    </w:p>
    <w:p w14:paraId="1B09657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Tái phạm nguy hiểm;</w:t>
      </w:r>
    </w:p>
    <w:p w14:paraId="473AFA7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Lợi dụng chức vụ, quyền hạn hoặc lợi dụng danh nghĩa cơ quan, tổ chức;</w:t>
      </w:r>
    </w:p>
    <w:p w14:paraId="75B4015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Dùng thủ đoạn xảo quyệt;</w:t>
      </w:r>
    </w:p>
    <w:p w14:paraId="2B8D56B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w:t>
      </w:r>
      <w:bookmarkStart w:id="43" w:name="_ftnref99"/>
      <w:bookmarkEnd w:id="43"/>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"_ftn99"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[99]</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w:t>
      </w:r>
      <w:r>
        <w:rPr>
          <w:rFonts w:ascii="Arial" w:hAnsi="Arial" w:cs="Arial"/>
          <w:b/>
          <w:bCs/>
          <w:i/>
          <w:iCs/>
          <w:color w:val="000000" w:themeColor="text1"/>
          <w:sz w:val="20"/>
          <w:szCs w:val="20"/>
          <w14:textFill>
            <w14:solidFill>
              <w14:schemeClr w14:val="tx1"/>
            </w14:solidFill>
          </w14:textFill>
        </w:rPr>
        <w:t>(được bãi bỏ)</w:t>
      </w:r>
    </w:p>
    <w:p w14:paraId="60D5C0F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07 năm đến 15 năm:</w:t>
      </w:r>
    </w:p>
    <w:p w14:paraId="7BD349E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từ 200.000.000 đồng đến dưới 500.000.000 đồng;</w:t>
      </w:r>
    </w:p>
    <w:p w14:paraId="6622DE1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w:t>
      </w:r>
      <w:bookmarkStart w:id="44" w:name="_ftnref100"/>
      <w:bookmarkEnd w:id="44"/>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"_ftn100"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[100]</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w:t>
      </w:r>
      <w:r>
        <w:rPr>
          <w:rFonts w:ascii="Arial" w:hAnsi="Arial" w:cs="Arial"/>
          <w:b/>
          <w:bCs/>
          <w:i/>
          <w:iCs/>
          <w:color w:val="000000" w:themeColor="text1"/>
          <w:sz w:val="20"/>
          <w:szCs w:val="20"/>
          <w14:textFill>
            <w14:solidFill>
              <w14:schemeClr w14:val="tx1"/>
            </w14:solidFill>
          </w14:textFill>
        </w:rPr>
        <w:t>(được bãi bỏ)</w:t>
      </w:r>
    </w:p>
    <w:p w14:paraId="5DDA56B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Lợi dụng thiên tai, dịch bệnh.</w:t>
      </w:r>
    </w:p>
    <w:p w14:paraId="34499A3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thuộc một trong các trường hợp sau đây, thì bị phạt tù từ 12 năm đến 20 năm hoặc tù chung thân:</w:t>
      </w:r>
    </w:p>
    <w:p w14:paraId="08D1225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500.000.000 đồng trở lên;</w:t>
      </w:r>
    </w:p>
    <w:p w14:paraId="506BFB4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w:t>
      </w:r>
      <w:bookmarkStart w:id="45" w:name="_ftnref101"/>
      <w:bookmarkEnd w:id="4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"_ftn101"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[101]</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w:t>
      </w:r>
      <w:r>
        <w:rPr>
          <w:rFonts w:ascii="Arial" w:hAnsi="Arial" w:cs="Arial"/>
          <w:b/>
          <w:bCs/>
          <w:i/>
          <w:iCs/>
          <w:color w:val="000000" w:themeColor="text1"/>
          <w:sz w:val="20"/>
          <w:szCs w:val="20"/>
          <w14:textFill>
            <w14:solidFill>
              <w14:schemeClr w14:val="tx1"/>
            </w14:solidFill>
          </w14:textFill>
        </w:rPr>
        <w:t>(được bãi bỏ)</w:t>
      </w:r>
    </w:p>
    <w:p w14:paraId="1A8A2AB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Lợi dụng hoàn cảnh chiến tranh, tình trạng khẩn cấp.</w:t>
      </w:r>
    </w:p>
    <w:p w14:paraId="261C670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100.000.000 đồng, cấm đảm nhiệm chức vụ, cấm hành nghề hoặc làm công việc nhất định từ 01 năm đến 05 năm hoặc tịch thu một phần hoặc toàn bộ tài sản.</w:t>
      </w:r>
    </w:p>
    <w:p w14:paraId="4FB36504">
      <w:pPr>
        <w:spacing w:after="120"/>
        <w:ind w:firstLine="720"/>
        <w:jc w:val="both"/>
        <w:rPr>
          <w:rFonts w:ascii="Arial" w:hAnsi="Arial" w:cs="Arial"/>
          <w:color w:val="000000" w:themeColor="text1"/>
          <w:sz w:val="20"/>
          <w:szCs w:val="20"/>
          <w14:textFill>
            <w14:solidFill>
              <w14:schemeClr w14:val="tx1"/>
            </w14:solidFill>
          </w14:textFill>
        </w:rPr>
      </w:pPr>
      <w:bookmarkStart w:id="46" w:name="dieu_175"/>
      <w:r>
        <w:rPr>
          <w:rFonts w:ascii="Arial" w:hAnsi="Arial" w:cs="Arial"/>
          <w:b/>
          <w:bCs/>
          <w:color w:val="000000" w:themeColor="text1"/>
          <w:sz w:val="20"/>
          <w:szCs w:val="20"/>
          <w14:textFill>
            <w14:solidFill>
              <w14:schemeClr w14:val="tx1"/>
            </w14:solidFill>
          </w14:textFill>
        </w:rPr>
        <w:t>Điều 175. Tội lạm dụng tín nhiệm chiếm đoạt tài sản</w:t>
      </w:r>
      <w:bookmarkEnd w:id="46"/>
      <w:bookmarkStart w:id="47" w:name="_ftnref102"/>
      <w:bookmarkEnd w:id="47"/>
      <w:r>
        <w:rPr>
          <w:rFonts w:ascii="Arial" w:hAnsi="Arial" w:cs="Arial"/>
          <w:b/>
          <w:bCs/>
          <w:color w:val="000000" w:themeColor="text1"/>
          <w:sz w:val="20"/>
          <w:szCs w:val="20"/>
          <w14:textFill>
            <w14:solidFill>
              <w14:schemeClr w14:val="tx1"/>
            </w14:solidFill>
          </w14:textFill>
        </w:rPr>
        <w:fldChar w:fldCharType="begin"/>
      </w:r>
      <w:r>
        <w:rPr>
          <w:rFonts w:ascii="Arial" w:hAnsi="Arial" w:cs="Arial"/>
          <w:b/>
          <w:bCs/>
          <w:color w:val="000000" w:themeColor="text1"/>
          <w:sz w:val="20"/>
          <w:szCs w:val="20"/>
          <w14:textFill>
            <w14:solidFill>
              <w14:schemeClr w14:val="tx1"/>
            </w14:solidFill>
          </w14:textFill>
        </w:rPr>
        <w:instrText xml:space="preserve"> HYPERLINK \l "_ftn102" </w:instrText>
      </w:r>
      <w:r>
        <w:rPr>
          <w:rFonts w:ascii="Arial" w:hAnsi="Arial" w:cs="Arial"/>
          <w:b/>
          <w:bCs/>
          <w:color w:val="000000" w:themeColor="text1"/>
          <w:sz w:val="20"/>
          <w:szCs w:val="20"/>
          <w14:textFill>
            <w14:solidFill>
              <w14:schemeClr w14:val="tx1"/>
            </w14:solidFill>
          </w14:textFill>
        </w:rPr>
        <w:fldChar w:fldCharType="separate"/>
      </w:r>
      <w:r>
        <w:rPr>
          <w:rFonts w:ascii="Arial" w:hAnsi="Arial" w:cs="Arial"/>
          <w:b/>
          <w:bCs/>
          <w:color w:val="000000" w:themeColor="text1"/>
          <w:sz w:val="20"/>
          <w:szCs w:val="20"/>
          <w:u w:val="single"/>
          <w14:textFill>
            <w14:solidFill>
              <w14:schemeClr w14:val="tx1"/>
            </w14:solidFill>
          </w14:textFill>
        </w:rPr>
        <w:t>[102]</w:t>
      </w:r>
      <w:r>
        <w:rPr>
          <w:rFonts w:ascii="Arial" w:hAnsi="Arial" w:cs="Arial"/>
          <w:b/>
          <w:bCs/>
          <w:color w:val="000000" w:themeColor="text1"/>
          <w:sz w:val="20"/>
          <w:szCs w:val="20"/>
          <w14:textFill>
            <w14:solidFill>
              <w14:schemeClr w14:val="tx1"/>
            </w14:solidFill>
          </w14:textFill>
        </w:rPr>
        <w:fldChar w:fldCharType="end"/>
      </w:r>
    </w:p>
    <w:p w14:paraId="0B159F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1. Người nào thực hiện một trong các hành vi sau đây chiếm đoạt tài sản của người khác trị giá từ 4.000.000 đồng đến dưới 50.000.000 đồng hoặc dưới 4.000.000 đồng nhưng đã bị xử phạt vi phạm hành chính về hành vi chiếm đoạt tài sản hoặc đã bị kết án về tội này hoặc về một trong các tội quy định tại các </w:t>
      </w:r>
      <w:bookmarkStart w:id="48" w:name="tc_98"/>
      <w:r>
        <w:rPr>
          <w:rFonts w:ascii="Arial" w:hAnsi="Arial" w:cs="Arial"/>
          <w:color w:val="000000" w:themeColor="text1"/>
          <w:sz w:val="20"/>
          <w:szCs w:val="20"/>
          <w14:textFill>
            <w14:solidFill>
              <w14:schemeClr w14:val="tx1"/>
            </w14:solidFill>
          </w14:textFill>
        </w:rPr>
        <w:t>điều 168, 169</w:t>
      </w:r>
      <w:bookmarkEnd w:id="48"/>
      <w:r>
        <w:rPr>
          <w:rFonts w:ascii="Arial" w:hAnsi="Arial" w:cs="Arial"/>
          <w:color w:val="000000" w:themeColor="text1"/>
          <w:sz w:val="20"/>
          <w:szCs w:val="20"/>
          <w14:textFill>
            <w14:solidFill>
              <w14:schemeClr w14:val="tx1"/>
            </w14:solidFill>
          </w14:textFill>
        </w:rPr>
        <w:t xml:space="preserve">, </w:t>
      </w:r>
      <w:bookmarkStart w:id="49" w:name="tc_99"/>
      <w:r>
        <w:rPr>
          <w:rFonts w:ascii="Arial" w:hAnsi="Arial" w:cs="Arial"/>
          <w:color w:val="000000" w:themeColor="text1"/>
          <w:sz w:val="20"/>
          <w:szCs w:val="20"/>
          <w14:textFill>
            <w14:solidFill>
              <w14:schemeClr w14:val="tx1"/>
            </w14:solidFill>
          </w14:textFill>
        </w:rPr>
        <w:t>170, 171</w:t>
      </w:r>
      <w:bookmarkEnd w:id="49"/>
      <w:r>
        <w:rPr>
          <w:rFonts w:ascii="Arial" w:hAnsi="Arial" w:cs="Arial"/>
          <w:color w:val="000000" w:themeColor="text1"/>
          <w:sz w:val="20"/>
          <w:szCs w:val="20"/>
          <w14:textFill>
            <w14:solidFill>
              <w14:schemeClr w14:val="tx1"/>
            </w14:solidFill>
          </w14:textFill>
        </w:rPr>
        <w:t xml:space="preserve">, </w:t>
      </w:r>
      <w:bookmarkStart w:id="50" w:name="tc_100"/>
      <w:r>
        <w:rPr>
          <w:rFonts w:ascii="Arial" w:hAnsi="Arial" w:cs="Arial"/>
          <w:color w:val="000000" w:themeColor="text1"/>
          <w:sz w:val="20"/>
          <w:szCs w:val="20"/>
          <w14:textFill>
            <w14:solidFill>
              <w14:schemeClr w14:val="tx1"/>
            </w14:solidFill>
          </w14:textFill>
        </w:rPr>
        <w:t>172, 173</w:t>
      </w:r>
      <w:bookmarkEnd w:id="50"/>
      <w:r>
        <w:rPr>
          <w:rFonts w:ascii="Arial" w:hAnsi="Arial" w:cs="Arial"/>
          <w:color w:val="000000" w:themeColor="text1"/>
          <w:sz w:val="20"/>
          <w:szCs w:val="20"/>
          <w14:textFill>
            <w14:solidFill>
              <w14:schemeClr w14:val="tx1"/>
            </w14:solidFill>
          </w14:textFill>
        </w:rPr>
        <w:t xml:space="preserve">, </w:t>
      </w:r>
      <w:bookmarkStart w:id="51" w:name="tc_101"/>
      <w:r>
        <w:rPr>
          <w:rFonts w:ascii="Arial" w:hAnsi="Arial" w:cs="Arial"/>
          <w:color w:val="000000" w:themeColor="text1"/>
          <w:sz w:val="20"/>
          <w:szCs w:val="20"/>
          <w14:textFill>
            <w14:solidFill>
              <w14:schemeClr w14:val="tx1"/>
            </w14:solidFill>
          </w14:textFill>
        </w:rPr>
        <w:t>174 và 290 của Bộ luật này</w:t>
      </w:r>
      <w:bookmarkEnd w:id="51"/>
      <w:r>
        <w:rPr>
          <w:rFonts w:ascii="Arial" w:hAnsi="Arial" w:cs="Arial"/>
          <w:color w:val="000000" w:themeColor="text1"/>
          <w:sz w:val="20"/>
          <w:szCs w:val="20"/>
          <w14:textFill>
            <w14:solidFill>
              <w14:schemeClr w14:val="tx1"/>
            </w14:solidFill>
          </w14:textFill>
        </w:rPr>
        <w:t>, chưa được xóa án tích mà còn vi phạm hoặc tài sản là phương tiện kiếm sống chính của người bị hại và gia đình họ, thì bị phạt cải tạo không giam giữ đến 03 năm hoặc phạt tù từ 06 tháng đến 03 năm:</w:t>
      </w:r>
    </w:p>
    <w:p w14:paraId="3E87EB7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p>
    <w:p w14:paraId="7E202EC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Vay, mượn, thuê tài sản của người khác hoặc nhận được tài sản của người khác bằng hình thức hợp đồng và đã sử dụng tài sản đó vào mục đích bất hợp pháp dẫn đến không có khả năng trả lại tài sản.</w:t>
      </w:r>
    </w:p>
    <w:p w14:paraId="65A48FC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02 năm đến 07 năm:</w:t>
      </w:r>
    </w:p>
    <w:p w14:paraId="7611A32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10CDCC7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Có tính chất chuyên nghiệp;</w:t>
      </w:r>
    </w:p>
    <w:p w14:paraId="1A3D25E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Chiếm đoạt tài sản trị giá từ 50.000.000 đồng đến dưới 200.000.000 đồng; d) Lợi dụng chức vụ, quyền hạn hoặc lợi dụng danh nghĩa cơ quan, tổ chức; đ) Dùng thủ đoạn xảo quyệt;</w:t>
      </w:r>
    </w:p>
    <w:p w14:paraId="0056BC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Gây ảnh hưởng xấu đến an ninh, trật tự, an toàn xã hội;</w:t>
      </w:r>
    </w:p>
    <w:p w14:paraId="6A0D12C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Tái phạm nguy hiểm.</w:t>
      </w:r>
    </w:p>
    <w:p w14:paraId="51CB254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chiếm đoạt tài sản trị giá từ 200.000.000 đồng đến dưới 500.000.000 đồng, thì bị phạt tù từ 05 năm đến 12 năm.</w:t>
      </w:r>
    </w:p>
    <w:p w14:paraId="60F82D0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chiếm đoạt tài sản trị giá 500.000.000 đồng trở lên, thì bị phạt tù từ 12 năm đến 20 năm.</w:t>
      </w:r>
    </w:p>
    <w:p w14:paraId="01888C1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100.000.000 đồng, cấm đảm nhiệm chức vụ, cấm hành nghề hoặc làm công việc nhất định từ 01 năm đến 05 năm hoặc tịch thu một phần hoặc toàn bộ tài sản.</w:t>
      </w:r>
    </w:p>
    <w:p w14:paraId="11AC3354">
      <w:pPr>
        <w:spacing w:after="120"/>
        <w:ind w:firstLine="720"/>
        <w:jc w:val="both"/>
        <w:rPr>
          <w:rFonts w:ascii="Arial" w:hAnsi="Arial" w:cs="Arial"/>
          <w:color w:val="000000" w:themeColor="text1"/>
          <w:sz w:val="20"/>
          <w:szCs w:val="20"/>
          <w14:textFill>
            <w14:solidFill>
              <w14:schemeClr w14:val="tx1"/>
            </w14:solidFill>
          </w14:textFill>
        </w:rPr>
      </w:pPr>
      <w:bookmarkStart w:id="52" w:name="dieu_176"/>
      <w:r>
        <w:rPr>
          <w:rFonts w:ascii="Arial" w:hAnsi="Arial" w:cs="Arial"/>
          <w:b/>
          <w:bCs/>
          <w:color w:val="000000" w:themeColor="text1"/>
          <w:sz w:val="20"/>
          <w:szCs w:val="20"/>
          <w14:textFill>
            <w14:solidFill>
              <w14:schemeClr w14:val="tx1"/>
            </w14:solidFill>
          </w14:textFill>
        </w:rPr>
        <w:t>Điều 176. Tội chiếm giữ trái phép tài sản</w:t>
      </w:r>
      <w:bookmarkEnd w:id="52"/>
    </w:p>
    <w:p w14:paraId="1A826E6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cố tình không trả lại cho chủ sở hữu, người quản lý hợp pháp hoặc không giao nộp cho cơ quan có trách nhiệm tài sản trị giá từ 10.000.000 đồng đến dưới 200.000.000 đồng</w:t>
      </w:r>
      <w:bookmarkStart w:id="53" w:name="_ftnref103"/>
      <w:bookmarkEnd w:id="53"/>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"_ftn103"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[103]</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hoặc dưới 10.000.000 đồng nhưng tài sản là</w:t>
      </w:r>
      <w:bookmarkStart w:id="54" w:name="_ftnref104"/>
      <w:bookmarkEnd w:id="54"/>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"_ftn104"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[104]</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di vật, cổ vật</w:t>
      </w:r>
      <w:bookmarkStart w:id="55" w:name="_ftnref105"/>
      <w:bookmarkEnd w:id="55"/>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"_ftn105"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[105]</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14:paraId="489C759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chiếm giữ tài sản trị giá 200.000.000 đồng trở lên hoặc bảo vật quốc gia, thì bị phạt tù từ 01 năm đến 05 năm.</w:t>
      </w:r>
    </w:p>
    <w:p w14:paraId="78E364DD">
      <w:pPr>
        <w:spacing w:after="120"/>
        <w:ind w:firstLine="720"/>
        <w:jc w:val="both"/>
        <w:rPr>
          <w:rFonts w:ascii="Arial" w:hAnsi="Arial" w:cs="Arial"/>
          <w:color w:val="000000" w:themeColor="text1"/>
          <w:sz w:val="20"/>
          <w:szCs w:val="20"/>
          <w14:textFill>
            <w14:solidFill>
              <w14:schemeClr w14:val="tx1"/>
            </w14:solidFill>
          </w14:textFill>
        </w:rPr>
      </w:pPr>
      <w:bookmarkStart w:id="56" w:name="dieu_178"/>
      <w:r>
        <w:rPr>
          <w:rFonts w:ascii="Arial" w:hAnsi="Arial" w:cs="Arial"/>
          <w:b/>
          <w:bCs/>
          <w:color w:val="000000" w:themeColor="text1"/>
          <w:sz w:val="20"/>
          <w:szCs w:val="20"/>
          <w14:textFill>
            <w14:solidFill>
              <w14:schemeClr w14:val="tx1"/>
            </w14:solidFill>
          </w14:textFill>
        </w:rPr>
        <w:t>Điều 178. Tội hủy hoại hoặc cố ý làm hư hỏng tài sản</w:t>
      </w:r>
      <w:bookmarkEnd w:id="56"/>
    </w:p>
    <w:p w14:paraId="3A3A01E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w:t>
      </w:r>
      <w:bookmarkStart w:id="57" w:name="_ftnref109"/>
      <w:bookmarkEnd w:id="57"/>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"_ftn109"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[109]</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Người nào hủy hoại hoặc cố ý làm hư hỏng tài sản của người khác trị giá từ 2.000.000 đồng đến dưới 50.000.000 đồng hoặc dưới 2.000.000 đồng nhưng thuộc một trong các trường hợp sau đây, thì bị phạt tiền từ 10.000.000 đồng đến 50.000.000 đồng, phạt cải tạo không giam giữ đến 03 năm hoặc phạt tù từ 06 tháng đến 03 năm:</w:t>
      </w:r>
    </w:p>
    <w:p w14:paraId="36999C8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Đã bị xử phạt vi phạm hành chính về một trong các hành vi quy định tại Điều này mà còn vi phạm;</w:t>
      </w:r>
    </w:p>
    <w:p w14:paraId="0B6DA64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Đã bị kết án về tội này, chưa được xóa án tích mà còn vi phạm;</w:t>
      </w:r>
    </w:p>
    <w:p w14:paraId="3951A01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ảnh hưởng xấu đến an ninh, trật tự, an toàn xã hội;</w:t>
      </w:r>
    </w:p>
    <w:p w14:paraId="7F33C01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Tài sản là phương tiện kiếm sống chính của người bị hại và gia đình họ;</w:t>
      </w:r>
    </w:p>
    <w:p w14:paraId="42677EF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Tài sản là di vật, cổ vật.</w:t>
      </w:r>
    </w:p>
    <w:p w14:paraId="236ED3A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w:t>
      </w:r>
      <w:bookmarkStart w:id="58" w:name="_ftnref110"/>
      <w:bookmarkEnd w:id="58"/>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"_ftn110"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[110]</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thuộc một trong các trường hợp sau đây, thì bị phạt tù từ 02 năm đến 07 năm:</w:t>
      </w:r>
    </w:p>
    <w:p w14:paraId="3A63C1E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13719CC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thiệt hại cho tài sản trị giá từ 50.000.000 đồng đến dưới 200.000.000 đồng;</w:t>
      </w:r>
    </w:p>
    <w:p w14:paraId="103B6BD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Tài sản là bảo vật quốc gia;</w:t>
      </w:r>
    </w:p>
    <w:p w14:paraId="5188D8C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Dùng chất nguy hiểm về cháy, nổ hoặc thủ đoạn nguy hiểm khác;</w:t>
      </w:r>
    </w:p>
    <w:p w14:paraId="38D097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Để che giấu tội phạm khác;</w:t>
      </w:r>
    </w:p>
    <w:p w14:paraId="26E3A37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Vì lý do công vụ của người bị hại;</w:t>
      </w:r>
    </w:p>
    <w:p w14:paraId="66AD5E1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Tái phạm nguy hiểm.</w:t>
      </w:r>
    </w:p>
    <w:p w14:paraId="4E31A7B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w:t>
      </w:r>
      <w:bookmarkStart w:id="59" w:name="_ftnref111"/>
      <w:bookmarkEnd w:id="59"/>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"_ftn111"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[111]</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gây thiệt hại cho tài sản trị giá từ 200.000.000 đồng đến dưới 500.000.000 đồng, thì bị phạt tù từ 05 năm đến 10 năm.</w:t>
      </w:r>
    </w:p>
    <w:p w14:paraId="094FF8F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w:t>
      </w:r>
      <w:bookmarkStart w:id="60" w:name="_ftnref112"/>
      <w:bookmarkEnd w:id="60"/>
      <w:r>
        <w:rPr>
          <w:rFonts w:ascii="Arial" w:hAnsi="Arial" w:cs="Arial"/>
          <w:color w:val="000000" w:themeColor="text1"/>
          <w:sz w:val="20"/>
          <w:szCs w:val="20"/>
          <w14:textFill>
            <w14:solidFill>
              <w14:schemeClr w14:val="tx1"/>
            </w14:solidFill>
          </w14:textFill>
        </w:rPr>
        <w:fldChar w:fldCharType="begin"/>
      </w:r>
      <w:r>
        <w:rPr>
          <w:rFonts w:ascii="Arial" w:hAnsi="Arial" w:cs="Arial"/>
          <w:color w:val="000000" w:themeColor="text1"/>
          <w:sz w:val="20"/>
          <w:szCs w:val="20"/>
          <w14:textFill>
            <w14:solidFill>
              <w14:schemeClr w14:val="tx1"/>
            </w14:solidFill>
          </w14:textFill>
        </w:rPr>
        <w:instrText xml:space="preserve"> HYPERLINK \l "_ftn112" </w:instrText>
      </w:r>
      <w:r>
        <w:rPr>
          <w:rFonts w:ascii="Arial" w:hAnsi="Arial" w:cs="Arial"/>
          <w:color w:val="000000" w:themeColor="text1"/>
          <w:sz w:val="20"/>
          <w:szCs w:val="20"/>
          <w14:textFill>
            <w14:solidFill>
              <w14:schemeClr w14:val="tx1"/>
            </w14:solidFill>
          </w14:textFill>
        </w:rPr>
        <w:fldChar w:fldCharType="separate"/>
      </w:r>
      <w:r>
        <w:rPr>
          <w:rFonts w:ascii="Arial" w:hAnsi="Arial" w:cs="Arial"/>
          <w:color w:val="000000" w:themeColor="text1"/>
          <w:sz w:val="20"/>
          <w:szCs w:val="20"/>
          <w:u w:val="single"/>
          <w14:textFill>
            <w14:solidFill>
              <w14:schemeClr w14:val="tx1"/>
            </w14:solidFill>
          </w14:textFill>
        </w:rPr>
        <w:t>[112]</w:t>
      </w:r>
      <w:r>
        <w:rPr>
          <w:rFonts w:ascii="Arial" w:hAnsi="Arial" w:cs="Arial"/>
          <w:color w:val="000000" w:themeColor="text1"/>
          <w:sz w:val="20"/>
          <w:szCs w:val="20"/>
          <w14:textFill>
            <w14:solidFill>
              <w14:schemeClr w14:val="tx1"/>
            </w14:solidFill>
          </w14:textFill>
        </w:rPr>
        <w:fldChar w:fldCharType="end"/>
      </w:r>
      <w:r>
        <w:rPr>
          <w:rFonts w:ascii="Arial" w:hAnsi="Arial" w:cs="Arial"/>
          <w:color w:val="000000" w:themeColor="text1"/>
          <w:sz w:val="20"/>
          <w:szCs w:val="20"/>
          <w14:textFill>
            <w14:solidFill>
              <w14:schemeClr w14:val="tx1"/>
            </w14:solidFill>
          </w14:textFill>
        </w:rPr>
        <w:t xml:space="preserve"> Phạm tội gây thiệt hại cho tài sản trị giá 500.000.000 đồng trở lên, thì bị phạt tù từ 10 năm đến 20 năm.</w:t>
      </w:r>
    </w:p>
    <w:p w14:paraId="60831B4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100.000.000 đồng, cấm đảm nhiệm chức vụ, cấm hành nghề hoặc làm công việc nhất định từ 01 năm đến 05 năm.</w:t>
      </w:r>
    </w:p>
    <w:p w14:paraId="32A3F576">
      <w:pPr>
        <w:spacing w:after="120"/>
        <w:ind w:firstLine="720"/>
        <w:jc w:val="both"/>
        <w:rPr>
          <w:rFonts w:ascii="Arial" w:hAnsi="Arial" w:cs="Arial"/>
          <w:color w:val="000000" w:themeColor="text1"/>
          <w:sz w:val="20"/>
          <w:szCs w:val="20"/>
          <w14:textFill>
            <w14:solidFill>
              <w14:schemeClr w14:val="tx1"/>
            </w14:solidFill>
          </w14:textFill>
        </w:rPr>
      </w:pPr>
      <w:bookmarkStart w:id="61" w:name="dieu_288"/>
      <w:r>
        <w:rPr>
          <w:rFonts w:ascii="Arial" w:hAnsi="Arial" w:cs="Arial"/>
          <w:b/>
          <w:bCs/>
          <w:color w:val="000000" w:themeColor="text1"/>
          <w:sz w:val="20"/>
          <w:szCs w:val="20"/>
          <w14:textFill>
            <w14:solidFill>
              <w14:schemeClr w14:val="tx1"/>
            </w14:solidFill>
          </w14:textFill>
        </w:rPr>
        <w:t>Điều 288. Tội đưa hoặc sử dụng trái phép thông tin mạng máy tính, mạng viễn thông</w:t>
      </w:r>
      <w:bookmarkEnd w:id="61"/>
    </w:p>
    <w:p w14:paraId="02A0007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thực hiện một trong các hành vi sau đây, thu lợi bất chính từ 50.000.000 đồng đến dưới 200.000.000 đồng hoặc gây thiệt hại từ 100.000.000 đồng đến dưới 500.000.000 đồng hoặc gây dư luận xấu làm giảm uy tín của cơ quan, tổ chức, cá nhân, thì bị phạt tiền từ 30.000.000 đồng đến 200.000.000 đồng, phạt cải tạo không giam giữ đến 03 năm hoặc bị phạt tù từ 06 tháng đến 03 năm:</w:t>
      </w:r>
    </w:p>
    <w:p w14:paraId="172B36E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a) Đưa lên mạng máy tính, mạng viễn thông những thông tin trái với quy định của pháp luật, nếu không thuộc một trong các trường hợp quy định tại các </w:t>
      </w:r>
      <w:bookmarkStart w:id="62" w:name="tc_201"/>
      <w:r>
        <w:rPr>
          <w:rFonts w:ascii="Arial" w:hAnsi="Arial" w:cs="Arial"/>
          <w:color w:val="000000" w:themeColor="text1"/>
          <w:sz w:val="20"/>
          <w:szCs w:val="20"/>
          <w14:textFill>
            <w14:solidFill>
              <w14:schemeClr w14:val="tx1"/>
            </w14:solidFill>
          </w14:textFill>
        </w:rPr>
        <w:t>điều 117, 155</w:t>
      </w:r>
      <w:bookmarkEnd w:id="62"/>
      <w:r>
        <w:rPr>
          <w:rFonts w:ascii="Arial" w:hAnsi="Arial" w:cs="Arial"/>
          <w:color w:val="000000" w:themeColor="text1"/>
          <w:sz w:val="20"/>
          <w:szCs w:val="20"/>
          <w14:textFill>
            <w14:solidFill>
              <w14:schemeClr w14:val="tx1"/>
            </w14:solidFill>
          </w14:textFill>
        </w:rPr>
        <w:t xml:space="preserve">, </w:t>
      </w:r>
      <w:bookmarkStart w:id="63" w:name="tc_202"/>
      <w:r>
        <w:rPr>
          <w:rFonts w:ascii="Arial" w:hAnsi="Arial" w:cs="Arial"/>
          <w:color w:val="000000" w:themeColor="text1"/>
          <w:sz w:val="20"/>
          <w:szCs w:val="20"/>
          <w14:textFill>
            <w14:solidFill>
              <w14:schemeClr w14:val="tx1"/>
            </w14:solidFill>
          </w14:textFill>
        </w:rPr>
        <w:t>156 và 326 của Bộ luật này</w:t>
      </w:r>
      <w:bookmarkEnd w:id="63"/>
      <w:r>
        <w:rPr>
          <w:rFonts w:ascii="Arial" w:hAnsi="Arial" w:cs="Arial"/>
          <w:color w:val="000000" w:themeColor="text1"/>
          <w:sz w:val="20"/>
          <w:szCs w:val="20"/>
          <w14:textFill>
            <w14:solidFill>
              <w14:schemeClr w14:val="tx1"/>
            </w14:solidFill>
          </w14:textFill>
        </w:rPr>
        <w:t>;</w:t>
      </w:r>
    </w:p>
    <w:p w14:paraId="5C6691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Mua bán, trao đổi, tặng cho, sửa chữa, thay đổi hoặc công khai hóa thông tin riêng hợp pháp của cơ quan, tổ chức, cá nhân trên mạng máy tính, mạng viễn thông mà không được phép của chủ sở hữu thông tin đó;</w:t>
      </w:r>
    </w:p>
    <w:p w14:paraId="5EB69C5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Hành vi khác sử dụng trái phép thông tin trên mạng máy tính, mạng viễn thông.</w:t>
      </w:r>
    </w:p>
    <w:p w14:paraId="1A0525A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tiền từ 200.000.000 đồng đến 1.000.000.000 đồng hoặc phạt tù từ 02 năm đến 07 năm:</w:t>
      </w:r>
    </w:p>
    <w:p w14:paraId="550B45E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28A080C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Lợi dụng quyền quản trị mạng máy tính, mạng viễn thông;</w:t>
      </w:r>
    </w:p>
    <w:p w14:paraId="4C16113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Thu lợi bất chính 200.000.000 đồng trở lên;</w:t>
      </w:r>
    </w:p>
    <w:p w14:paraId="73F180E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thiệt hại 500.000.000 đồng trở lên;</w:t>
      </w:r>
    </w:p>
    <w:p w14:paraId="30D777D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Xâm phạm bí mật cá nhân dẫn đến người bị xâm phạm tự sát;</w:t>
      </w:r>
    </w:p>
    <w:p w14:paraId="451C5F8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Gây ảnh hưởng xấu đến an ninh, trật tự, an toàn xã hội hoặc quan hệ đối ngoại của Việt Nam;</w:t>
      </w:r>
    </w:p>
    <w:p w14:paraId="4726493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Dẫn đến biểu tình.</w:t>
      </w:r>
    </w:p>
    <w:p w14:paraId="7029ADD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Người phạm tội còn có thể bị phạt tiền từ 20.000.000 đồng đến 200.000.000 đồng, cấm đảm nhiệm chức vụ, cấm hành nghề hoặc làm công việc nhất định từ 01 năm đến 05 năm.</w:t>
      </w:r>
    </w:p>
    <w:p w14:paraId="371C064F">
      <w:pPr>
        <w:spacing w:after="120"/>
        <w:ind w:firstLine="720"/>
        <w:jc w:val="both"/>
        <w:rPr>
          <w:rFonts w:ascii="Arial" w:hAnsi="Arial" w:cs="Arial"/>
          <w:color w:val="000000" w:themeColor="text1"/>
          <w:sz w:val="20"/>
          <w:szCs w:val="20"/>
          <w14:textFill>
            <w14:solidFill>
              <w14:schemeClr w14:val="tx1"/>
            </w14:solidFill>
          </w14:textFill>
        </w:rPr>
      </w:pPr>
      <w:bookmarkStart w:id="64" w:name="dieu_290"/>
      <w:r>
        <w:rPr>
          <w:rFonts w:ascii="Arial" w:hAnsi="Arial" w:cs="Arial"/>
          <w:b/>
          <w:bCs/>
          <w:color w:val="000000" w:themeColor="text1"/>
          <w:sz w:val="20"/>
          <w:szCs w:val="20"/>
          <w14:textFill>
            <w14:solidFill>
              <w14:schemeClr w14:val="tx1"/>
            </w14:solidFill>
          </w14:textFill>
        </w:rPr>
        <w:t>Điều 290. Tội sử dụng mạng máy tính, mạng viễn thông, phương tiện điện tử thực hiện hành vi chiếm đoạt tài sản</w:t>
      </w:r>
      <w:bookmarkEnd w:id="64"/>
    </w:p>
    <w:p w14:paraId="564FD32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 xml:space="preserve">1. Người nào sử dụng mạng máy tính, mạng viễn thông hoặc phương tiện điện tử thực hiện một trong những hành vi sau đây, nếu không thuộc một trong các trường hợp quy định tại </w:t>
      </w:r>
      <w:bookmarkStart w:id="65" w:name="tc_203"/>
      <w:r>
        <w:rPr>
          <w:rFonts w:ascii="Arial" w:hAnsi="Arial" w:cs="Arial"/>
          <w:color w:val="000000" w:themeColor="text1"/>
          <w:sz w:val="20"/>
          <w:szCs w:val="20"/>
          <w14:textFill>
            <w14:solidFill>
              <w14:schemeClr w14:val="tx1"/>
            </w14:solidFill>
          </w14:textFill>
        </w:rPr>
        <w:t>Điều 173 và Điều 174 của Bộ luật này</w:t>
      </w:r>
      <w:bookmarkEnd w:id="65"/>
      <w:r>
        <w:rPr>
          <w:rFonts w:ascii="Arial" w:hAnsi="Arial" w:cs="Arial"/>
          <w:color w:val="000000" w:themeColor="text1"/>
          <w:sz w:val="20"/>
          <w:szCs w:val="20"/>
          <w14:textFill>
            <w14:solidFill>
              <w14:schemeClr w14:val="tx1"/>
            </w14:solidFill>
          </w14:textFill>
        </w:rPr>
        <w:t>, thì bị phạt cải tạo không giam giữ đến 03 năm hoặc phạt tù từ 06 tháng đến 03 năm:</w:t>
      </w:r>
    </w:p>
    <w:p w14:paraId="064D53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Sử dụng thông tin về tài khoản, thẻ ngân hàng của cơ quan, tổ chức, cá nhân để chiếm đoạt tài sản của chủ tài khoản, chủ thẻ hoặc thanh toán hàng hóa, dịch vụ;</w:t>
      </w:r>
    </w:p>
    <w:p w14:paraId="2A4D231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Làm, tàng trữ, mua bán, sử dụng, lưu hành thẻ ngân hàng giả nhằm chiếm đoạt tài sản của chủ tài khoản, chủ thẻ hoặc thanh toán hàng hóa, dịch vụ;</w:t>
      </w:r>
    </w:p>
    <w:p w14:paraId="055D984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Truy cập bất hợp pháp vào tài khoản của cơ quan, tổ chức, cá nhân nhằm chiếm đoạt tài sản;</w:t>
      </w:r>
    </w:p>
    <w:p w14:paraId="48F1D68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Lừa đảo trong thương mại điện tử, thanh toán điện tử, kinh doanh tiền tệ, huy động vốn, kinh doanh đa cấp hoặc giao dịch chứng khoán qua mạng nhằm chiếm đoạt tài sản;</w:t>
      </w:r>
    </w:p>
    <w:p w14:paraId="747C2CD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Thiết lập, cung cấp trái phép dịch vụ viễn thông, internet nhằm chiếm đoạt tài sản.</w:t>
      </w:r>
    </w:p>
    <w:p w14:paraId="33C0EC5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02 năm đến 07 năm:</w:t>
      </w:r>
    </w:p>
    <w:p w14:paraId="41B548B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Có tổ chức;</w:t>
      </w:r>
    </w:p>
    <w:p w14:paraId="3BD886A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Phạm tội 02 lần trở lên;</w:t>
      </w:r>
    </w:p>
    <w:p w14:paraId="0EB939B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Có tính chất chuyên nghiệp;</w:t>
      </w:r>
    </w:p>
    <w:p w14:paraId="067E1F9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Số lượng thẻ giả từ 50 thẻ đến dưới 200 thẻ;</w:t>
      </w:r>
    </w:p>
    <w:p w14:paraId="209F200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đ) Chiếm đoạt tài sản trị giá từ 50.000.000 đồng đến dưới 200.000.000 đồng;</w:t>
      </w:r>
    </w:p>
    <w:p w14:paraId="18469D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e) Gây thiệt hại từ 50.000.000 đồng đến dưới 300.000.000 đồng;</w:t>
      </w:r>
    </w:p>
    <w:p w14:paraId="29DF4EB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g) Tái phạm nguy hiểm.</w:t>
      </w:r>
    </w:p>
    <w:p w14:paraId="0659F65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07 năm đến 15 năm:</w:t>
      </w:r>
    </w:p>
    <w:p w14:paraId="0EC2791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từ 200.000.000 đồng đến dưới 500.000.000 đồng;</w:t>
      </w:r>
    </w:p>
    <w:p w14:paraId="717F1FB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thiệt hại từ 300.000.000 đồng đến dưới 500.000.000 đồng;</w:t>
      </w:r>
    </w:p>
    <w:p w14:paraId="451D1AE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Số lượng thẻ giả từ 200 thẻ đến dưới 500 thẻ.</w:t>
      </w:r>
    </w:p>
    <w:p w14:paraId="4FE7CD4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Phạm tội thuộc một trong các trường hợp sau đây, thì bị phạt tù từ 12 năm đến 20 năm:</w:t>
      </w:r>
    </w:p>
    <w:p w14:paraId="5DF3128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Chiếm đoạt tài sản trị giá 500.000.000 đồng trở lên;</w:t>
      </w:r>
    </w:p>
    <w:p w14:paraId="6DE02C46">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thiệt hại 500.000.000 đồng trở lên;</w:t>
      </w:r>
    </w:p>
    <w:p w14:paraId="55E0788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Số lượng thẻ giả 500 thẻ trở lên.</w:t>
      </w:r>
    </w:p>
    <w:p w14:paraId="7F9C24D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20.000.000 đồng đến 100.000.000 đồng, cấm đảm nhiệm chức vụ, cấm hành nghề hoặc làm công việc nhất định từ 01 năm đến 05 năm hoặc tịch thu một phần hoặc toàn bộ tài sản.</w:t>
      </w:r>
    </w:p>
    <w:p w14:paraId="5B9330FC">
      <w:pPr>
        <w:spacing w:after="120"/>
        <w:ind w:firstLine="720"/>
        <w:jc w:val="both"/>
        <w:rPr>
          <w:rFonts w:ascii="Arial" w:hAnsi="Arial" w:cs="Arial"/>
          <w:color w:val="000000" w:themeColor="text1"/>
          <w:sz w:val="20"/>
          <w:szCs w:val="20"/>
          <w14:textFill>
            <w14:solidFill>
              <w14:schemeClr w14:val="tx1"/>
            </w14:solidFill>
          </w14:textFill>
        </w:rPr>
      </w:pPr>
      <w:bookmarkStart w:id="66" w:name="dieu_313"/>
      <w:r>
        <w:rPr>
          <w:rFonts w:ascii="Arial" w:hAnsi="Arial" w:cs="Arial"/>
          <w:b/>
          <w:bCs/>
          <w:color w:val="000000" w:themeColor="text1"/>
          <w:sz w:val="20"/>
          <w:szCs w:val="20"/>
          <w14:textFill>
            <w14:solidFill>
              <w14:schemeClr w14:val="tx1"/>
            </w14:solidFill>
          </w14:textFill>
        </w:rPr>
        <w:t>Điều 313. Tội vi phạm quy định về phòng cháy, chữa cháy</w:t>
      </w:r>
      <w:bookmarkEnd w:id="66"/>
      <w:bookmarkStart w:id="67" w:name="_ftnref304"/>
      <w:bookmarkEnd w:id="67"/>
      <w:r>
        <w:rPr>
          <w:rFonts w:ascii="Arial" w:hAnsi="Arial" w:cs="Arial"/>
          <w:b/>
          <w:bCs/>
          <w:color w:val="000000" w:themeColor="text1"/>
          <w:sz w:val="20"/>
          <w:szCs w:val="20"/>
          <w14:textFill>
            <w14:solidFill>
              <w14:schemeClr w14:val="tx1"/>
            </w14:solidFill>
          </w14:textFill>
        </w:rPr>
        <w:fldChar w:fldCharType="begin"/>
      </w:r>
      <w:r>
        <w:rPr>
          <w:rFonts w:ascii="Arial" w:hAnsi="Arial" w:cs="Arial"/>
          <w:b/>
          <w:bCs/>
          <w:color w:val="000000" w:themeColor="text1"/>
          <w:sz w:val="20"/>
          <w:szCs w:val="20"/>
          <w14:textFill>
            <w14:solidFill>
              <w14:schemeClr w14:val="tx1"/>
            </w14:solidFill>
          </w14:textFill>
        </w:rPr>
        <w:instrText xml:space="preserve"> HYPERLINK \l "_ftn304" </w:instrText>
      </w:r>
      <w:r>
        <w:rPr>
          <w:rFonts w:ascii="Arial" w:hAnsi="Arial" w:cs="Arial"/>
          <w:b/>
          <w:bCs/>
          <w:color w:val="000000" w:themeColor="text1"/>
          <w:sz w:val="20"/>
          <w:szCs w:val="20"/>
          <w14:textFill>
            <w14:solidFill>
              <w14:schemeClr w14:val="tx1"/>
            </w14:solidFill>
          </w14:textFill>
        </w:rPr>
        <w:fldChar w:fldCharType="separate"/>
      </w:r>
      <w:r>
        <w:rPr>
          <w:rFonts w:ascii="Arial" w:hAnsi="Arial" w:cs="Arial"/>
          <w:b/>
          <w:bCs/>
          <w:color w:val="000000" w:themeColor="text1"/>
          <w:sz w:val="20"/>
          <w:szCs w:val="20"/>
          <w:u w:val="single"/>
          <w14:textFill>
            <w14:solidFill>
              <w14:schemeClr w14:val="tx1"/>
            </w14:solidFill>
          </w14:textFill>
        </w:rPr>
        <w:t>[304]</w:t>
      </w:r>
      <w:r>
        <w:rPr>
          <w:rFonts w:ascii="Arial" w:hAnsi="Arial" w:cs="Arial"/>
          <w:b/>
          <w:bCs/>
          <w:color w:val="000000" w:themeColor="text1"/>
          <w:sz w:val="20"/>
          <w:szCs w:val="20"/>
          <w14:textFill>
            <w14:solidFill>
              <w14:schemeClr w14:val="tx1"/>
            </w14:solidFill>
          </w14:textFill>
        </w:rPr>
        <w:fldChar w:fldCharType="end"/>
      </w:r>
    </w:p>
    <w:p w14:paraId="102A1A97">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14:paraId="0047723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người;</w:t>
      </w:r>
    </w:p>
    <w:p w14:paraId="4C330D49">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01 người mà tỷ lệ tổn thương cơ thể 61% trở lên;</w:t>
      </w:r>
    </w:p>
    <w:p w14:paraId="2CFD6DE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hoặc gây tổn hại cho sức khỏe của 02 người trở lên mà tổng tỷ lệ tổn thương cơ thể của những người này từ 61% đến 121%;</w:t>
      </w:r>
    </w:p>
    <w:p w14:paraId="1BB1B26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thiệt hại về tài sản từ 100.000.000 đồng đến dưới 500.000.000 đồng.</w:t>
      </w:r>
    </w:p>
    <w:p w14:paraId="38A1EA8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tù từ 05 năm đến 08 năm:</w:t>
      </w:r>
    </w:p>
    <w:p w14:paraId="7B21765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02 người;</w:t>
      </w:r>
    </w:p>
    <w:p w14:paraId="08F4438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tổng tỷ lệ tổn thương cơ thể của những người này từ 122% đến 200%;</w:t>
      </w:r>
    </w:p>
    <w:p w14:paraId="2139B8EC">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thiệt hại về tài sản từ 500.000.000 đồng đến dưới 1.500.000.000 đồng.</w:t>
      </w:r>
    </w:p>
    <w:p w14:paraId="7F6126D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07 năm đến 12 năm:</w:t>
      </w:r>
    </w:p>
    <w:p w14:paraId="455CF95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03 người trở lên;</w:t>
      </w:r>
    </w:p>
    <w:p w14:paraId="010582A2">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03 người trở lên mà tổng tỷ lệ tổn thương cơ thể của những người này 201% trở lên;</w:t>
      </w:r>
    </w:p>
    <w:p w14:paraId="365C993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thiệt hại về tài sản 1.500.000.000 đồng trở lên.</w:t>
      </w:r>
    </w:p>
    <w:p w14:paraId="1C40C3E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14:paraId="606E1E5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phạt tiền từ 10.000.000 đồng đến 50.000.000 đồng, cấm đảm nhiệm chức vụ, cấm hành nghề hoặc làm công việc nhất định từ 01 năm đến 05 năm.</w:t>
      </w:r>
    </w:p>
    <w:p w14:paraId="362BD88F">
      <w:pPr>
        <w:spacing w:after="120"/>
        <w:ind w:firstLine="720"/>
        <w:jc w:val="both"/>
        <w:rPr>
          <w:rFonts w:ascii="Arial" w:hAnsi="Arial" w:cs="Arial"/>
          <w:color w:val="000000" w:themeColor="text1"/>
          <w:sz w:val="20"/>
          <w:szCs w:val="20"/>
          <w14:textFill>
            <w14:solidFill>
              <w14:schemeClr w14:val="tx1"/>
            </w14:solidFill>
          </w14:textFill>
        </w:rPr>
      </w:pPr>
      <w:bookmarkStart w:id="68" w:name="dieu_314"/>
      <w:r>
        <w:rPr>
          <w:rFonts w:ascii="Arial" w:hAnsi="Arial" w:cs="Arial"/>
          <w:b/>
          <w:bCs/>
          <w:color w:val="000000" w:themeColor="text1"/>
          <w:sz w:val="20"/>
          <w:szCs w:val="20"/>
          <w14:textFill>
            <w14:solidFill>
              <w14:schemeClr w14:val="tx1"/>
            </w14:solidFill>
          </w14:textFill>
        </w:rPr>
        <w:t>Điều 314. Tội vi phạm quy định về an toàn vận hành công trình điện lực</w:t>
      </w:r>
      <w:bookmarkEnd w:id="68"/>
      <w:bookmarkStart w:id="69" w:name="_ftnref305"/>
      <w:bookmarkEnd w:id="69"/>
      <w:r>
        <w:rPr>
          <w:rFonts w:ascii="Arial" w:hAnsi="Arial" w:cs="Arial"/>
          <w:b/>
          <w:bCs/>
          <w:color w:val="000000" w:themeColor="text1"/>
          <w:sz w:val="20"/>
          <w:szCs w:val="20"/>
          <w14:textFill>
            <w14:solidFill>
              <w14:schemeClr w14:val="tx1"/>
            </w14:solidFill>
          </w14:textFill>
        </w:rPr>
        <w:fldChar w:fldCharType="begin"/>
      </w:r>
      <w:r>
        <w:rPr>
          <w:rFonts w:ascii="Arial" w:hAnsi="Arial" w:cs="Arial"/>
          <w:b/>
          <w:bCs/>
          <w:color w:val="000000" w:themeColor="text1"/>
          <w:sz w:val="20"/>
          <w:szCs w:val="20"/>
          <w14:textFill>
            <w14:solidFill>
              <w14:schemeClr w14:val="tx1"/>
            </w14:solidFill>
          </w14:textFill>
        </w:rPr>
        <w:instrText xml:space="preserve"> HYPERLINK \l "_ftn305" </w:instrText>
      </w:r>
      <w:r>
        <w:rPr>
          <w:rFonts w:ascii="Arial" w:hAnsi="Arial" w:cs="Arial"/>
          <w:b/>
          <w:bCs/>
          <w:color w:val="000000" w:themeColor="text1"/>
          <w:sz w:val="20"/>
          <w:szCs w:val="20"/>
          <w14:textFill>
            <w14:solidFill>
              <w14:schemeClr w14:val="tx1"/>
            </w14:solidFill>
          </w14:textFill>
        </w:rPr>
        <w:fldChar w:fldCharType="separate"/>
      </w:r>
      <w:r>
        <w:rPr>
          <w:rFonts w:ascii="Arial" w:hAnsi="Arial" w:cs="Arial"/>
          <w:b/>
          <w:bCs/>
          <w:color w:val="000000" w:themeColor="text1"/>
          <w:sz w:val="20"/>
          <w:szCs w:val="20"/>
          <w:u w:val="single"/>
          <w14:textFill>
            <w14:solidFill>
              <w14:schemeClr w14:val="tx1"/>
            </w14:solidFill>
          </w14:textFill>
        </w:rPr>
        <w:t>[305]</w:t>
      </w:r>
      <w:r>
        <w:rPr>
          <w:rFonts w:ascii="Arial" w:hAnsi="Arial" w:cs="Arial"/>
          <w:b/>
          <w:bCs/>
          <w:color w:val="000000" w:themeColor="text1"/>
          <w:sz w:val="20"/>
          <w:szCs w:val="20"/>
          <w14:textFill>
            <w14:solidFill>
              <w14:schemeClr w14:val="tx1"/>
            </w14:solidFill>
          </w14:textFill>
        </w:rPr>
        <w:fldChar w:fldCharType="end"/>
      </w:r>
    </w:p>
    <w:p w14:paraId="53E5743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mất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14:paraId="034EEBC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người;</w:t>
      </w:r>
    </w:p>
    <w:p w14:paraId="3BF70A2E">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người khác mà tỷ lệ tổn thương cơ thể 61% trở lên;</w:t>
      </w:r>
    </w:p>
    <w:p w14:paraId="474D4093">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thương tích hoặc gây tổn hại cho sức khỏe của 02 người trở lên mà tổng tỷ lệ tổn thương cơ thể của những người này từ 61% đến 121%;</w:t>
      </w:r>
    </w:p>
    <w:p w14:paraId="0B9220D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d) Gây thiệt hại về tài sản từ 100.000.000 đồng đến dưới 500.000.000 đồng.</w:t>
      </w:r>
    </w:p>
    <w:p w14:paraId="14CEB1C0">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2. Phạm tội thuộc một trong các trường hợp sau đây, thì bị phạt tiền từ 100.000.000 đồng đến 300.000.000 đồng hoặc phạt tù từ 02 năm đến 07 năm:</w:t>
      </w:r>
    </w:p>
    <w:p w14:paraId="46C2DC2B">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02 người;</w:t>
      </w:r>
    </w:p>
    <w:p w14:paraId="637D872A">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02 người trở lên mà tổng tỷ lệ tổn thương cơ thể của những người này từ 122% đến 200%;</w:t>
      </w:r>
    </w:p>
    <w:p w14:paraId="6EE4665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thiệt hại về tài sản từ 500.000.000 đồng đến dưới 1.500.000.000 đồng.</w:t>
      </w:r>
    </w:p>
    <w:p w14:paraId="3D8B6258">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3. Phạm tội thuộc một trong các trường hợp sau đây, thì bị phạt tù từ 06 năm đến 10 năm:</w:t>
      </w:r>
    </w:p>
    <w:p w14:paraId="3A3D222D">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a) Làm chết 03 người trở lên;</w:t>
      </w:r>
    </w:p>
    <w:p w14:paraId="5CD60775">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b) Gây thương tích hoặc gây tổn hại cho sức khỏe của 03 người trở lên mà tổng tỷ lệ tổn thương cơ thể của những người này 201% trở lên;</w:t>
      </w:r>
    </w:p>
    <w:p w14:paraId="3F9E47E1">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c) Gây thiệt hại về tài sản 1.500.000.000 đồng trở lên.</w:t>
      </w:r>
    </w:p>
    <w:p w14:paraId="42050AE4">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14:paraId="776852CF">
      <w:pPr>
        <w:spacing w:after="120"/>
        <w:ind w:firstLine="720"/>
        <w:jc w:val="both"/>
        <w:rPr>
          <w:rFonts w:ascii="Arial" w:hAnsi="Arial" w:cs="Arial"/>
          <w:color w:val="000000" w:themeColor="text1"/>
          <w:sz w:val="20"/>
          <w:szCs w:val="20"/>
          <w14:textFill>
            <w14:solidFill>
              <w14:schemeClr w14:val="tx1"/>
            </w14:solidFill>
          </w14:textFill>
        </w:rPr>
      </w:pPr>
      <w:r>
        <w:rPr>
          <w:rFonts w:ascii="Arial" w:hAnsi="Arial" w:cs="Arial"/>
          <w:color w:val="000000" w:themeColor="text1"/>
          <w:sz w:val="20"/>
          <w:szCs w:val="20"/>
          <w14:textFill>
            <w14:solidFill>
              <w14:schemeClr w14:val="tx1"/>
            </w14:solidFill>
          </w14:textFill>
        </w:rPr>
        <w:t>5. Người phạm tội còn có thể bị cấm đảm nhiệm chức vụ, cấm hành nghề hoặc làm công việc nhất định từ 01 năm đến 05 năm.</w:t>
      </w:r>
    </w:p>
    <w:p w14:paraId="2181EF42">
      <w:pPr>
        <w:spacing w:after="120"/>
        <w:ind w:firstLine="720"/>
        <w:jc w:val="both"/>
        <w:rPr>
          <w:rFonts w:ascii="Arial" w:hAnsi="Arial" w:cs="Arial"/>
          <w:color w:val="000000" w:themeColor="text1"/>
          <w:sz w:val="20"/>
          <w:szCs w:val="20"/>
          <w14:textFill>
            <w14:solidFill>
              <w14:schemeClr w14:val="tx1"/>
            </w14:solidFill>
          </w14:textFill>
        </w:rPr>
      </w:pPr>
      <w:bookmarkStart w:id="70" w:name="_GoBack"/>
      <w:bookmarkEnd w:id="70"/>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F4E"/>
    <w:rsid w:val="00147B13"/>
    <w:rsid w:val="001B5552"/>
    <w:rsid w:val="00230F4E"/>
    <w:rsid w:val="1D2407E7"/>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9" w:name="heading 2"/>
    <w:lsdException w:qFormat="1" w:uiPriority="99" w:name="heading 3"/>
    <w:lsdException w:qFormat="1" w:uiPriority="99" w:name="heading 4"/>
    <w:lsdException w:qFormat="1" w:uiPriority="99" w:name="heading 5"/>
    <w:lsdException w:qFormat="1" w:uiPriority="99"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2">
    <w:name w:val="Default Paragraph Font"/>
    <w:semiHidden/>
    <w:qFormat/>
    <w:uiPriority w:val="0"/>
  </w:style>
  <w:style w:type="table" w:default="1" w:styleId="3">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134745</Words>
  <Characters>480784</Characters>
  <Lines>4554</Lines>
  <Paragraphs>1282</Paragraphs>
  <TotalTime>8</TotalTime>
  <ScaleCrop>false</ScaleCrop>
  <LinksUpToDate>false</LinksUpToDate>
  <CharactersWithSpaces>610455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2025-10-15T04:51:00Z</dcterms:created>
  <dc:creator>DELL</dc:creator>
  <cp:lastModifiedBy>Phúc Châu</cp:lastModifiedBy>
  <cp:lastPrinted>2113-01-01T00:00:00Z</cp:lastPrinted>
  <dcterms:modified xsi:type="dcterms:W3CDTF">2026-09-21T10:28:40Z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E5303A5A347A4EE2A402DBC078759D9E_12</vt:lpwstr>
  </property>
</Properties>
</file>