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646E78"/>
          <w:sz w:val="22"/>
        </w:rPr>
        <w:t>TRƯỜNG ĐẠI HỌC CÔNG NGHỆ TP.HCM (HUTECH)</w:t>
        <w:br/>
      </w:r>
      <w:r>
        <w:rPr>
          <w:rFonts w:ascii="Arial" w:hAnsi="Arial"/>
          <w:b/>
          <w:color w:val="1B365D"/>
          <w:sz w:val="22"/>
        </w:rPr>
        <w:t>KHOA CÔNG NGHỆ THÔNG TIN - VIỆN KỸ THUẬT HUTECH</w:t>
        <w:br/>
      </w:r>
      <w:r>
        <w:rPr>
          <w:rFonts w:ascii="Arial" w:hAnsi="Arial"/>
          <w:color w:val="B4BECD"/>
          <w:sz w:val="18"/>
        </w:rPr>
        <w:t>━━━━━━━━━━━━━━━━━━━━━━━━━━━━━━━━━━━━━━━━</w:t>
      </w:r>
    </w:p>
    <w:p>
      <w:pPr>
        <w:spacing w:before="240" w:after="80"/>
        <w:jc w:val="center"/>
      </w:pPr>
      <w:r>
        <w:rPr>
          <w:rFonts w:ascii="Arial" w:hAnsi="Arial"/>
          <w:b/>
          <w:color w:val="B45309"/>
          <w:sz w:val="28"/>
        </w:rPr>
        <w:t>BÀI TẬP CHUYÊN ĐỀ QUẢN LÝ DỰ ÁN CNTT</w:t>
        <w:br/>
      </w:r>
      <w:r>
        <w:rPr>
          <w:rFonts w:ascii="Arial" w:hAnsi="Arial"/>
          <w:b/>
          <w:color w:val="1B365D"/>
          <w:sz w:val="30"/>
        </w:rPr>
        <w:t>CHỦ ĐỀ: QUẢN LÝ CHI PHÍ DỰ ÁN THEO CHUẨN PMBOK</w:t>
        <w:br/>
        <w:t>(PROJECT COST MANAGEMENT)</w:t>
      </w:r>
    </w:p>
    <w:tbl>
      <w:tblPr>
        <w:tblW w:type="auto" w:w="0"/>
        <w:jc w:val="center"/>
        <w:tblLook w:firstColumn="1" w:firstRow="1" w:lastColumn="0" w:lastRow="0" w:noHBand="0" w:noVBand="1" w:val="04A0"/>
      </w:tblPr>
      <w:tblGrid>
        <w:gridCol w:w="4680"/>
        <w:gridCol w:w="4680"/>
      </w:tblGrid>
      <w:tr>
        <w:tc>
          <w:tcPr>
            <w:tcW w:type="dxa" w:w="4680"/>
            <w:shd w:fill="F8FAFC"/>
            <w:tcMar>
              <w:top w:w="60" w:type="dxa"/>
              <w:bottom w:w="60" w:type="dxa"/>
              <w:left w:w="100" w:type="dxa"/>
              <w:right w:w="100" w:type="dxa"/>
            </w:tcMar>
          </w:tcPr>
          <w:p>
            <w:pPr>
              <w:spacing w:after="0"/>
            </w:pPr>
            <w:r>
              <w:rPr>
                <w:rFonts w:ascii="Arial" w:hAnsi="Arial"/>
                <w:b/>
                <w:color w:val="283246"/>
                <w:sz w:val="20"/>
              </w:rPr>
              <w:t>Họ và tên sinh viên:</w:t>
            </w:r>
          </w:p>
        </w:tc>
        <w:tc>
          <w:tcPr>
            <w:tcW w:type="dxa" w:w="4680"/>
            <w:shd w:fill="FFFFFF"/>
            <w:tcMar>
              <w:top w:w="60" w:type="dxa"/>
              <w:bottom w:w="60" w:type="dxa"/>
              <w:left w:w="100" w:type="dxa"/>
              <w:right w:w="100" w:type="dxa"/>
            </w:tcMar>
          </w:tcPr>
          <w:p>
            <w:pPr>
              <w:spacing w:after="0"/>
            </w:pPr>
            <w:r>
              <w:rPr>
                <w:rFonts w:ascii="Arial" w:hAnsi="Arial"/>
                <w:b/>
                <w:color w:val="1B365D"/>
                <w:sz w:val="20"/>
              </w:rPr>
              <w:t>HUỲNH NGUYỄN VĨNH PHÚC</w:t>
            </w:r>
          </w:p>
        </w:tc>
      </w:tr>
      <w:tr>
        <w:tc>
          <w:tcPr>
            <w:tcW w:type="dxa" w:w="4680"/>
            <w:shd w:fill="F8FAFC"/>
            <w:tcMar>
              <w:top w:w="60" w:type="dxa"/>
              <w:bottom w:w="60" w:type="dxa"/>
              <w:left w:w="100" w:type="dxa"/>
              <w:right w:w="100" w:type="dxa"/>
            </w:tcMar>
          </w:tcPr>
          <w:p>
            <w:pPr>
              <w:spacing w:after="0"/>
            </w:pPr>
            <w:r>
              <w:rPr>
                <w:rFonts w:ascii="Arial" w:hAnsi="Arial"/>
                <w:b/>
                <w:color w:val="283246"/>
                <w:sz w:val="20"/>
              </w:rPr>
              <w:t>Mã số sinh viên (MSSV):</w:t>
            </w:r>
          </w:p>
        </w:tc>
        <w:tc>
          <w:tcPr>
            <w:tcW w:type="dxa" w:w="4680"/>
            <w:shd w:fill="FFFFFF"/>
            <w:tcMar>
              <w:top w:w="60" w:type="dxa"/>
              <w:bottom w:w="60" w:type="dxa"/>
              <w:left w:w="100" w:type="dxa"/>
              <w:right w:w="100" w:type="dxa"/>
            </w:tcMar>
          </w:tcPr>
          <w:p>
            <w:pPr>
              <w:spacing w:after="0"/>
            </w:pPr>
            <w:r>
              <w:rPr>
                <w:rFonts w:ascii="Arial" w:hAnsi="Arial"/>
                <w:b/>
                <w:color w:val="1B365D"/>
                <w:sz w:val="20"/>
              </w:rPr>
              <w:t>2380614923</w:t>
            </w:r>
          </w:p>
        </w:tc>
      </w:tr>
      <w:tr>
        <w:tc>
          <w:tcPr>
            <w:tcW w:type="dxa" w:w="4680"/>
            <w:shd w:fill="F8FAFC"/>
            <w:tcMar>
              <w:top w:w="60" w:type="dxa"/>
              <w:bottom w:w="60" w:type="dxa"/>
              <w:left w:w="100" w:type="dxa"/>
              <w:right w:w="100" w:type="dxa"/>
            </w:tcMar>
          </w:tcPr>
          <w:p>
            <w:pPr>
              <w:spacing w:after="0"/>
            </w:pPr>
            <w:r>
              <w:rPr>
                <w:rFonts w:ascii="Arial" w:hAnsi="Arial"/>
                <w:b/>
                <w:color w:val="283246"/>
                <w:sz w:val="20"/>
              </w:rPr>
              <w:t>Lớp học phần:</w:t>
            </w:r>
          </w:p>
        </w:tc>
        <w:tc>
          <w:tcPr>
            <w:tcW w:type="dxa" w:w="4680"/>
            <w:shd w:fill="FFFFFF"/>
            <w:tcMar>
              <w:top w:w="60" w:type="dxa"/>
              <w:bottom w:w="60" w:type="dxa"/>
              <w:left w:w="100" w:type="dxa"/>
              <w:right w:w="100" w:type="dxa"/>
            </w:tcMar>
          </w:tcPr>
          <w:p>
            <w:pPr>
              <w:spacing w:after="0"/>
            </w:pPr>
            <w:r>
              <w:rPr>
                <w:rFonts w:ascii="Arial" w:hAnsi="Arial"/>
                <w:color w:val="3C4650"/>
                <w:sz w:val="20"/>
              </w:rPr>
              <w:t>23DTHC3 - Quản lý dự án CNTT</w:t>
            </w:r>
          </w:p>
        </w:tc>
      </w:tr>
      <w:tr>
        <w:tc>
          <w:tcPr>
            <w:tcW w:type="dxa" w:w="4680"/>
            <w:shd w:fill="F8FAFC"/>
            <w:tcMar>
              <w:top w:w="60" w:type="dxa"/>
              <w:bottom w:w="60" w:type="dxa"/>
              <w:left w:w="100" w:type="dxa"/>
              <w:right w:w="100" w:type="dxa"/>
            </w:tcMar>
          </w:tcPr>
          <w:p>
            <w:pPr>
              <w:spacing w:after="0"/>
            </w:pPr>
            <w:r>
              <w:rPr>
                <w:rFonts w:ascii="Arial" w:hAnsi="Arial"/>
                <w:b/>
                <w:color w:val="283246"/>
                <w:sz w:val="20"/>
              </w:rPr>
              <w:t>Đơn vị / Dự án tham gia:</w:t>
            </w:r>
          </w:p>
        </w:tc>
        <w:tc>
          <w:tcPr>
            <w:tcW w:type="dxa" w:w="4680"/>
            <w:shd w:fill="FFFFFF"/>
            <w:tcMar>
              <w:top w:w="60" w:type="dxa"/>
              <w:bottom w:w="60" w:type="dxa"/>
              <w:left w:w="100" w:type="dxa"/>
              <w:right w:w="100" w:type="dxa"/>
            </w:tcMar>
          </w:tcPr>
          <w:p>
            <w:pPr>
              <w:spacing w:after="0"/>
            </w:pPr>
            <w:r>
              <w:rPr>
                <w:rFonts w:ascii="Arial" w:hAnsi="Arial"/>
                <w:color w:val="3C4650"/>
                <w:sz w:val="20"/>
              </w:rPr>
              <w:t>Nhóm 10 - Dự án GOODY Recruit (Phần mềm Quản lý Hóa đơn &amp; Công nợ)</w:t>
            </w:r>
          </w:p>
        </w:tc>
      </w:tr>
      <w:tr>
        <w:tc>
          <w:tcPr>
            <w:tcW w:type="dxa" w:w="4680"/>
            <w:shd w:fill="F8FAFC"/>
            <w:tcMar>
              <w:top w:w="60" w:type="dxa"/>
              <w:bottom w:w="60" w:type="dxa"/>
              <w:left w:w="100" w:type="dxa"/>
              <w:right w:w="100" w:type="dxa"/>
            </w:tcMar>
          </w:tcPr>
          <w:p>
            <w:pPr>
              <w:spacing w:after="0"/>
            </w:pPr>
            <w:r>
              <w:rPr>
                <w:rFonts w:ascii="Arial" w:hAnsi="Arial"/>
                <w:b/>
                <w:color w:val="283246"/>
                <w:sz w:val="20"/>
              </w:rPr>
              <w:t>Giảng viên hướng dẫn:</w:t>
            </w:r>
          </w:p>
        </w:tc>
        <w:tc>
          <w:tcPr>
            <w:tcW w:type="dxa" w:w="4680"/>
            <w:shd w:fill="FFFFFF"/>
            <w:tcMar>
              <w:top w:w="60" w:type="dxa"/>
              <w:bottom w:w="60" w:type="dxa"/>
              <w:left w:w="100" w:type="dxa"/>
              <w:right w:w="100" w:type="dxa"/>
            </w:tcMar>
          </w:tcPr>
          <w:p>
            <w:pPr>
              <w:spacing w:after="0"/>
            </w:pPr>
            <w:r>
              <w:rPr>
                <w:rFonts w:ascii="Arial" w:hAnsi="Arial"/>
                <w:color w:val="3C4650"/>
                <w:sz w:val="20"/>
              </w:rPr>
              <w:t>ThS. Nguyễn Hữu Trung</w:t>
            </w:r>
          </w:p>
        </w:tc>
      </w:tr>
    </w:tbl>
    <w:p>
      <w:pPr>
        <w:spacing w:after="160"/>
      </w:pPr>
    </w:p>
    <w:p>
      <w:pPr>
        <w:keepNext/>
        <w:spacing w:before="280" w:after="120"/>
      </w:pPr>
      <w:r>
        <w:rPr>
          <w:rFonts w:ascii="Arial" w:hAnsi="Arial"/>
          <w:b/>
          <w:color w:val="FFFFFF"/>
          <w:sz w:val="22"/>
          <w:shd w:fill="1B365D"/>
        </w:rPr>
        <w:t xml:space="preserve"> CÂU 1 </w:t>
      </w:r>
      <w:r>
        <w:rPr>
          <w:rFonts w:ascii="Arial" w:hAnsi="Arial"/>
          <w:b/>
          <w:color w:val="1B365D"/>
          <w:sz w:val="24"/>
        </w:rPr>
        <w:t xml:space="preserve">  CÁC BƯỚC CHÍNH TRONG QUÁ TRÌNH QUẢN LÝ CHI PHÍ DỰ ÁN &amp; TẦM QUAN TRỌNG TỪNG BƯỚC</w:t>
      </w:r>
    </w:p>
    <w:p>
      <w:pPr>
        <w:spacing w:after="80" w:line="288" w:lineRule="auto"/>
      </w:pPr>
      <w:r>
        <w:rPr>
          <w:rFonts w:ascii="Arial" w:hAnsi="Arial"/>
          <w:b w:val="0"/>
          <w:i w:val="0"/>
          <w:color w:val="1E293B"/>
          <w:sz w:val="21"/>
        </w:rPr>
        <w:t xml:space="preserve">Theo tiêu chuẩn của Viện Quản lý Dự án Hoa Kỳ (PMBOK® Guide), </w:t>
      </w:r>
      <w:r>
        <w:rPr>
          <w:rFonts w:ascii="Arial" w:hAnsi="Arial"/>
          <w:b/>
          <w:i w:val="0"/>
          <w:color w:val="1B365D"/>
          <w:sz w:val="21"/>
        </w:rPr>
        <w:t>Quản lý Chi phí Dự án (Project Cost Management)</w:t>
      </w:r>
      <w:r>
        <w:rPr>
          <w:rFonts w:ascii="Arial" w:hAnsi="Arial"/>
          <w:b w:val="0"/>
          <w:i w:val="0"/>
          <w:color w:val="1E293B"/>
          <w:sz w:val="21"/>
        </w:rPr>
        <w:t xml:space="preserve"> bao gồm toàn bộ các quy trình liên quan đến việc lập kế hoạch, ước lượng, dự toán ngân sách, cấp vốn, quản lý và kiểm soát chi phí sao cho dự án có thể hoàn thành trong phạm vi ngân sách đã được phê chuẩn. Quy trình này gồm </w:t>
      </w:r>
      <w:r>
        <w:rPr>
          <w:rFonts w:ascii="Arial" w:hAnsi="Arial"/>
          <w:b/>
          <w:i w:val="0"/>
          <w:color w:val="1E293B"/>
          <w:sz w:val="21"/>
        </w:rPr>
        <w:t>4 bước cốt lõi liên hoàn và chặt chẽ</w:t>
      </w:r>
      <w:r>
        <w:rPr>
          <w:rFonts w:ascii="Arial" w:hAnsi="Arial"/>
          <w:b w:val="0"/>
          <w:i w:val="0"/>
          <w:color w:val="1E293B"/>
          <w:sz w:val="21"/>
        </w:rPr>
        <w:t xml:space="preserve"> như sau:</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Mar>
              <w:top w:w="80" w:type="dxa"/>
              <w:bottom w:w="80" w:type="dxa"/>
              <w:left w:w="100" w:type="dxa"/>
              <w:right w:w="100" w:type="dxa"/>
            </w:tcMar>
          </w:tcPr>
          <w:p>
            <w:pPr>
              <w:jc w:val="center"/>
            </w:pPr>
            <w:r>
              <w:rPr>
                <w:rFonts w:ascii="Arial" w:hAnsi="Arial"/>
                <w:b/>
                <w:color w:val="FFFFFF"/>
                <w:sz w:val="19"/>
              </w:rPr>
              <w:t>STT / Quy trình</w:t>
            </w:r>
          </w:p>
        </w:tc>
        <w:tc>
          <w:tcPr>
            <w:tcW w:type="dxa" w:w="2340"/>
            <w:shd w:fill="1B365D"/>
            <w:tcMar>
              <w:top w:w="80" w:type="dxa"/>
              <w:bottom w:w="80" w:type="dxa"/>
              <w:left w:w="100" w:type="dxa"/>
              <w:right w:w="100" w:type="dxa"/>
            </w:tcMar>
          </w:tcPr>
          <w:p>
            <w:pPr>
              <w:jc w:val="center"/>
            </w:pPr>
            <w:r>
              <w:rPr>
                <w:rFonts w:ascii="Arial" w:hAnsi="Arial"/>
                <w:b/>
                <w:color w:val="FFFFFF"/>
                <w:sz w:val="19"/>
              </w:rPr>
              <w:t>Đầu vào cốt lõi (Inputs)</w:t>
            </w:r>
          </w:p>
        </w:tc>
        <w:tc>
          <w:tcPr>
            <w:tcW w:type="dxa" w:w="2340"/>
            <w:shd w:fill="1B365D"/>
            <w:tcMar>
              <w:top w:w="80" w:type="dxa"/>
              <w:bottom w:w="80" w:type="dxa"/>
              <w:left w:w="100" w:type="dxa"/>
              <w:right w:w="100" w:type="dxa"/>
            </w:tcMar>
          </w:tcPr>
          <w:p>
            <w:pPr>
              <w:jc w:val="center"/>
            </w:pPr>
            <w:r>
              <w:rPr>
                <w:rFonts w:ascii="Arial" w:hAnsi="Arial"/>
                <w:b/>
                <w:color w:val="FFFFFF"/>
                <w:sz w:val="19"/>
              </w:rPr>
              <w:t>Kỹ thuật áp dụng (Tools &amp; Techniques)</w:t>
            </w:r>
          </w:p>
        </w:tc>
        <w:tc>
          <w:tcPr>
            <w:tcW w:type="dxa" w:w="2340"/>
            <w:shd w:fill="1B365D"/>
            <w:tcMar>
              <w:top w:w="80" w:type="dxa"/>
              <w:bottom w:w="80" w:type="dxa"/>
              <w:left w:w="100" w:type="dxa"/>
              <w:right w:w="100" w:type="dxa"/>
            </w:tcMar>
          </w:tcPr>
          <w:p>
            <w:pPr>
              <w:jc w:val="center"/>
            </w:pPr>
            <w:r>
              <w:rPr>
                <w:rFonts w:ascii="Arial" w:hAnsi="Arial"/>
                <w:b/>
                <w:color w:val="FFFFFF"/>
                <w:sz w:val="19"/>
              </w:rPr>
              <w:t>Đầu ra cốt lõi (Outputs)</w:t>
            </w:r>
          </w:p>
        </w:tc>
      </w:tr>
      <w:tr>
        <w:tc>
          <w:tcPr>
            <w:tcW w:type="dxa" w:w="2340"/>
            <w:shd w:fill="F8FAFC"/>
            <w:tcMar>
              <w:top w:w="60" w:type="dxa"/>
              <w:bottom w:w="60" w:type="dxa"/>
              <w:left w:w="90" w:type="dxa"/>
              <w:right w:w="90" w:type="dxa"/>
            </w:tcMar>
          </w:tcPr>
          <w:p>
            <w:r>
              <w:rPr>
                <w:rFonts w:ascii="Arial" w:hAnsi="Arial"/>
                <w:b/>
                <w:color w:val="1B365D"/>
                <w:sz w:val="18"/>
              </w:rPr>
              <w:t>1. Lập Kế hoạch Quản lý Chi phí</w:t>
              <w:br/>
              <w:t>(Plan Cost Management)</w:t>
            </w:r>
          </w:p>
        </w:tc>
        <w:tc>
          <w:tcPr>
            <w:tcW w:type="dxa" w:w="2340"/>
            <w:shd w:fill="F8FAFC"/>
            <w:tcMar>
              <w:top w:w="60" w:type="dxa"/>
              <w:bottom w:w="60" w:type="dxa"/>
              <w:left w:w="90" w:type="dxa"/>
              <w:right w:w="90" w:type="dxa"/>
            </w:tcMar>
          </w:tcPr>
          <w:p>
            <w:r>
              <w:rPr>
                <w:rFonts w:ascii="Arial" w:hAnsi="Arial"/>
                <w:color w:val="323C4B"/>
                <w:sz w:val="18"/>
              </w:rPr>
              <w:t>• Project Charter</w:t>
              <w:br/>
              <w:t>• Kế hoạch QLDA</w:t>
              <w:br/>
              <w:t>• Yếu tố môi trường (EEFs)</w:t>
              <w:br/>
              <w:t>• Quy trình tổ chức (OPAs)</w:t>
            </w:r>
          </w:p>
        </w:tc>
        <w:tc>
          <w:tcPr>
            <w:tcW w:type="dxa" w:w="2340"/>
            <w:shd w:fill="F8FAFC"/>
            <w:tcMar>
              <w:top w:w="60" w:type="dxa"/>
              <w:bottom w:w="60" w:type="dxa"/>
              <w:left w:w="90" w:type="dxa"/>
              <w:right w:w="90" w:type="dxa"/>
            </w:tcMar>
          </w:tcPr>
          <w:p>
            <w:r>
              <w:rPr>
                <w:rFonts w:ascii="Arial" w:hAnsi="Arial"/>
                <w:color w:val="323C4B"/>
                <w:sz w:val="18"/>
              </w:rPr>
              <w:t>• Phán đoán chuyên gia</w:t>
              <w:br/>
              <w:t>• Phân tích dữ liệu</w:t>
              <w:br/>
              <w:t>• Họp định hướng</w:t>
            </w:r>
          </w:p>
        </w:tc>
        <w:tc>
          <w:tcPr>
            <w:tcW w:type="dxa" w:w="2340"/>
            <w:shd w:fill="F8FAFC"/>
            <w:tcMar>
              <w:top w:w="60" w:type="dxa"/>
              <w:bottom w:w="60" w:type="dxa"/>
              <w:left w:w="90" w:type="dxa"/>
              <w:right w:w="90" w:type="dxa"/>
            </w:tcMar>
          </w:tcPr>
          <w:p>
            <w:r>
              <w:rPr>
                <w:rFonts w:ascii="Arial" w:hAnsi="Arial"/>
                <w:color w:val="323C4B"/>
                <w:sz w:val="18"/>
              </w:rPr>
              <w:t>• Kế hoạch Quản lý Chi phí</w:t>
              <w:br/>
              <w:t>(Cost Management Plan)</w:t>
            </w:r>
          </w:p>
        </w:tc>
      </w:tr>
      <w:tr>
        <w:tc>
          <w:tcPr>
            <w:tcW w:type="dxa" w:w="2340"/>
            <w:shd w:fill="FFFFFF"/>
            <w:tcMar>
              <w:top w:w="60" w:type="dxa"/>
              <w:bottom w:w="60" w:type="dxa"/>
              <w:left w:w="90" w:type="dxa"/>
              <w:right w:w="90" w:type="dxa"/>
            </w:tcMar>
          </w:tcPr>
          <w:p>
            <w:r>
              <w:rPr>
                <w:rFonts w:ascii="Arial" w:hAnsi="Arial"/>
                <w:b/>
                <w:color w:val="1B365D"/>
                <w:sz w:val="18"/>
              </w:rPr>
              <w:t>2. Ước lượng Chi phí</w:t>
              <w:br/>
              <w:t>(Estimate Costs)</w:t>
            </w:r>
          </w:p>
        </w:tc>
        <w:tc>
          <w:tcPr>
            <w:tcW w:type="dxa" w:w="2340"/>
            <w:shd w:fill="FFFFFF"/>
            <w:tcMar>
              <w:top w:w="60" w:type="dxa"/>
              <w:bottom w:w="60" w:type="dxa"/>
              <w:left w:w="90" w:type="dxa"/>
              <w:right w:w="90" w:type="dxa"/>
            </w:tcMar>
          </w:tcPr>
          <w:p>
            <w:r>
              <w:rPr>
                <w:rFonts w:ascii="Arial" w:hAnsi="Arial"/>
                <w:color w:val="323C4B"/>
                <w:sz w:val="18"/>
              </w:rPr>
              <w:t>• WBS &amp; WBS Dictionary</w:t>
              <w:br/>
              <w:t>• Lịch trình dự án</w:t>
              <w:br/>
              <w:t>• Yêu cầu nguồn lực</w:t>
              <w:br/>
              <w:t>• Sổ đăng ký rủi ro</w:t>
            </w:r>
          </w:p>
        </w:tc>
        <w:tc>
          <w:tcPr>
            <w:tcW w:type="dxa" w:w="2340"/>
            <w:shd w:fill="FFFFFF"/>
            <w:tcMar>
              <w:top w:w="60" w:type="dxa"/>
              <w:bottom w:w="60" w:type="dxa"/>
              <w:left w:w="90" w:type="dxa"/>
              <w:right w:w="90" w:type="dxa"/>
            </w:tcMar>
          </w:tcPr>
          <w:p>
            <w:r>
              <w:rPr>
                <w:rFonts w:ascii="Arial" w:hAnsi="Arial"/>
                <w:color w:val="323C4B"/>
                <w:sz w:val="18"/>
              </w:rPr>
              <w:t>• Ước lượng tương tự</w:t>
              <w:br/>
              <w:t>• Ước lượng tham số</w:t>
              <w:br/>
              <w:t>• Ước lượng Bottom-up</w:t>
              <w:br/>
              <w:t>• Ước lượng 3 điểm (PERT)</w:t>
            </w:r>
          </w:p>
        </w:tc>
        <w:tc>
          <w:tcPr>
            <w:tcW w:type="dxa" w:w="2340"/>
            <w:shd w:fill="FFFFFF"/>
            <w:tcMar>
              <w:top w:w="60" w:type="dxa"/>
              <w:bottom w:w="60" w:type="dxa"/>
              <w:left w:w="90" w:type="dxa"/>
              <w:right w:w="90" w:type="dxa"/>
            </w:tcMar>
          </w:tcPr>
          <w:p>
            <w:r>
              <w:rPr>
                <w:rFonts w:ascii="Arial" w:hAnsi="Arial"/>
                <w:color w:val="323C4B"/>
                <w:sz w:val="18"/>
              </w:rPr>
              <w:t>• Ước lượng chi phí hoạt động</w:t>
              <w:br/>
              <w:t>• Cơ sở ước lượng (Basis of Estimates)</w:t>
              <w:br/>
              <w:t>• Cập nhật tài liệu dự án</w:t>
            </w:r>
          </w:p>
        </w:tc>
      </w:tr>
      <w:tr>
        <w:tc>
          <w:tcPr>
            <w:tcW w:type="dxa" w:w="2340"/>
            <w:shd w:fill="F8FAFC"/>
            <w:tcMar>
              <w:top w:w="60" w:type="dxa"/>
              <w:bottom w:w="60" w:type="dxa"/>
              <w:left w:w="90" w:type="dxa"/>
              <w:right w:w="90" w:type="dxa"/>
            </w:tcMar>
          </w:tcPr>
          <w:p>
            <w:r>
              <w:rPr>
                <w:rFonts w:ascii="Arial" w:hAnsi="Arial"/>
                <w:b/>
                <w:color w:val="1B365D"/>
                <w:sz w:val="18"/>
              </w:rPr>
              <w:t>3. Xác định Ngân sách</w:t>
              <w:br/>
              <w:t>(Determine Budget)</w:t>
            </w:r>
          </w:p>
        </w:tc>
        <w:tc>
          <w:tcPr>
            <w:tcW w:type="dxa" w:w="2340"/>
            <w:shd w:fill="F8FAFC"/>
            <w:tcMar>
              <w:top w:w="60" w:type="dxa"/>
              <w:bottom w:w="60" w:type="dxa"/>
              <w:left w:w="90" w:type="dxa"/>
              <w:right w:w="90" w:type="dxa"/>
            </w:tcMar>
          </w:tcPr>
          <w:p>
            <w:r>
              <w:rPr>
                <w:rFonts w:ascii="Arial" w:hAnsi="Arial"/>
                <w:color w:val="323C4B"/>
                <w:sz w:val="18"/>
              </w:rPr>
              <w:t>• Ước lượng chi phí hoạt động</w:t>
              <w:br/>
              <w:t>• Cơ sở ước lượng</w:t>
              <w:br/>
              <w:t>• Lịch trình dự án</w:t>
              <w:br/>
              <w:t>• Hợp đồng &amp; Thỏa thuận</w:t>
            </w:r>
          </w:p>
        </w:tc>
        <w:tc>
          <w:tcPr>
            <w:tcW w:type="dxa" w:w="2340"/>
            <w:shd w:fill="F8FAFC"/>
            <w:tcMar>
              <w:top w:w="60" w:type="dxa"/>
              <w:bottom w:w="60" w:type="dxa"/>
              <w:left w:w="90" w:type="dxa"/>
              <w:right w:w="90" w:type="dxa"/>
            </w:tcMar>
          </w:tcPr>
          <w:p>
            <w:r>
              <w:rPr>
                <w:rFonts w:ascii="Arial" w:hAnsi="Arial"/>
                <w:color w:val="323C4B"/>
                <w:sz w:val="18"/>
              </w:rPr>
              <w:t>• Tổng hợp chi phí (Aggregation)</w:t>
              <w:br/>
              <w:t>• Phân tích dự phòng</w:t>
              <w:br/>
              <w:t>• Đối chiếu giới hạn cấp vốn</w:t>
              <w:br/>
              <w:t>• Đánh giá lịch sử</w:t>
            </w:r>
          </w:p>
        </w:tc>
        <w:tc>
          <w:tcPr>
            <w:tcW w:type="dxa" w:w="2340"/>
            <w:shd w:fill="F8FAFC"/>
            <w:tcMar>
              <w:top w:w="60" w:type="dxa"/>
              <w:bottom w:w="60" w:type="dxa"/>
              <w:left w:w="90" w:type="dxa"/>
              <w:right w:w="90" w:type="dxa"/>
            </w:tcMar>
          </w:tcPr>
          <w:p>
            <w:r>
              <w:rPr>
                <w:rFonts w:ascii="Arial" w:hAnsi="Arial"/>
                <w:color w:val="323C4B"/>
                <w:sz w:val="18"/>
              </w:rPr>
              <w:t>• Đường cơ sở chi phí</w:t>
              <w:br/>
              <w:t>(Cost Baseline)</w:t>
              <w:br/>
              <w:t>• Yêu cầu tài trợ dự án</w:t>
              <w:br/>
              <w:t>• Cập nhật tài liệu</w:t>
            </w:r>
          </w:p>
        </w:tc>
      </w:tr>
      <w:tr>
        <w:tc>
          <w:tcPr>
            <w:tcW w:type="dxa" w:w="2340"/>
            <w:shd w:fill="FFFFFF"/>
            <w:tcMar>
              <w:top w:w="60" w:type="dxa"/>
              <w:bottom w:w="60" w:type="dxa"/>
              <w:left w:w="90" w:type="dxa"/>
              <w:right w:w="90" w:type="dxa"/>
            </w:tcMar>
          </w:tcPr>
          <w:p>
            <w:r>
              <w:rPr>
                <w:rFonts w:ascii="Arial" w:hAnsi="Arial"/>
                <w:b/>
                <w:color w:val="1B365D"/>
                <w:sz w:val="18"/>
              </w:rPr>
              <w:t>4. Kiểm soát Chi phí</w:t>
              <w:br/>
              <w:t>(Control Costs)</w:t>
            </w:r>
          </w:p>
        </w:tc>
        <w:tc>
          <w:tcPr>
            <w:tcW w:type="dxa" w:w="2340"/>
            <w:shd w:fill="FFFFFF"/>
            <w:tcMar>
              <w:top w:w="60" w:type="dxa"/>
              <w:bottom w:w="60" w:type="dxa"/>
              <w:left w:w="90" w:type="dxa"/>
              <w:right w:w="90" w:type="dxa"/>
            </w:tcMar>
          </w:tcPr>
          <w:p>
            <w:r>
              <w:rPr>
                <w:rFonts w:ascii="Arial" w:hAnsi="Arial"/>
                <w:color w:val="323C4B"/>
                <w:sz w:val="18"/>
              </w:rPr>
              <w:t>• Cost Baseline</w:t>
              <w:br/>
              <w:t>• Yêu cầu tài trợ</w:t>
              <w:br/>
              <w:t>• Dữ liệu hiệu suất công việc</w:t>
              <w:br/>
              <w:t>• OPAs</w:t>
            </w:r>
          </w:p>
        </w:tc>
        <w:tc>
          <w:tcPr>
            <w:tcW w:type="dxa" w:w="2340"/>
            <w:shd w:fill="FFFFFF"/>
            <w:tcMar>
              <w:top w:w="60" w:type="dxa"/>
              <w:bottom w:w="60" w:type="dxa"/>
              <w:left w:w="90" w:type="dxa"/>
              <w:right w:w="90" w:type="dxa"/>
            </w:tcMar>
          </w:tcPr>
          <w:p>
            <w:r>
              <w:rPr>
                <w:rFonts w:ascii="Arial" w:hAnsi="Arial"/>
                <w:color w:val="323C4B"/>
                <w:sz w:val="18"/>
              </w:rPr>
              <w:t>• Quản lý giá trị thu được (EVM)</w:t>
              <w:br/>
              <w:t>• Dự báo (EAC, ETC, VAC)</w:t>
              <w:br/>
              <w:t>• Chỉ số TCPI</w:t>
              <w:br/>
              <w:t>• Phân tích phương sai</w:t>
            </w:r>
          </w:p>
        </w:tc>
        <w:tc>
          <w:tcPr>
            <w:tcW w:type="dxa" w:w="2340"/>
            <w:shd w:fill="FFFFFF"/>
            <w:tcMar>
              <w:top w:w="60" w:type="dxa"/>
              <w:bottom w:w="60" w:type="dxa"/>
              <w:left w:w="90" w:type="dxa"/>
              <w:right w:w="90" w:type="dxa"/>
            </w:tcMar>
          </w:tcPr>
          <w:p>
            <w:r>
              <w:rPr>
                <w:rFonts w:ascii="Arial" w:hAnsi="Arial"/>
                <w:color w:val="323C4B"/>
                <w:sz w:val="18"/>
              </w:rPr>
              <w:t>• Thông tin hiệu suất công việc</w:t>
              <w:br/>
              <w:t>• Dự báo chi phí cập nhật</w:t>
              <w:br/>
              <w:t>• Yêu cầu thay đổi (CR)</w:t>
              <w:br/>
              <w:t>• Cập nhật Kế hoạch</w:t>
            </w:r>
          </w:p>
        </w:tc>
      </w:tr>
    </w:tbl>
    <w:p>
      <w:pPr>
        <w:spacing w:after="120"/>
      </w:pPr>
    </w:p>
    <w:p>
      <w:pPr>
        <w:keepNext/>
        <w:spacing w:before="200" w:after="60"/>
      </w:pPr>
      <w:r>
        <w:rPr>
          <w:rFonts w:ascii="Arial" w:hAnsi="Arial"/>
          <w:b/>
          <w:color w:val="0F766E"/>
          <w:sz w:val="22"/>
        </w:rPr>
        <w:t>1.1. Giải thích chi tiết và tầm quan trọng của từng bước</w:t>
      </w:r>
    </w:p>
    <w:p>
      <w:pPr>
        <w:spacing w:after="80" w:line="288" w:lineRule="auto"/>
      </w:pPr>
      <w:r>
        <w:rPr>
          <w:rFonts w:ascii="Arial" w:hAnsi="Arial"/>
          <w:b/>
          <w:i w:val="0"/>
          <w:color w:val="1B365D"/>
          <w:sz w:val="21"/>
        </w:rPr>
        <w:t>Bước 1: Lập kế hoạch quản lý chi phí (Plan Cost Management)</w:t>
        <w:br/>
      </w:r>
      <w:r>
        <w:rPr>
          <w:rFonts w:ascii="Arial" w:hAnsi="Arial"/>
          <w:b/>
          <w:i w:val="0"/>
          <w:color w:val="1B365D"/>
          <w:sz w:val="21"/>
        </w:rPr>
        <w:t xml:space="preserve">• </w:t>
      </w:r>
      <w:r>
        <w:rPr>
          <w:rFonts w:ascii="Arial" w:hAnsi="Arial"/>
          <w:b/>
          <w:i w:val="0"/>
          <w:color w:val="1E293B"/>
          <w:sz w:val="21"/>
        </w:rPr>
        <w:t xml:space="preserve">Mô tả: </w:t>
      </w:r>
      <w:r>
        <w:rPr>
          <w:rFonts w:ascii="Arial" w:hAnsi="Arial"/>
          <w:b w:val="0"/>
          <w:i w:val="0"/>
          <w:color w:val="1E293B"/>
          <w:sz w:val="21"/>
        </w:rPr>
        <w:t xml:space="preserve">Đây là bước thiết lập khung chính sách, quy tắc và quy trình chuẩn mực để xác định chi phí dự án sẽ được ước lượng, lập ngân sách, quản lý và kiểm soát như thế nào. Tài liệu đầu ra quan trọng nhất là </w:t>
      </w:r>
      <w:r>
        <w:rPr>
          <w:rFonts w:ascii="Arial" w:hAnsi="Arial"/>
          <w:b/>
          <w:i/>
          <w:color w:val="1E293B"/>
          <w:sz w:val="21"/>
        </w:rPr>
        <w:t>Cost Management Plan</w:t>
      </w:r>
      <w:r>
        <w:rPr>
          <w:rFonts w:ascii="Arial" w:hAnsi="Arial"/>
          <w:b w:val="0"/>
          <w:i w:val="0"/>
          <w:color w:val="1E293B"/>
          <w:sz w:val="21"/>
        </w:rPr>
        <w:t>, trong đó quy định mức độ chính xác của ước lượng (ví dụ ±10%), đơn vị tiền tệ (VNĐ/USD), ngưỡng cảnh báo phương sai (Variance Thresholds), quy tắc đo lường giá trị thu được (EVM) và định dạng các báo cáo định kỳ.</w:t>
        <w:br/>
      </w:r>
      <w:r>
        <w:rPr>
          <w:rFonts w:ascii="Arial" w:hAnsi="Arial"/>
          <w:b/>
          <w:i w:val="0"/>
          <w:color w:val="1B365D"/>
          <w:sz w:val="21"/>
        </w:rPr>
        <w:t xml:space="preserve">• </w:t>
      </w:r>
      <w:r>
        <w:rPr>
          <w:rFonts w:ascii="Arial" w:hAnsi="Arial"/>
          <w:b/>
          <w:i w:val="0"/>
          <w:color w:val="1E293B"/>
          <w:sz w:val="21"/>
        </w:rPr>
        <w:t xml:space="preserve">Tầm quan trọng: </w:t>
      </w:r>
      <w:r>
        <w:rPr>
          <w:rFonts w:ascii="Arial" w:hAnsi="Arial"/>
          <w:b w:val="0"/>
          <w:i w:val="0"/>
          <w:color w:val="1E293B"/>
          <w:sz w:val="21"/>
        </w:rPr>
        <w:t>Đóng vai trò là 'kim chỉ nam' tài chính. Nếu không có kế hoạch rõ ràng, mỗi thành viên sẽ ước lượng theo một cách khác nhau, không có tiêu chuẩn chung để đánh giá vượt chi, dẫn đến tranh cãi nội bộ và mất kiểm soát dòng tiền ngay từ đầu.</w:t>
      </w:r>
    </w:p>
    <w:p>
      <w:pPr>
        <w:spacing w:after="80" w:line="288" w:lineRule="auto"/>
      </w:pPr>
      <w:r>
        <w:rPr>
          <w:rFonts w:ascii="Arial" w:hAnsi="Arial"/>
          <w:b/>
          <w:i w:val="0"/>
          <w:color w:val="1B365D"/>
          <w:sz w:val="21"/>
        </w:rPr>
        <w:t>Bước 2: Ước lượng chi phí (Estimate Costs)</w:t>
        <w:br/>
      </w:r>
      <w:r>
        <w:rPr>
          <w:rFonts w:ascii="Arial" w:hAnsi="Arial"/>
          <w:b/>
          <w:i w:val="0"/>
          <w:color w:val="1B365D"/>
          <w:sz w:val="21"/>
        </w:rPr>
        <w:t xml:space="preserve">• </w:t>
      </w:r>
      <w:r>
        <w:rPr>
          <w:rFonts w:ascii="Arial" w:hAnsi="Arial"/>
          <w:b/>
          <w:i w:val="0"/>
          <w:color w:val="1E293B"/>
          <w:sz w:val="21"/>
        </w:rPr>
        <w:t xml:space="preserve">Mô tả: </w:t>
      </w:r>
      <w:r>
        <w:rPr>
          <w:rFonts w:ascii="Arial" w:hAnsi="Arial"/>
          <w:b w:val="0"/>
          <w:i w:val="0"/>
          <w:color w:val="1E293B"/>
          <w:sz w:val="21"/>
        </w:rPr>
        <w:t>Là quá trình lượng hóa thành tiền tất cả các nguồn lực cần thiết để hoàn thành từng công việc trong WBS (nhân sự, công nghệ, thiết bị, phần mềm, chi phí khảo sát, dự phòng rủi ro). Người quản lý dự án thường kết hợp nhiều kỹ thuật: từ Ước lượng tương tự (Analogous) ở giai đoạn đầu đến Ước lượng từ dưới lên (Bottom-up) và Ước lượng 3 điểm (PERT) khi có WBS chi tiết.</w:t>
        <w:br/>
      </w:r>
      <w:r>
        <w:rPr>
          <w:rFonts w:ascii="Arial" w:hAnsi="Arial"/>
          <w:b/>
          <w:i w:val="0"/>
          <w:color w:val="1B365D"/>
          <w:sz w:val="21"/>
        </w:rPr>
        <w:t xml:space="preserve">• </w:t>
      </w:r>
      <w:r>
        <w:rPr>
          <w:rFonts w:ascii="Arial" w:hAnsi="Arial"/>
          <w:b/>
          <w:i w:val="0"/>
          <w:color w:val="1E293B"/>
          <w:sz w:val="21"/>
        </w:rPr>
        <w:t xml:space="preserve">Tầm quan trọng: </w:t>
      </w:r>
      <w:r>
        <w:rPr>
          <w:rFonts w:ascii="Arial" w:hAnsi="Arial"/>
          <w:b w:val="0"/>
          <w:i w:val="0"/>
          <w:color w:val="1E293B"/>
          <w:sz w:val="21"/>
        </w:rPr>
        <w:t>Là nền móng định lượng cho mọi quyết định tài chính. Ước lượng chính xác giúp chủ đầu tư biết cần bao nhiêu vốn để dự án khả thi. Ước lượng quá cao sẽ làm lãng phí nguồn lực hoặc mất cơ hội đầu tư; ngược lại ước lượng quá thấp sẽ dẫn đến dự án 'chết yểu' giữa chừng do cạn kiệt ngân sách.</w:t>
      </w:r>
    </w:p>
    <w:p>
      <w:pPr>
        <w:spacing w:after="80" w:line="288" w:lineRule="auto"/>
      </w:pPr>
      <w:r>
        <w:rPr>
          <w:rFonts w:ascii="Arial" w:hAnsi="Arial"/>
          <w:b/>
          <w:i w:val="0"/>
          <w:color w:val="1B365D"/>
          <w:sz w:val="21"/>
        </w:rPr>
        <w:t>Bước 3: Xác định ngân sách (Determine Budget)</w:t>
        <w:br/>
      </w:r>
      <w:r>
        <w:rPr>
          <w:rFonts w:ascii="Arial" w:hAnsi="Arial"/>
          <w:b/>
          <w:i w:val="0"/>
          <w:color w:val="1B365D"/>
          <w:sz w:val="21"/>
        </w:rPr>
        <w:t xml:space="preserve">• </w:t>
      </w:r>
      <w:r>
        <w:rPr>
          <w:rFonts w:ascii="Arial" w:hAnsi="Arial"/>
          <w:b/>
          <w:i w:val="0"/>
          <w:color w:val="1E293B"/>
          <w:sz w:val="21"/>
        </w:rPr>
        <w:t xml:space="preserve">Mô tả: </w:t>
      </w:r>
      <w:r>
        <w:rPr>
          <w:rFonts w:ascii="Arial" w:hAnsi="Arial"/>
          <w:b w:val="0"/>
          <w:i w:val="0"/>
          <w:color w:val="1E293B"/>
          <w:sz w:val="21"/>
        </w:rPr>
        <w:t xml:space="preserve">Là quá trình cộng dồn chi phí của từng công việc/gói công việc nhỏ thành tổng ngân sách hoàn chỉnh, gắn liền với mốc thời gian cụ thể (Time-phased Budget) để hình thành nên </w:t>
      </w:r>
      <w:r>
        <w:rPr>
          <w:rFonts w:ascii="Arial" w:hAnsi="Arial"/>
          <w:b/>
          <w:i w:val="0"/>
          <w:color w:val="B45309"/>
          <w:sz w:val="21"/>
        </w:rPr>
        <w:t>Đường cơ sở chi phí (Cost Baseline)</w:t>
      </w:r>
      <w:r>
        <w:rPr>
          <w:rFonts w:ascii="Arial" w:hAnsi="Arial"/>
          <w:b w:val="0"/>
          <w:i w:val="0"/>
          <w:color w:val="1E293B"/>
          <w:sz w:val="21"/>
        </w:rPr>
        <w:t>. Cost Baseline bao gồm chi phí thực hiện công việc cộng với Quỹ dự phòng bất trắc (Contingency Reserve). Khi cộng thêm Quỹ dự phòng quản lý (Management Reserve) sẽ ra Tổng ngân sách dự án (Project Budget).</w:t>
        <w:br/>
      </w:r>
      <w:r>
        <w:rPr>
          <w:rFonts w:ascii="Arial" w:hAnsi="Arial"/>
          <w:b/>
          <w:i w:val="0"/>
          <w:color w:val="1B365D"/>
          <w:sz w:val="21"/>
        </w:rPr>
        <w:t xml:space="preserve">• </w:t>
      </w:r>
      <w:r>
        <w:rPr>
          <w:rFonts w:ascii="Arial" w:hAnsi="Arial"/>
          <w:b/>
          <w:i w:val="0"/>
          <w:color w:val="1E293B"/>
          <w:sz w:val="21"/>
        </w:rPr>
        <w:t xml:space="preserve">Tầm quan trọng: </w:t>
      </w:r>
      <w:r>
        <w:rPr>
          <w:rFonts w:ascii="Arial" w:hAnsi="Arial"/>
          <w:b w:val="0"/>
          <w:i w:val="0"/>
          <w:color w:val="1E293B"/>
          <w:sz w:val="21"/>
        </w:rPr>
        <w:t>Thiết lập cam kết tài chính chính thức giữa Ban quản lý dự án và Khách hàng/Ban Giám đốc. Đường cơ sở chi phí đóng vai trò là 'thước đo chuẩn' duy nhất để giám sát chi tiêu, đồng thời giúp lập kế hoạch giải ngân tiền mặt (Cash Flow) theo từng tuần/tháng, tránh bị động dòng tiền.</w:t>
      </w:r>
    </w:p>
    <w:p>
      <w:pPr>
        <w:spacing w:after="80" w:line="288" w:lineRule="auto"/>
      </w:pPr>
      <w:r>
        <w:rPr>
          <w:rFonts w:ascii="Arial" w:hAnsi="Arial"/>
          <w:b/>
          <w:i w:val="0"/>
          <w:color w:val="1B365D"/>
          <w:sz w:val="21"/>
        </w:rPr>
        <w:t>Bước 4: Kiểm soát chi phí (Control Costs)</w:t>
        <w:br/>
      </w:r>
      <w:r>
        <w:rPr>
          <w:rFonts w:ascii="Arial" w:hAnsi="Arial"/>
          <w:b/>
          <w:i w:val="0"/>
          <w:color w:val="1B365D"/>
          <w:sz w:val="21"/>
        </w:rPr>
        <w:t xml:space="preserve">• </w:t>
      </w:r>
      <w:r>
        <w:rPr>
          <w:rFonts w:ascii="Arial" w:hAnsi="Arial"/>
          <w:b/>
          <w:i w:val="0"/>
          <w:color w:val="1E293B"/>
          <w:sz w:val="21"/>
        </w:rPr>
        <w:t xml:space="preserve">Mô tả: </w:t>
      </w:r>
      <w:r>
        <w:rPr>
          <w:rFonts w:ascii="Arial" w:hAnsi="Arial"/>
          <w:b w:val="0"/>
          <w:i w:val="0"/>
          <w:color w:val="1E293B"/>
          <w:sz w:val="21"/>
        </w:rPr>
        <w:t xml:space="preserve">Là quá trình theo dõi, giám sát chi phí thực tế phát sinh trong quá trình thi công so với Cost Baseline, phát hiện sớm các chênh lệch và thực hiện các biện pháp điều chỉnh. Phương pháp cốt lõi là Quản lý giá trị thu được (EVM) thông qua các chỉ số: </w:t>
      </w:r>
      <w:r>
        <w:rPr>
          <w:rFonts w:ascii="Arial" w:hAnsi="Arial"/>
          <w:b/>
          <w:i/>
          <w:color w:val="1B365D"/>
          <w:sz w:val="21"/>
        </w:rPr>
        <w:t>CV = EV - AC; CPI = EV / AC</w:t>
      </w:r>
      <w:r>
        <w:rPr>
          <w:rFonts w:ascii="Arial" w:hAnsi="Arial"/>
          <w:b w:val="0"/>
          <w:i w:val="0"/>
          <w:color w:val="1E293B"/>
          <w:sz w:val="21"/>
        </w:rPr>
        <w:t>, từ đó dự báo tổng chi phí khi hoàn thành (EAC - Estimate at Completion).</w:t>
        <w:br/>
      </w:r>
      <w:r>
        <w:rPr>
          <w:rFonts w:ascii="Arial" w:hAnsi="Arial"/>
          <w:b/>
          <w:i w:val="0"/>
          <w:color w:val="1B365D"/>
          <w:sz w:val="21"/>
        </w:rPr>
        <w:t xml:space="preserve">• </w:t>
      </w:r>
      <w:r>
        <w:rPr>
          <w:rFonts w:ascii="Arial" w:hAnsi="Arial"/>
          <w:b/>
          <w:i w:val="0"/>
          <w:color w:val="1E293B"/>
          <w:sz w:val="21"/>
        </w:rPr>
        <w:t xml:space="preserve">Tầm quan trọng: </w:t>
      </w:r>
      <w:r>
        <w:rPr>
          <w:rFonts w:ascii="Arial" w:hAnsi="Arial"/>
          <w:b w:val="0"/>
          <w:i w:val="0"/>
          <w:color w:val="1E293B"/>
          <w:sz w:val="21"/>
        </w:rPr>
        <w:t>Đảm bảo dự án không bị 'vỡ ngân sách'. Kế hoạch dù hoàn hảo đến đâu cũng sẽ phát sinh rủi ro khi triển khai thực tế. Kiểm soát chi phí giúp nhà quản lý chủ động can thiệp sớm (cắt giảm tính năng thứ yếu, tối ưu quy trình) trước khi mức bội chi trở nên quá nghiêm trọng không thể cứu vãn.</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36" w:space="0" w:color="1B365D"/>
              <w:bottom w:val="none"/>
              <w:right w:val="none"/>
            </w:tcBorders>
          </w:tcPr>
          <w:p>
            <w:pPr>
              <w:spacing w:before="40" w:after="40" w:line="276" w:lineRule="auto"/>
            </w:pPr>
            <w:r>
              <w:rPr>
                <w:rFonts w:ascii="Arial" w:hAnsi="Arial"/>
                <w:b/>
                <w:color w:val="1B365D"/>
                <w:sz w:val="21"/>
              </w:rPr>
              <w:t>Ví dụ thực tiễn từ Đồ án GOODY Recruit:</w:t>
              <w:br/>
            </w:r>
            <w:r>
              <w:rPr>
                <w:rFonts w:ascii="Arial" w:hAnsi="Arial"/>
                <w:i/>
                <w:color w:val="283246"/>
                <w:sz w:val="20"/>
              </w:rPr>
              <w:t>Liên hệ thực tế dự án GOODY (Nhóm 10): Dự án có tổng kinh phí cơ sở 45.000.000 VNĐ. Nhóm đã áp dụng đúng 4 bước: (1) Lập kế hoạch quản lý chi phí trong Project Charter; (2) Ước lượng chi phí cho 41 task của QA/DB, 48 task của BE, 47 task FE; (3) Phân bổ ngân sách vào 4 Sprint hình thành Cost Baseline 40.500.000 VNĐ + 4.500.000 VNĐ quỹ dự phòng rủi ro 10%; (4) Kiểm soát chi phí chặt chẽ sau mỗi Sprint Review.</w:t>
            </w:r>
          </w:p>
        </w:tc>
      </w:tr>
    </w:tbl>
    <w:p>
      <w:pPr>
        <w:spacing w:before="0" w:after="80"/>
      </w:pPr>
    </w:p>
    <w:p>
      <w:pPr>
        <w:keepNext/>
        <w:spacing w:before="280" w:after="120"/>
      </w:pPr>
      <w:r>
        <w:rPr>
          <w:rFonts w:ascii="Arial" w:hAnsi="Arial"/>
          <w:b/>
          <w:color w:val="FFFFFF"/>
          <w:sz w:val="22"/>
          <w:shd w:fill="1B365D"/>
        </w:rPr>
        <w:t xml:space="preserve"> CÂU 2 </w:t>
      </w:r>
      <w:r>
        <w:rPr>
          <w:rFonts w:ascii="Arial" w:hAnsi="Arial"/>
          <w:b/>
          <w:color w:val="1B365D"/>
          <w:sz w:val="24"/>
        </w:rPr>
        <w:t xml:space="preserve">  PHÂN TÍCH THÁCH THỨC TRONG ƯỚC LƯỢNG CHI PHÍ &amp; GIẢI PHÁP NÂNG CAO ĐỘ CHÍNH XÁC</w:t>
      </w:r>
    </w:p>
    <w:p>
      <w:pPr>
        <w:spacing w:after="80" w:line="288" w:lineRule="auto"/>
      </w:pPr>
      <w:r>
        <w:rPr>
          <w:rFonts w:ascii="Arial" w:hAnsi="Arial"/>
          <w:b w:val="0"/>
          <w:i w:val="0"/>
          <w:color w:val="1E293B"/>
          <w:sz w:val="21"/>
        </w:rPr>
        <w:t xml:space="preserve">Ước lượng chi phí trong các dự án Công nghệ Thông tin (CNTT/Phần mềm) luôn được xếp vào nhóm công việc phức tạp nhất bởi tính chất </w:t>
      </w:r>
      <w:r>
        <w:rPr>
          <w:rFonts w:ascii="Arial" w:hAnsi="Arial"/>
          <w:b/>
          <w:i w:val="0"/>
          <w:color w:val="B45309"/>
          <w:sz w:val="21"/>
        </w:rPr>
        <w:t>phi vật thể, độ biến động công nghệ cao và sự mơ hồ về yêu cầu ban đầu</w:t>
      </w:r>
      <w:r>
        <w:rPr>
          <w:rFonts w:ascii="Arial" w:hAnsi="Arial"/>
          <w:b w:val="0"/>
          <w:i w:val="0"/>
          <w:color w:val="1E293B"/>
          <w:sz w:val="21"/>
        </w:rPr>
        <w:t>. Dưới đây là phân tích 5 thách thức cốt lõi và hệ thống giải pháp khắc phục toàn diện:</w:t>
      </w:r>
    </w:p>
    <w:p>
      <w:pPr>
        <w:keepNext/>
        <w:spacing w:before="200" w:after="60"/>
      </w:pPr>
      <w:r>
        <w:rPr>
          <w:rFonts w:ascii="Arial" w:hAnsi="Arial"/>
          <w:b/>
          <w:color w:val="0F766E"/>
          <w:sz w:val="22"/>
        </w:rPr>
        <w:t>2.1. Phân tích 5 thách thức thường gặp nhất</w:t>
      </w:r>
    </w:p>
    <w:p>
      <w:pPr>
        <w:spacing w:after="80" w:line="288" w:lineRule="auto"/>
      </w:pPr>
      <w:r>
        <w:rPr>
          <w:rFonts w:ascii="Arial" w:hAnsi="Arial"/>
          <w:b/>
          <w:i w:val="0"/>
          <w:color w:val="1B365D"/>
          <w:sz w:val="21"/>
        </w:rPr>
        <w:t>• 1. Yêu cầu nghiệp vụ không rõ ràng và hiện tượng phình to phạm vi (Scope Creep):</w:t>
        <w:br/>
      </w:r>
      <w:r>
        <w:rPr>
          <w:rFonts w:ascii="Arial" w:hAnsi="Arial"/>
          <w:b w:val="0"/>
          <w:i w:val="0"/>
          <w:color w:val="1E293B"/>
          <w:sz w:val="21"/>
        </w:rPr>
        <w:t>Trong giai đoạn khởi tạo, người dùng hoặc khách hàng thường chỉ mô tả mong muốn một cách chung chung (ví dụ: 'hệ thống quản lý công nợ thông minh'). Trong quá trình phát triển, các yêu cầu mới liên tục được thêm vào mà không đi kèm với việc điều chỉnh ngân sách. Điều này khiến ước lượng chi phí ban đầu nhanh chóng bị phá vỡ hoàn toàn.</w:t>
      </w:r>
    </w:p>
    <w:p>
      <w:pPr>
        <w:spacing w:after="80" w:line="288" w:lineRule="auto"/>
      </w:pPr>
      <w:r>
        <w:rPr>
          <w:rFonts w:ascii="Arial" w:hAnsi="Arial"/>
          <w:b/>
          <w:i w:val="0"/>
          <w:color w:val="1B365D"/>
          <w:sz w:val="21"/>
        </w:rPr>
        <w:t>• 2. Thiếu dữ liệu lịch sử và kinh nghiệm tham chiếu (Historical Data Deficiency):</w:t>
        <w:br/>
      </w:r>
      <w:r>
        <w:rPr>
          <w:rFonts w:ascii="Arial" w:hAnsi="Arial"/>
          <w:b w:val="0"/>
          <w:i w:val="0"/>
          <w:color w:val="1E293B"/>
          <w:sz w:val="21"/>
        </w:rPr>
        <w:t>Nhiều dự án sử dụng công nghệ mới (như chuyển từ monolithic sang microservices, áp dụng cloud/AI), hoặc đội ngũ phát triển mới thành lập chưa có số liệu quá khứ về năng suất làm việc (velocity), tỷ lệ lỗi phát sinh và chi phí thực tế của các module tương tự để làm thước đo tham chiếu.</w:t>
      </w:r>
    </w:p>
    <w:p>
      <w:pPr>
        <w:spacing w:after="80" w:line="288" w:lineRule="auto"/>
      </w:pPr>
      <w:r>
        <w:rPr>
          <w:rFonts w:ascii="Arial" w:hAnsi="Arial"/>
          <w:b/>
          <w:i w:val="0"/>
          <w:color w:val="1B365D"/>
          <w:sz w:val="21"/>
        </w:rPr>
        <w:t>• 3. Bẫy tâm lý lạc quan (Optimism Bias) và áp lực cạnh tranh / chào thầu:</w:t>
        <w:br/>
      </w:r>
      <w:r>
        <w:rPr>
          <w:rFonts w:ascii="Arial" w:hAnsi="Arial"/>
          <w:b w:val="0"/>
          <w:i w:val="0"/>
          <w:color w:val="1E293B"/>
          <w:sz w:val="21"/>
        </w:rPr>
        <w:t>Người ước lượng thường có xu hướng giả định 'mọi thứ sẽ diễn ra hoàn hảo' – không có nhân sự nghỉ ốm, server không sập, API đối tác không đổi. Ngoài ra, áp lực từ cấp quản lý muốn có con số đẹp để dễ phê duyệt hoặc áp lực giảm giá đấu thầu để trúng hợp đồng thường dẫn đến việc cố tình 'bóp méo' con số ước lượng thấp hơn thực tế.</w:t>
      </w:r>
    </w:p>
    <w:p>
      <w:pPr>
        <w:spacing w:after="80" w:line="288" w:lineRule="auto"/>
      </w:pPr>
      <w:r>
        <w:rPr>
          <w:rFonts w:ascii="Arial" w:hAnsi="Arial"/>
          <w:b/>
          <w:i w:val="0"/>
          <w:color w:val="1B365D"/>
          <w:sz w:val="21"/>
        </w:rPr>
        <w:t>• 4. Bỏ sót các chi phí ẩn và chi phí gián tiếp (Overlooked Hidden Costs):</w:t>
        <w:br/>
      </w:r>
      <w:r>
        <w:rPr>
          <w:rFonts w:ascii="Arial" w:hAnsi="Arial"/>
          <w:b w:val="0"/>
          <w:i w:val="0"/>
          <w:color w:val="1E293B"/>
          <w:sz w:val="21"/>
        </w:rPr>
        <w:t>Người lập dự toán thường chỉ tập trung tính chi phí lập trình (coding) trực tiếp mà bỏ quên các chi phí rất lớn khác như: chi phí khảo sát đặc tả nghiệp vụ BA, chi phí bản quyền công cụ/môi trường dev, chi phí hạ tầng Cloud (Supabase, AWS, Docker), chi phí kiểm thử tải/bảo mật, chi phí họp hành phối hợp và chi phí bảo hành bảo trì sau bàn giao.</w:t>
      </w:r>
    </w:p>
    <w:p>
      <w:pPr>
        <w:spacing w:after="80" w:line="288" w:lineRule="auto"/>
      </w:pPr>
      <w:r>
        <w:rPr>
          <w:rFonts w:ascii="Arial" w:hAnsi="Arial"/>
          <w:b/>
          <w:i w:val="0"/>
          <w:color w:val="1B365D"/>
          <w:sz w:val="21"/>
        </w:rPr>
        <w:t>• 5. Sự chênh lệch năng suất cá nhân và biến động nhân sự (Productivity Variance):</w:t>
        <w:br/>
      </w:r>
      <w:r>
        <w:rPr>
          <w:rFonts w:ascii="Arial" w:hAnsi="Arial"/>
          <w:b w:val="0"/>
          <w:i w:val="0"/>
          <w:color w:val="1E293B"/>
          <w:sz w:val="21"/>
        </w:rPr>
        <w:t>Trong ngành CNTT, một lập trình viên Senior có thể giải quyết bài toán nhanh gấp 3–5 lần lập trình viên Junior. Nếu lúc ước lượng tính theo năng suất của Senior nhưng khi thực thi lại giao cho Junior (hoặc nhân sự chủ chốt nghỉ việc giữa chừng), số giờ công và chi phí tiền lương thực tế sẽ tăng đột biến.</w:t>
      </w:r>
    </w:p>
    <w:p>
      <w:pPr>
        <w:keepNext/>
        <w:spacing w:before="200" w:after="60"/>
      </w:pPr>
      <w:r>
        <w:rPr>
          <w:rFonts w:ascii="Arial" w:hAnsi="Arial"/>
          <w:b/>
          <w:color w:val="0F766E"/>
          <w:sz w:val="22"/>
        </w:rPr>
        <w:t>2.2. Đề xuất các giải pháp nâng cao độ chính xác ước lượng</w:t>
      </w:r>
    </w:p>
    <w:tbl>
      <w:tblPr>
        <w:tblW w:type="auto" w:w="0"/>
        <w:jc w:val="center"/>
        <w:tblLook w:firstColumn="1" w:firstRow="1" w:lastColumn="0" w:lastRow="0" w:noHBand="0" w:noVBand="1" w:val="04A0"/>
      </w:tblPr>
      <w:tblGrid>
        <w:gridCol w:w="3120"/>
        <w:gridCol w:w="3120"/>
        <w:gridCol w:w="3120"/>
      </w:tblGrid>
      <w:tr>
        <w:tc>
          <w:tcPr>
            <w:tcW w:type="dxa" w:w="3120"/>
            <w:shd w:fill="0F766E"/>
            <w:tcMar>
              <w:top w:w="80" w:type="dxa"/>
              <w:bottom w:w="80" w:type="dxa"/>
              <w:left w:w="100" w:type="dxa"/>
              <w:right w:w="100" w:type="dxa"/>
            </w:tcMar>
          </w:tcPr>
          <w:p>
            <w:pPr>
              <w:jc w:val="center"/>
            </w:pPr>
            <w:r>
              <w:rPr>
                <w:rFonts w:ascii="Arial" w:hAnsi="Arial"/>
                <w:b/>
                <w:color w:val="FFFFFF"/>
                <w:sz w:val="19"/>
              </w:rPr>
              <w:t>Giải pháp đề xuất</w:t>
            </w:r>
          </w:p>
        </w:tc>
        <w:tc>
          <w:tcPr>
            <w:tcW w:type="dxa" w:w="3120"/>
            <w:shd w:fill="0F766E"/>
            <w:tcMar>
              <w:top w:w="80" w:type="dxa"/>
              <w:bottom w:w="80" w:type="dxa"/>
              <w:left w:w="100" w:type="dxa"/>
              <w:right w:w="100" w:type="dxa"/>
            </w:tcMar>
          </w:tcPr>
          <w:p>
            <w:pPr>
              <w:jc w:val="center"/>
            </w:pPr>
            <w:r>
              <w:rPr>
                <w:rFonts w:ascii="Arial" w:hAnsi="Arial"/>
                <w:b/>
                <w:color w:val="FFFFFF"/>
                <w:sz w:val="19"/>
              </w:rPr>
              <w:t>Kỹ thuật / Công cụ cụ thể</w:t>
            </w:r>
          </w:p>
        </w:tc>
        <w:tc>
          <w:tcPr>
            <w:tcW w:type="dxa" w:w="3120"/>
            <w:shd w:fill="0F766E"/>
            <w:tcMar>
              <w:top w:w="80" w:type="dxa"/>
              <w:bottom w:w="80" w:type="dxa"/>
              <w:left w:w="100" w:type="dxa"/>
              <w:right w:w="100" w:type="dxa"/>
            </w:tcMar>
          </w:tcPr>
          <w:p>
            <w:pPr>
              <w:jc w:val="center"/>
            </w:pPr>
            <w:r>
              <w:rPr>
                <w:rFonts w:ascii="Arial" w:hAnsi="Arial"/>
                <w:b/>
                <w:color w:val="FFFFFF"/>
                <w:sz w:val="19"/>
              </w:rPr>
              <w:t>Hiệu quả mang lại đối với độ chính xác</w:t>
            </w:r>
          </w:p>
        </w:tc>
      </w:tr>
      <w:tr>
        <w:tc>
          <w:tcPr>
            <w:tcW w:type="dxa" w:w="3120"/>
            <w:shd w:fill="F0FDFA"/>
            <w:tcMar>
              <w:top w:w="60" w:type="dxa"/>
              <w:bottom w:w="60" w:type="dxa"/>
              <w:left w:w="90" w:type="dxa"/>
              <w:right w:w="90" w:type="dxa"/>
            </w:tcMar>
          </w:tcPr>
          <w:p>
            <w:r>
              <w:rPr>
                <w:rFonts w:ascii="Arial" w:hAnsi="Arial"/>
                <w:b/>
                <w:color w:val="0F766E"/>
                <w:sz w:val="18"/>
              </w:rPr>
              <w:t>1. Phân rã WBS chi tiết &amp; Ước lượng Bottom-up</w:t>
            </w:r>
          </w:p>
        </w:tc>
        <w:tc>
          <w:tcPr>
            <w:tcW w:type="dxa" w:w="3120"/>
            <w:shd w:fill="F0FDFA"/>
            <w:tcMar>
              <w:top w:w="60" w:type="dxa"/>
              <w:bottom w:w="60" w:type="dxa"/>
              <w:left w:w="90" w:type="dxa"/>
              <w:right w:w="90" w:type="dxa"/>
            </w:tcMar>
          </w:tcPr>
          <w:p>
            <w:r>
              <w:rPr>
                <w:rFonts w:ascii="Arial" w:hAnsi="Arial"/>
                <w:color w:val="323C4B"/>
                <w:sz w:val="18"/>
              </w:rPr>
              <w:t>Tuân thủ quy tắc 100% và quy tắc 8/80. Phân chia công việc thành các Work Packages nhỏ từ 8 đến 80 giờ.</w:t>
            </w:r>
          </w:p>
        </w:tc>
        <w:tc>
          <w:tcPr>
            <w:tcW w:type="dxa" w:w="3120"/>
            <w:shd w:fill="F0FDFA"/>
            <w:tcMar>
              <w:top w:w="60" w:type="dxa"/>
              <w:bottom w:w="60" w:type="dxa"/>
              <w:left w:w="90" w:type="dxa"/>
              <w:right w:w="90" w:type="dxa"/>
            </w:tcMar>
          </w:tcPr>
          <w:p>
            <w:r>
              <w:rPr>
                <w:rFonts w:ascii="Arial" w:hAnsi="Arial"/>
                <w:color w:val="323C4B"/>
                <w:sz w:val="18"/>
              </w:rPr>
              <w:t>Loại bỏ việc đoán mò tổng thể. Ước lượng chi tiết từng dòng code, từng file test, từng màn hình UI rồi cộng dồn lên giúp sai số giảm xuống dưới 5%.</w:t>
            </w:r>
          </w:p>
        </w:tc>
      </w:tr>
      <w:tr>
        <w:tc>
          <w:tcPr>
            <w:tcW w:type="dxa" w:w="3120"/>
            <w:shd w:fill="FFFFFF"/>
            <w:tcMar>
              <w:top w:w="60" w:type="dxa"/>
              <w:bottom w:w="60" w:type="dxa"/>
              <w:left w:w="90" w:type="dxa"/>
              <w:right w:w="90" w:type="dxa"/>
            </w:tcMar>
          </w:tcPr>
          <w:p>
            <w:r>
              <w:rPr>
                <w:rFonts w:ascii="Arial" w:hAnsi="Arial"/>
                <w:b/>
                <w:color w:val="0F766E"/>
                <w:sz w:val="18"/>
              </w:rPr>
              <w:t>2. Ứng dụng Ước lượng 3 điểm (Kỹ thuật PERT)</w:t>
            </w:r>
          </w:p>
        </w:tc>
        <w:tc>
          <w:tcPr>
            <w:tcW w:type="dxa" w:w="3120"/>
            <w:shd w:fill="FFFFFF"/>
            <w:tcMar>
              <w:top w:w="60" w:type="dxa"/>
              <w:bottom w:w="60" w:type="dxa"/>
              <w:left w:w="90" w:type="dxa"/>
              <w:right w:w="90" w:type="dxa"/>
            </w:tcMar>
          </w:tcPr>
          <w:p>
            <w:r>
              <w:rPr>
                <w:rFonts w:ascii="Arial" w:hAnsi="Arial"/>
                <w:color w:val="323C4B"/>
                <w:sz w:val="18"/>
              </w:rPr>
              <w:t>Sử dụng công thức Beta Distribution:</w:t>
              <w:br/>
              <w:t>E = (O + 4M + P) / 6</w:t>
              <w:br/>
              <w:t>Độ lệch chuẩn: σ = (P - O) / 6</w:t>
            </w:r>
          </w:p>
        </w:tc>
        <w:tc>
          <w:tcPr>
            <w:tcW w:type="dxa" w:w="3120"/>
            <w:shd w:fill="FFFFFF"/>
            <w:tcMar>
              <w:top w:w="60" w:type="dxa"/>
              <w:bottom w:w="60" w:type="dxa"/>
              <w:left w:w="90" w:type="dxa"/>
              <w:right w:w="90" w:type="dxa"/>
            </w:tcMar>
          </w:tcPr>
          <w:p>
            <w:r>
              <w:rPr>
                <w:rFonts w:ascii="Arial" w:hAnsi="Arial"/>
                <w:color w:val="323C4B"/>
                <w:sz w:val="18"/>
              </w:rPr>
              <w:t>Triệt tiêu bẫy lạc quan. Buộc người ước lượng phải cân nhắc cả kịch bản xấu nhất (Pessimistic) và tốt nhất (Optimistic), tạo ra dải xác suất tin cậy cao.</w:t>
            </w:r>
          </w:p>
        </w:tc>
      </w:tr>
      <w:tr>
        <w:tc>
          <w:tcPr>
            <w:tcW w:type="dxa" w:w="3120"/>
            <w:shd w:fill="F0FDFA"/>
            <w:tcMar>
              <w:top w:w="60" w:type="dxa"/>
              <w:bottom w:w="60" w:type="dxa"/>
              <w:left w:w="90" w:type="dxa"/>
              <w:right w:w="90" w:type="dxa"/>
            </w:tcMar>
          </w:tcPr>
          <w:p>
            <w:r>
              <w:rPr>
                <w:rFonts w:ascii="Arial" w:hAnsi="Arial"/>
                <w:b/>
                <w:color w:val="0F766E"/>
                <w:sz w:val="18"/>
              </w:rPr>
              <w:t>3. Thiết lập Quỹ dự phòng rủi ro minh bạch</w:t>
            </w:r>
          </w:p>
        </w:tc>
        <w:tc>
          <w:tcPr>
            <w:tcW w:type="dxa" w:w="3120"/>
            <w:shd w:fill="F0FDFA"/>
            <w:tcMar>
              <w:top w:w="60" w:type="dxa"/>
              <w:bottom w:w="60" w:type="dxa"/>
              <w:left w:w="90" w:type="dxa"/>
              <w:right w:w="90" w:type="dxa"/>
            </w:tcMar>
          </w:tcPr>
          <w:p>
            <w:r>
              <w:rPr>
                <w:rFonts w:ascii="Arial" w:hAnsi="Arial"/>
                <w:color w:val="323C4B"/>
                <w:sz w:val="18"/>
              </w:rPr>
              <w:t>• Contingency Reserve (Dự phòng cho Known-Unknowns)</w:t>
              <w:br/>
              <w:t>• Management Reserve (Dự phòng cho Unknown-Unknowns)</w:t>
            </w:r>
          </w:p>
        </w:tc>
        <w:tc>
          <w:tcPr>
            <w:tcW w:type="dxa" w:w="3120"/>
            <w:shd w:fill="F0FDFA"/>
            <w:tcMar>
              <w:top w:w="60" w:type="dxa"/>
              <w:bottom w:w="60" w:type="dxa"/>
              <w:left w:w="90" w:type="dxa"/>
              <w:right w:w="90" w:type="dxa"/>
            </w:tcMar>
          </w:tcPr>
          <w:p>
            <w:r>
              <w:rPr>
                <w:rFonts w:ascii="Arial" w:hAnsi="Arial"/>
                <w:color w:val="323C4B"/>
                <w:sz w:val="18"/>
              </w:rPr>
              <w:t>Bảo vệ dự án trước các phát sinh ngoài ý muốn (lỗi thư viện, đổi cấu trúc bảng CSDL) mà không làm vỡ đường cơ sở chi phí.</w:t>
            </w:r>
          </w:p>
        </w:tc>
      </w:tr>
      <w:tr>
        <w:tc>
          <w:tcPr>
            <w:tcW w:type="dxa" w:w="3120"/>
            <w:shd w:fill="FFFFFF"/>
            <w:tcMar>
              <w:top w:w="60" w:type="dxa"/>
              <w:bottom w:w="60" w:type="dxa"/>
              <w:left w:w="90" w:type="dxa"/>
              <w:right w:w="90" w:type="dxa"/>
            </w:tcMar>
          </w:tcPr>
          <w:p>
            <w:r>
              <w:rPr>
                <w:rFonts w:ascii="Arial" w:hAnsi="Arial"/>
                <w:b/>
                <w:color w:val="0F766E"/>
                <w:sz w:val="18"/>
              </w:rPr>
              <w:t>4. Áp dụng kỹ thuật Wideband Delphi &amp; Planning Poker</w:t>
            </w:r>
          </w:p>
        </w:tc>
        <w:tc>
          <w:tcPr>
            <w:tcW w:type="dxa" w:w="3120"/>
            <w:shd w:fill="FFFFFF"/>
            <w:tcMar>
              <w:top w:w="60" w:type="dxa"/>
              <w:bottom w:w="60" w:type="dxa"/>
              <w:left w:w="90" w:type="dxa"/>
              <w:right w:w="90" w:type="dxa"/>
            </w:tcMar>
          </w:tcPr>
          <w:p>
            <w:r>
              <w:rPr>
                <w:rFonts w:ascii="Arial" w:hAnsi="Arial"/>
                <w:color w:val="323C4B"/>
                <w:sz w:val="18"/>
              </w:rPr>
              <w:t>Toàn bộ đội ngũ (PM, BA, Dev, QA) cùng tham gia chấm điểm Story Points bằng bộ bài Fibonacci ẩn danh.</w:t>
            </w:r>
          </w:p>
        </w:tc>
        <w:tc>
          <w:tcPr>
            <w:tcW w:type="dxa" w:w="3120"/>
            <w:shd w:fill="FFFFFF"/>
            <w:tcMar>
              <w:top w:w="60" w:type="dxa"/>
              <w:bottom w:w="60" w:type="dxa"/>
              <w:left w:w="90" w:type="dxa"/>
              <w:right w:w="90" w:type="dxa"/>
            </w:tcMar>
          </w:tcPr>
          <w:p>
            <w:r>
              <w:rPr>
                <w:rFonts w:ascii="Arial" w:hAnsi="Arial"/>
                <w:color w:val="323C4B"/>
                <w:sz w:val="18"/>
              </w:rPr>
              <w:t>Tận dụng trí tuệ tập thể, tránh áp đặt chủ quan từ một cá nhân, làm sáng tỏ các điểm mù kỹ thuật trước khi chốt số giờ công.</w:t>
            </w:r>
          </w:p>
        </w:tc>
      </w:tr>
      <w:tr>
        <w:tc>
          <w:tcPr>
            <w:tcW w:type="dxa" w:w="3120"/>
            <w:shd w:fill="F0FDFA"/>
            <w:tcMar>
              <w:top w:w="60" w:type="dxa"/>
              <w:bottom w:w="60" w:type="dxa"/>
              <w:left w:w="90" w:type="dxa"/>
              <w:right w:w="90" w:type="dxa"/>
            </w:tcMar>
          </w:tcPr>
          <w:p>
            <w:r>
              <w:rPr>
                <w:rFonts w:ascii="Arial" w:hAnsi="Arial"/>
                <w:b/>
                <w:color w:val="0F766E"/>
                <w:sz w:val="18"/>
              </w:rPr>
              <w:t>5. Xây dựng kho tri thức &amp; Chuẩn hóa định mức (OPAs)</w:t>
            </w:r>
          </w:p>
        </w:tc>
        <w:tc>
          <w:tcPr>
            <w:tcW w:type="dxa" w:w="3120"/>
            <w:shd w:fill="F0FDFA"/>
            <w:tcMar>
              <w:top w:w="60" w:type="dxa"/>
              <w:bottom w:w="60" w:type="dxa"/>
              <w:left w:w="90" w:type="dxa"/>
              <w:right w:w="90" w:type="dxa"/>
            </w:tcMar>
          </w:tcPr>
          <w:p>
            <w:r>
              <w:rPr>
                <w:rFonts w:ascii="Arial" w:hAnsi="Arial"/>
                <w:color w:val="323C4B"/>
                <w:sz w:val="18"/>
              </w:rPr>
              <w:t>Lưu trữ dữ liệu lịch sử các dự án trước: năng suất dòng code/ngày, chi phí bình quân/test case, chi phí hosting.</w:t>
            </w:r>
          </w:p>
        </w:tc>
        <w:tc>
          <w:tcPr>
            <w:tcW w:type="dxa" w:w="3120"/>
            <w:shd w:fill="F0FDFA"/>
            <w:tcMar>
              <w:top w:w="60" w:type="dxa"/>
              <w:bottom w:w="60" w:type="dxa"/>
              <w:left w:w="90" w:type="dxa"/>
              <w:right w:w="90" w:type="dxa"/>
            </w:tcMar>
          </w:tcPr>
          <w:p>
            <w:r>
              <w:rPr>
                <w:rFonts w:ascii="Arial" w:hAnsi="Arial"/>
                <w:color w:val="323C4B"/>
                <w:sz w:val="18"/>
              </w:rPr>
              <w:t>Cho phép áp dụng Ước lượng tham số (Parametric Estimating) dựa trên dữ liệu thống kê khoa học thay vì phán đoán cảm tính.</w:t>
            </w:r>
          </w:p>
        </w:tc>
      </w:tr>
    </w:tbl>
    <w:p>
      <w:pPr>
        <w:spacing w:after="120"/>
      </w:pP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36" w:space="0" w:color="1B365D"/>
              <w:bottom w:val="none"/>
              <w:right w:val="none"/>
            </w:tcBorders>
          </w:tcPr>
          <w:p>
            <w:pPr>
              <w:spacing w:before="40" w:after="40" w:line="276" w:lineRule="auto"/>
            </w:pPr>
            <w:r>
              <w:rPr>
                <w:rFonts w:ascii="Arial" w:hAnsi="Arial"/>
                <w:b/>
                <w:color w:val="1B365D"/>
                <w:sz w:val="21"/>
              </w:rPr>
              <w:t>Kinh nghiệm thực tiễn áp dụng trong Nhóm 10:</w:t>
              <w:br/>
            </w:r>
            <w:r>
              <w:rPr>
                <w:rFonts w:ascii="Arial" w:hAnsi="Arial"/>
                <w:i/>
                <w:color w:val="283246"/>
                <w:sz w:val="20"/>
              </w:rPr>
              <w:t>Trong dự án GOODY: Nhóm đã giải quyết thách thức ước lượng bằng cách phân rã toàn bộ hệ thống thành 220 task chi tiết trên file Excel và bảng WBS. Mỗi task kỹ thuật (như viết bộ test Jest kiểm tra tính thuế VAT 8%, viết script nạp seed data) được ước lượng chính xác từ 2h đến 6h công. Đồng thời, nhóm dự phòng 10% rủi ro (4.500.000 VNĐ) dành riêng cho các vấn đề kết nối Supabase Cloud và tối ưu hóa hiệu năng API.</w:t>
            </w:r>
          </w:p>
        </w:tc>
      </w:tr>
    </w:tbl>
    <w:p>
      <w:pPr>
        <w:spacing w:before="0" w:after="80"/>
      </w:pPr>
    </w:p>
    <w:p>
      <w:pPr>
        <w:keepNext/>
        <w:spacing w:before="280" w:after="120"/>
      </w:pPr>
      <w:r>
        <w:rPr>
          <w:rFonts w:ascii="Arial" w:hAnsi="Arial"/>
          <w:b/>
          <w:color w:val="FFFFFF"/>
          <w:sz w:val="22"/>
          <w:shd w:fill="1B365D"/>
        </w:rPr>
        <w:t xml:space="preserve"> CÂU 3 </w:t>
      </w:r>
      <w:r>
        <w:rPr>
          <w:rFonts w:ascii="Arial" w:hAnsi="Arial"/>
          <w:b/>
          <w:color w:val="1B365D"/>
          <w:sz w:val="24"/>
        </w:rPr>
        <w:t xml:space="preserve">  VAI TRÒ CỦA LẬP KẾ HOẠCH NGÂN SÁCH &amp; ẢNH HƯỞNG ĐẾN SỰ THÀNH CÔNG DỰ ÁN</w:t>
      </w:r>
    </w:p>
    <w:p>
      <w:pPr>
        <w:spacing w:after="80" w:line="288" w:lineRule="auto"/>
      </w:pPr>
      <w:r>
        <w:rPr>
          <w:rFonts w:ascii="Arial" w:hAnsi="Arial"/>
          <w:b w:val="0"/>
          <w:i w:val="0"/>
          <w:color w:val="1E293B"/>
          <w:sz w:val="21"/>
        </w:rPr>
        <w:t xml:space="preserve">Lập kế hoạch ngân sách (Project Budgeting) là quá trình </w:t>
      </w:r>
      <w:r>
        <w:rPr>
          <w:rFonts w:ascii="Arial" w:hAnsi="Arial"/>
          <w:b/>
          <w:i w:val="0"/>
          <w:color w:val="1B365D"/>
          <w:sz w:val="21"/>
        </w:rPr>
        <w:t>chuyển hóa các ước lượng chi phí thành một kế hoạch chi tiêu có cấu trúc theo mốc thời gian (Time-phased Budget)</w:t>
      </w:r>
      <w:r>
        <w:rPr>
          <w:rFonts w:ascii="Arial" w:hAnsi="Arial"/>
          <w:b w:val="0"/>
          <w:i w:val="0"/>
          <w:color w:val="1E293B"/>
          <w:sz w:val="21"/>
        </w:rPr>
        <w:t>, được phê chuẩn chính thức bởi các bên liên quan. Đây được xem là 'trái tim' của hệ thống quản lý tài chính dự án, quyết định trực tiếp khả năng sống còn và mức độ thành công của sản phẩm.</w:t>
      </w:r>
    </w:p>
    <w:p>
      <w:pPr>
        <w:keepNext/>
        <w:spacing w:before="200" w:after="60"/>
      </w:pPr>
      <w:r>
        <w:rPr>
          <w:rFonts w:ascii="Arial" w:hAnsi="Arial"/>
          <w:b/>
          <w:color w:val="0F766E"/>
          <w:sz w:val="22"/>
        </w:rPr>
        <w:t>3.1. Bốn vai trò cốt lõi của việc lập kế hoạch ngân sách</w:t>
      </w:r>
    </w:p>
    <w:p>
      <w:pPr>
        <w:spacing w:after="80" w:line="288" w:lineRule="auto"/>
      </w:pPr>
      <w:r>
        <w:rPr>
          <w:rFonts w:ascii="Arial" w:hAnsi="Arial"/>
          <w:b/>
          <w:i w:val="0"/>
          <w:color w:val="1B365D"/>
          <w:sz w:val="21"/>
        </w:rPr>
        <w:t>• 1. Thiết lập Đường cơ sở chi phí (Cost Baseline) – 'Thước đo vàng' để kiểm soát:</w:t>
        <w:br/>
      </w:r>
      <w:r>
        <w:rPr>
          <w:rFonts w:ascii="Arial" w:hAnsi="Arial"/>
          <w:b w:val="0"/>
          <w:i w:val="0"/>
          <w:color w:val="1E293B"/>
          <w:sz w:val="21"/>
        </w:rPr>
        <w:t>Ngân sách không phải là một con số tổng tĩnh mà được phân bổ chi tiết theo từng thời kỳ (Sprint/tháng). Đường cơ sở chi phí (thường được biểu diễn dưới dạng đường cong chữ S - S-Curve) cung cấp mốc chuẩn duy nhất để so sánh giữa chi phí kế hoạch (PV), chi phí thực tế (AC) và giá trị công việc thực sự hoàn thành (EV) thông qua kỹ thuật EVM.</w:t>
      </w:r>
    </w:p>
    <w:p>
      <w:pPr>
        <w:spacing w:after="80" w:line="288" w:lineRule="auto"/>
      </w:pPr>
      <w:r>
        <w:rPr>
          <w:rFonts w:ascii="Arial" w:hAnsi="Arial"/>
          <w:b/>
          <w:i w:val="0"/>
          <w:color w:val="1B365D"/>
          <w:sz w:val="21"/>
        </w:rPr>
        <w:t>• 2. Điều phối và bảo đảm an toàn Dòng tiền (Cash Flow Management):</w:t>
        <w:br/>
      </w:r>
      <w:r>
        <w:rPr>
          <w:rFonts w:ascii="Arial" w:hAnsi="Arial"/>
          <w:b w:val="0"/>
          <w:i w:val="0"/>
          <w:color w:val="1E293B"/>
          <w:sz w:val="21"/>
        </w:rPr>
        <w:t>Dự án có thể có lãi trên lý thuyết nhưng vẫn bị phá sản nếu thiếu hụt dòng tiền thanh khoản tức thời. Kế hoạch ngân sách chỉ rõ thời điểm nào cần giải ngân bao nhiêu tiền (trả lương dev, thuê server cloud, mua công cụ test), giúp doanh nghiệp chủ động chuẩn bị vốn cấp theo từng giai đoạn (Funding Limit Reconciliation), tránh tình trạng dự án bị 'đóng băng' vì chờ tiền.</w:t>
      </w:r>
    </w:p>
    <w:p>
      <w:pPr>
        <w:spacing w:after="80" w:line="288" w:lineRule="auto"/>
      </w:pPr>
      <w:r>
        <w:rPr>
          <w:rFonts w:ascii="Arial" w:hAnsi="Arial"/>
          <w:b/>
          <w:i w:val="0"/>
          <w:color w:val="1B365D"/>
          <w:sz w:val="21"/>
        </w:rPr>
        <w:t>• 3. Tối ưu hóa phân bổ nguồn lực và nâng cao trách nhiệm giải trình (Accountability):</w:t>
        <w:br/>
      </w:r>
      <w:r>
        <w:rPr>
          <w:rFonts w:ascii="Arial" w:hAnsi="Arial"/>
          <w:b w:val="0"/>
          <w:i w:val="0"/>
          <w:color w:val="1E293B"/>
          <w:sz w:val="21"/>
        </w:rPr>
        <w:t>Khi ngân sách được phê duyệt cụ thể cho từng gói công việc WBS (ví dụ: gói Frontend 12 triệu, gói Backend 15 triệu, gói QA &amp; DB 10 triệu), mỗi trưởng nhóm phụ trách sẽ nhận thức rõ hạn mức tài chính của mình, từ đó nâng cao ý thức tiết kiệm, chủ động tối ưu mã nguồn và quy trình làm việc để không vượt định mức.</w:t>
      </w:r>
    </w:p>
    <w:p>
      <w:pPr>
        <w:spacing w:after="80" w:line="288" w:lineRule="auto"/>
      </w:pPr>
      <w:r>
        <w:rPr>
          <w:rFonts w:ascii="Arial" w:hAnsi="Arial"/>
          <w:b/>
          <w:i w:val="0"/>
          <w:color w:val="1B365D"/>
          <w:sz w:val="21"/>
        </w:rPr>
        <w:t>• 4. Thiết lập cam kết và củng cố lòng tin của các bên liên quan (Stakeholder Trust):</w:t>
        <w:br/>
      </w:r>
      <w:r>
        <w:rPr>
          <w:rFonts w:ascii="Arial" w:hAnsi="Arial"/>
          <w:b w:val="0"/>
          <w:i w:val="0"/>
          <w:color w:val="1E293B"/>
          <w:sz w:val="21"/>
        </w:rPr>
        <w:t>Một bản kế hoạch ngân sách minh bạch, logic, có phân tích dự phòng rủi ro khoa học là cơ sở pháp lý và kinh tế vững chắc nhất để thuyết phục Chủ đầu tư / Ban Giám đốc phê duyệt dự án, đồng thời tạo sự an tâm tuyệt đối cho khách hàng về tính chuyên nghiệp của đội ngũ thực hiện.</w:t>
      </w:r>
    </w:p>
    <w:p>
      <w:pPr>
        <w:keepNext/>
        <w:spacing w:before="200" w:after="60"/>
      </w:pPr>
      <w:r>
        <w:rPr>
          <w:rFonts w:ascii="Arial" w:hAnsi="Arial"/>
          <w:b/>
          <w:color w:val="0F766E"/>
          <w:sz w:val="22"/>
        </w:rPr>
        <w:t>3.2. Ảnh hưởng trực tiếp của lập ngân sách đến sự thành công của dự án</w:t>
      </w:r>
    </w:p>
    <w:p>
      <w:pPr>
        <w:spacing w:after="80" w:line="288" w:lineRule="auto"/>
      </w:pPr>
      <w:r>
        <w:rPr>
          <w:rFonts w:ascii="Arial" w:hAnsi="Arial"/>
          <w:b w:val="0"/>
          <w:i w:val="0"/>
          <w:color w:val="1E293B"/>
          <w:sz w:val="21"/>
        </w:rPr>
        <w:t xml:space="preserve">Sự thành công của một dự án CNTT theo chuẩn quốc tế được định nghĩa qua việc thỏa mãn đồng thời </w:t>
      </w:r>
      <w:r>
        <w:rPr>
          <w:rFonts w:ascii="Arial" w:hAnsi="Arial"/>
          <w:b/>
          <w:i w:val="0"/>
          <w:color w:val="B45309"/>
          <w:sz w:val="21"/>
        </w:rPr>
        <w:t>Tam giác Ràng buộc (Triple Constraint): Phạm vi (Scope) - Thời gian (Time) - Chi phí (Cost)</w:t>
      </w:r>
      <w:r>
        <w:rPr>
          <w:rFonts w:ascii="Arial" w:hAnsi="Arial"/>
          <w:b w:val="0"/>
          <w:i w:val="0"/>
          <w:color w:val="1E293B"/>
          <w:sz w:val="21"/>
        </w:rPr>
        <w:t xml:space="preserve"> cùng với việc đáp ứng Chất lượng (Quality) và Sự thỏa mãn của Khách hàng. Lập ngân sách tác động trực tiếp lên các yếu tố này:</w:t>
      </w:r>
    </w:p>
    <w:p>
      <w:pPr>
        <w:spacing w:after="80" w:line="288" w:lineRule="auto"/>
      </w:pPr>
      <w:r>
        <w:rPr>
          <w:rFonts w:ascii="Arial" w:hAnsi="Arial"/>
          <w:b/>
          <w:i w:val="0"/>
          <w:color w:val="10B981"/>
          <w:sz w:val="21"/>
        </w:rPr>
        <w:t xml:space="preserve">✔ </w:t>
      </w:r>
      <w:r>
        <w:rPr>
          <w:rFonts w:ascii="Arial" w:hAnsi="Arial"/>
          <w:b/>
          <w:i w:val="0"/>
          <w:color w:val="1B365D"/>
          <w:sz w:val="21"/>
        </w:rPr>
        <w:t xml:space="preserve">Bảo toàn Phạm vi và Chất lượng sản phẩm: </w:t>
      </w:r>
      <w:r>
        <w:rPr>
          <w:rFonts w:ascii="Arial" w:hAnsi="Arial"/>
          <w:b w:val="0"/>
          <w:i w:val="0"/>
          <w:color w:val="1E293B"/>
          <w:sz w:val="21"/>
        </w:rPr>
        <w:t>Nếu ngân sách lập thiếu hụt, phản ứng dây chuyền tất yếu là dự án buộc phải cắt bớt tính năng (Scope Descoping) hoặc cắt giảm số lượng ca kiểm thử QA, bỏ qua tối ưu bảo mật. Điều này dẫn đến sản phẩm bàn giao nhiều lỗi, không đạt chất lượng cam kết. Kế hoạch ngân sách chuẩn xác bảo đảm đủ kinh phí cho 100% phạm vi và chuẩn mực QA nghiệm thu.</w:t>
      </w:r>
    </w:p>
    <w:p>
      <w:pPr>
        <w:spacing w:after="80" w:line="288" w:lineRule="auto"/>
      </w:pPr>
      <w:r>
        <w:rPr>
          <w:rFonts w:ascii="Arial" w:hAnsi="Arial"/>
          <w:b/>
          <w:i w:val="0"/>
          <w:color w:val="10B981"/>
          <w:sz w:val="21"/>
        </w:rPr>
        <w:t xml:space="preserve">✔ </w:t>
      </w:r>
      <w:r>
        <w:rPr>
          <w:rFonts w:ascii="Arial" w:hAnsi="Arial"/>
          <w:b/>
          <w:i w:val="0"/>
          <w:color w:val="1B365D"/>
          <w:sz w:val="21"/>
        </w:rPr>
        <w:t xml:space="preserve">Bảo đảm Tiến độ về đích đúng hạn (On-time Delivery): </w:t>
      </w:r>
      <w:r>
        <w:rPr>
          <w:rFonts w:ascii="Arial" w:hAnsi="Arial"/>
          <w:b w:val="0"/>
          <w:i w:val="0"/>
          <w:color w:val="1E293B"/>
          <w:sz w:val="21"/>
        </w:rPr>
        <w:t>Tắc nghẽn tài chính là một trong những nguyên nhân hàng đầu gây đình trệ tiến độ. Khi ngân sách được lập gắn liền với từng Sprint, các nguồn lực cần thiết (tài khoản cloud, môi trường test, công cụ CI/CD) luôn sẵn sàng ngay khi bắt đầu Sprint, giúp đội ngũ tập trung cao độ hoàn thành các mốc Milestone mà không bị gián đoạn.</w:t>
      </w:r>
    </w:p>
    <w:p>
      <w:pPr>
        <w:spacing w:after="80" w:line="288" w:lineRule="auto"/>
      </w:pPr>
      <w:r>
        <w:rPr>
          <w:rFonts w:ascii="Arial" w:hAnsi="Arial"/>
          <w:b/>
          <w:i w:val="0"/>
          <w:color w:val="10B981"/>
          <w:sz w:val="21"/>
        </w:rPr>
        <w:t xml:space="preserve">✔ </w:t>
      </w:r>
      <w:r>
        <w:rPr>
          <w:rFonts w:ascii="Arial" w:hAnsi="Arial"/>
          <w:b/>
          <w:i w:val="0"/>
          <w:color w:val="1B365D"/>
          <w:sz w:val="21"/>
        </w:rPr>
        <w:t xml:space="preserve">Tối ưu hóa Lợi nhuận và Tỷ suất sinh lời (ROI - Return on Investment): </w:t>
      </w:r>
      <w:r>
        <w:rPr>
          <w:rFonts w:ascii="Arial" w:hAnsi="Arial"/>
          <w:b w:val="0"/>
          <w:i w:val="0"/>
          <w:color w:val="1E293B"/>
          <w:sz w:val="21"/>
        </w:rPr>
        <w:t>Đối với các doanh nghiệp công nghệ, dự án hoàn thành đúng hạn nhưng vượt chi phí 50% sẽ làm suy giảm nghiêm trọng biên lợi nhuận, thậm chí biến dự án thành gánh nặng thua lỗ. Lập ngân sách chuẩn giúp doanh nghiệp kiểm soát tỷ lệ chi phí/doanh thu, tối đa hóa ROI.</w:t>
      </w:r>
    </w:p>
    <w:p>
      <w:pPr>
        <w:spacing w:after="80" w:line="288" w:lineRule="auto"/>
      </w:pPr>
      <w:r>
        <w:rPr>
          <w:rFonts w:ascii="Arial" w:hAnsi="Arial"/>
          <w:b/>
          <w:i w:val="0"/>
          <w:color w:val="10B981"/>
          <w:sz w:val="21"/>
        </w:rPr>
        <w:t xml:space="preserve">✔ </w:t>
      </w:r>
      <w:r>
        <w:rPr>
          <w:rFonts w:ascii="Arial" w:hAnsi="Arial"/>
          <w:b/>
          <w:i w:val="0"/>
          <w:color w:val="1B365D"/>
          <w:sz w:val="21"/>
        </w:rPr>
        <w:t xml:space="preserve">Duy trì động lực làm việc và sự ổn định của đội ngũ: </w:t>
      </w:r>
      <w:r>
        <w:rPr>
          <w:rFonts w:ascii="Arial" w:hAnsi="Arial"/>
          <w:b w:val="0"/>
          <w:i w:val="0"/>
          <w:color w:val="1E293B"/>
          <w:sz w:val="21"/>
        </w:rPr>
        <w:t>Kế hoạch ngân sách phân bổ rõ ràng quỹ lương, phụ cấp thưởng và công cụ làm việc tốt giúp các lập trình viên và kiểm thử viên yên tâm cống hiến, giảm thiểu tỷ lệ biến động nhân sự (turnover rate) trong những giai đoạn nước rút của dự án.</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36" w:space="0" w:color="1B365D"/>
              <w:bottom w:val="none"/>
              <w:right w:val="none"/>
            </w:tcBorders>
          </w:tcPr>
          <w:p>
            <w:pPr>
              <w:spacing w:before="40" w:after="40" w:line="276" w:lineRule="auto"/>
            </w:pPr>
            <w:r>
              <w:rPr>
                <w:rFonts w:ascii="Arial" w:hAnsi="Arial"/>
                <w:b/>
                <w:color w:val="1B365D"/>
                <w:sz w:val="21"/>
              </w:rPr>
              <w:t>Kết luận thực tế từ Quản lý Chi phí Nhóm 10:</w:t>
              <w:br/>
            </w:r>
            <w:r>
              <w:rPr>
                <w:rFonts w:ascii="Arial" w:hAnsi="Arial"/>
                <w:i/>
                <w:color w:val="283246"/>
                <w:sz w:val="20"/>
              </w:rPr>
              <w:t>Minh chứng từ Đồ án GOODY Recruit: Tổng ngân sách 45.000.000 VNĐ đã được nhóm lập kế hoạch phân bổ chi tiết cho 4 Sprint: Sprint 1 (9 tr - nền tảng CSDL/Auth), Sprint 2 (9 tr - Hóa đơn/Công nợ), Sprint 3 (9 tr - Dashboard), Sprint 4 (7.5 tr - Testing/Deploy) và Quản lý/BA (6 tr) + Quỹ dự phòng (4.5 tr). Nhờ kế hoạch ngân sách này, nhóm không bị thiếu kinh phí duy trì database Supabase và có đủ nguồn lực để hoàn thành 41 bộ test tự động và báo cáo Pareto đúng tiến độ 7 tuần bảo vệ.</w:t>
            </w:r>
          </w:p>
        </w:tc>
      </w:tr>
    </w:tbl>
    <w:p>
      <w:pPr>
        <w:spacing w:before="0" w:after="80"/>
      </w:pPr>
    </w:p>
    <w:p>
      <w:pPr>
        <w:spacing w:before="200"/>
      </w:pPr>
    </w:p>
    <w:p>
      <w:pPr>
        <w:spacing w:after="40"/>
        <w:jc w:val="right"/>
      </w:pPr>
      <w:r>
        <w:rPr>
          <w:rFonts w:ascii="Arial" w:hAnsi="Arial"/>
          <w:i/>
          <w:color w:val="3C4650"/>
          <w:sz w:val="21"/>
        </w:rPr>
        <w:t>TP. Hồ Chí Minh, ngày 05 tháng 10 năm 2026</w:t>
        <w:br/>
      </w:r>
      <w:r>
        <w:rPr>
          <w:rFonts w:ascii="Arial" w:hAnsi="Arial"/>
          <w:b/>
          <w:color w:val="1B365D"/>
          <w:sz w:val="21"/>
        </w:rPr>
        <w:t>Sinh viên thực hiện</w:t>
        <w:br/>
        <w:br/>
        <w:br/>
        <w:br/>
      </w:r>
      <w:r>
        <w:rPr>
          <w:rFonts w:ascii="Arial" w:hAnsi="Arial"/>
          <w:b/>
          <w:color w:val="1B365D"/>
          <w:sz w:val="22"/>
        </w:rPr>
        <w:t>HUỲNH NGUYỄN VĨNH PHÚC</w:t>
        <w:br/>
      </w:r>
      <w:r>
        <w:rPr>
          <w:rFonts w:ascii="Arial" w:hAnsi="Arial"/>
          <w:color w:val="505A64"/>
          <w:sz w:val="20"/>
        </w:rPr>
        <w:t>MSSV: 2380614923 - Lớp: 23DTHC3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