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48E067" w14:textId="143FCF79" w:rsidR="005F42CC" w:rsidRPr="005F42CC" w:rsidRDefault="005F42CC" w:rsidP="005F42CC">
      <w:pPr>
        <w:spacing w:after="60" w:line="360" w:lineRule="auto"/>
        <w:rPr>
          <w:color w:val="000000"/>
        </w:rPr>
      </w:pPr>
      <w:r w:rsidRPr="005F42CC">
        <w:rPr>
          <w:b/>
          <w:color w:val="000000"/>
        </w:rPr>
        <w:t>Tên đề tài:</w:t>
      </w:r>
      <w:r w:rsidRPr="005F42CC">
        <w:rPr>
          <w:color w:val="000000"/>
        </w:rPr>
        <w:t xml:space="preserve"> </w:t>
      </w:r>
    </w:p>
    <w:p w14:paraId="261B7F65" w14:textId="77777777" w:rsidR="005F42CC" w:rsidRPr="005F42CC" w:rsidRDefault="005F42CC" w:rsidP="005F42CC">
      <w:pPr>
        <w:spacing w:after="60" w:line="360" w:lineRule="auto"/>
        <w:rPr>
          <w:color w:val="000000"/>
        </w:rPr>
      </w:pPr>
      <w:r w:rsidRPr="005F42CC">
        <w:rPr>
          <w:b/>
          <w:color w:val="000000"/>
        </w:rPr>
        <w:t>MSSV:</w:t>
      </w:r>
      <w:r w:rsidRPr="005F42CC">
        <w:rPr>
          <w:color w:val="000000"/>
        </w:rPr>
        <w:t xml:space="preserve"> ……………………………………</w:t>
      </w:r>
    </w:p>
    <w:p w14:paraId="54374DEF" w14:textId="77777777" w:rsidR="005F42CC" w:rsidRPr="005F42CC" w:rsidRDefault="005F42CC" w:rsidP="005F42CC">
      <w:pPr>
        <w:spacing w:after="60" w:line="360" w:lineRule="auto"/>
        <w:rPr>
          <w:color w:val="000000"/>
        </w:rPr>
      </w:pPr>
      <w:r w:rsidRPr="005F42CC">
        <w:rPr>
          <w:b/>
          <w:color w:val="000000"/>
        </w:rPr>
        <w:t>Tên HV:</w:t>
      </w:r>
      <w:r w:rsidRPr="005F42CC">
        <w:rPr>
          <w:color w:val="000000"/>
        </w:rPr>
        <w:t xml:space="preserve"> ……………………………………</w:t>
      </w:r>
    </w:p>
    <w:p w14:paraId="3F0C2EB8" w14:textId="77777777" w:rsidR="005F42CC" w:rsidRPr="005F42CC" w:rsidRDefault="005F42CC" w:rsidP="005F42CC">
      <w:pPr>
        <w:spacing w:after="60" w:line="360" w:lineRule="auto"/>
        <w:rPr>
          <w:color w:val="000000"/>
        </w:rPr>
      </w:pPr>
      <w:r w:rsidRPr="005F42CC">
        <w:rPr>
          <w:b/>
          <w:color w:val="000000"/>
        </w:rPr>
        <w:t>Khoa:</w:t>
      </w:r>
      <w:r w:rsidRPr="005F42CC">
        <w:rPr>
          <w:color w:val="000000"/>
        </w:rPr>
        <w:t xml:space="preserve"> ……………………………………</w:t>
      </w:r>
    </w:p>
    <w:p w14:paraId="4EE7DBD1" w14:textId="066E3520" w:rsidR="005F42CC" w:rsidRPr="005F42CC" w:rsidRDefault="001C6A5C" w:rsidP="005F42CC">
      <w:pPr>
        <w:pStyle w:val="Heading1"/>
        <w:numPr>
          <w:ilvl w:val="0"/>
          <w:numId w:val="1"/>
        </w:numPr>
        <w:spacing w:line="360" w:lineRule="auto"/>
        <w:ind w:hanging="720"/>
        <w:rPr>
          <w:lang w:val="vi-VN"/>
        </w:rPr>
      </w:pPr>
      <w:bookmarkStart w:id="0" w:name="_Toc241912774"/>
      <w:r w:rsidRPr="005F42CC">
        <w:rPr>
          <w:lang w:val="vi-VN"/>
        </w:rPr>
        <w:t>Khái niệm</w:t>
      </w:r>
      <w:bookmarkEnd w:id="0"/>
    </w:p>
    <w:p w14:paraId="39BF9ECE" w14:textId="7845C6DD" w:rsidR="005F42CC" w:rsidRPr="00AA5A73" w:rsidRDefault="00AA5A73" w:rsidP="005F42CC">
      <w:pPr>
        <w:spacing w:after="120" w:line="360" w:lineRule="auto"/>
        <w:ind w:firstLine="567"/>
        <w:jc w:val="both"/>
        <w:rPr>
          <w:color w:val="000000"/>
        </w:rPr>
      </w:pPr>
      <w:r w:rsidRPr="00AA5A73">
        <w:rPr>
          <w:color w:val="000000"/>
        </w:rPr>
        <w:t>CSDL quan hệ lưu dữ liệu thành các bảng gồm dòng và cột, truy vấn bằng SQL; mô hình do E. F. Codd đề xuất năm 1970 [1]. Mô hình này chỉ quy định dữ liệu ở mức logic; ở mức vật lý, một bảng có thể được lưu theo dòng hoặc theo cột.</w:t>
      </w:r>
    </w:p>
    <w:p w14:paraId="7DB10580" w14:textId="20EB0EB9" w:rsidR="005F42CC" w:rsidRPr="005F42CC" w:rsidRDefault="005F42CC" w:rsidP="005F42CC">
      <w:pPr>
        <w:pStyle w:val="Heading2"/>
        <w:numPr>
          <w:ilvl w:val="1"/>
          <w:numId w:val="1"/>
        </w:numPr>
        <w:spacing w:line="360" w:lineRule="auto"/>
        <w:ind w:hanging="720"/>
      </w:pPr>
      <w:bookmarkStart w:id="1" w:name="_Toc241912775"/>
      <w:r>
        <w:t>Khái niệm CSDL hướng dòng và CSDL hướng cột</w:t>
      </w:r>
      <w:bookmarkEnd w:id="1"/>
    </w:p>
    <w:p w14:paraId="2FF205C5" w14:textId="508406D2" w:rsidR="005F42CC" w:rsidRPr="00AA5A73" w:rsidRDefault="00AA5A73" w:rsidP="00AA5A73">
      <w:pPr>
        <w:spacing w:after="120" w:line="360" w:lineRule="auto"/>
        <w:ind w:firstLine="567"/>
        <w:rPr>
          <w:color w:val="000000"/>
        </w:rPr>
      </w:pPr>
      <w:r w:rsidRPr="00AA5A73">
        <w:rPr>
          <w:b/>
          <w:color w:val="000000"/>
        </w:rPr>
        <w:t>CSDL hướng dòng (row-store):</w:t>
      </w:r>
      <w:r w:rsidRPr="00AA5A73">
        <w:rPr>
          <w:color w:val="000000"/>
        </w:rPr>
        <w:t xml:space="preserve"> lưu liền các giá trị của từng bản ghi, nên đọc, thêm, sửa một bản ghi rất nhanh – phù hợp với giao dịch (OLTP).</w:t>
      </w:r>
      <w:r w:rsidRPr="00AA5A73">
        <w:rPr>
          <w:b/>
          <w:color w:val="000000"/>
        </w:rPr>
        <w:br/>
        <w:t>Ví dụ:</w:t>
      </w:r>
      <w:r w:rsidRPr="00AA5A73">
        <w:rPr>
          <w:color w:val="000000"/>
        </w:rPr>
        <w:t xml:space="preserve"> SQLite, MySQL, PostgreSQL, Oracle Database, Microsoft SQL Server.</w:t>
      </w:r>
    </w:p>
    <w:p w14:paraId="15048FCA" w14:textId="617792C4" w:rsidR="005F42CC" w:rsidRPr="00AA5A73" w:rsidRDefault="00AA5A73" w:rsidP="00AA5A73">
      <w:pPr>
        <w:spacing w:after="120" w:line="360" w:lineRule="auto"/>
        <w:ind w:firstLine="567"/>
        <w:rPr>
          <w:color w:val="000000"/>
        </w:rPr>
      </w:pPr>
      <w:r w:rsidRPr="00AA5A73">
        <w:rPr>
          <w:b/>
          <w:color w:val="000000"/>
        </w:rPr>
        <w:t>CSDL hướng cột (column-store):</w:t>
      </w:r>
      <w:r w:rsidRPr="00AA5A73">
        <w:rPr>
          <w:color w:val="000000"/>
        </w:rPr>
        <w:t xml:space="preserve"> lưu riêng từng cột, nên truy vấn phân tích chỉ đọc các cột cần dùng, dữ liệu nén tốt và được xử lý theo lô (vector hóa) – phù hợp với phân tích (OLAP); đổi lại, ghi từng dòng chậm hơn [3].</w:t>
      </w:r>
      <w:r w:rsidRPr="00AA5A73">
        <w:rPr>
          <w:b/>
          <w:color w:val="000000"/>
        </w:rPr>
        <w:br/>
        <w:t>Ví dụ:</w:t>
      </w:r>
      <w:r w:rsidRPr="00AA5A73">
        <w:rPr>
          <w:color w:val="000000"/>
        </w:rPr>
        <w:t xml:space="preserve"> DuckDB, ClickHouse, MonetDB, Vertica, Amazon Redshift, Google BigQuery.</w:t>
      </w:r>
    </w:p>
    <w:p w14:paraId="4849BB8F" w14:textId="77777777" w:rsidR="005F42CC" w:rsidRPr="005F42CC" w:rsidRDefault="005F42CC" w:rsidP="005F42CC">
      <w:pPr>
        <w:pStyle w:val="Heading2"/>
        <w:numPr>
          <w:ilvl w:val="1"/>
          <w:numId w:val="1"/>
        </w:numPr>
        <w:spacing w:line="360" w:lineRule="auto"/>
        <w:ind w:hanging="720"/>
        <w:rPr>
          <w:lang w:val="vi-VN"/>
        </w:rPr>
      </w:pPr>
      <w:bookmarkStart w:id="2" w:name="_Toc241912776"/>
      <w:r w:rsidRPr="005F42CC">
        <w:rPr>
          <w:lang w:val="vi-VN"/>
        </w:rPr>
        <w:t>Tại sao chọn DuckDB và SQLite</w:t>
      </w:r>
      <w:bookmarkEnd w:id="2"/>
    </w:p>
    <w:p w14:paraId="74CB8906" w14:textId="5BA062B4" w:rsidR="005F42CC" w:rsidRPr="00AA5A73" w:rsidRDefault="00AA5A73" w:rsidP="005F42CC">
      <w:pPr>
        <w:spacing w:after="120" w:line="360" w:lineRule="auto"/>
        <w:ind w:firstLine="567"/>
        <w:jc w:val="both"/>
        <w:rPr>
          <w:color w:val="000000"/>
        </w:rPr>
      </w:pPr>
      <w:r w:rsidRPr="00AA5A73">
        <w:rPr>
          <w:color w:val="000000"/>
        </w:rPr>
        <w:t>Cả hai đều là CSDL nhúng (chạy trong ứng dụng, không cần máy chủ), nên phép so sánh chỉ còn một biến chính: lưu theo dòng hay theo cột. Mỗi hệ là đại diện tiêu biểu: SQLite (D. R. Hipp, 2000) là CSDL được triển khai rộng rãi nhất [2]; DuckDB (viện CWI, Amsterdam, 2019) được thiết kế để bổ sung khả năng phân tích mà SQLite còn thiếu [4]. Ngoài ra, đã có nghiên cứu so sánh trực tiếp hai hệ trên bộ chuẩn SSB và TATP [2] để đối chiếu, và cả hai đều miễn phí, dễ tái lập.</w:t>
      </w:r>
    </w:p>
    <w:p w14:paraId="0347E3A5" w14:textId="77777777" w:rsidR="005F42CC" w:rsidRPr="005F42CC" w:rsidRDefault="005F42CC" w:rsidP="005F42CC">
      <w:pPr>
        <w:pStyle w:val="Heading1"/>
        <w:numPr>
          <w:ilvl w:val="0"/>
          <w:numId w:val="1"/>
        </w:numPr>
        <w:spacing w:line="360" w:lineRule="auto"/>
        <w:ind w:hanging="720"/>
      </w:pPr>
      <w:bookmarkStart w:id="3" w:name="_Toc241912777"/>
      <w:r w:rsidRPr="005F42CC">
        <w:lastRenderedPageBreak/>
        <w:t>Mô tả dataset</w:t>
      </w:r>
      <w:bookmarkEnd w:id="3"/>
    </w:p>
    <w:p w14:paraId="0DF9773A" w14:textId="77777777" w:rsidR="005F42CC" w:rsidRPr="005F42CC" w:rsidRDefault="005F42CC" w:rsidP="005F42CC">
      <w:pPr>
        <w:pStyle w:val="Heading2"/>
        <w:numPr>
          <w:ilvl w:val="1"/>
          <w:numId w:val="1"/>
        </w:numPr>
        <w:spacing w:line="360" w:lineRule="auto"/>
        <w:ind w:hanging="720"/>
      </w:pPr>
      <w:bookmarkStart w:id="4" w:name="_Toc241912778"/>
      <w:r w:rsidRPr="005F42CC">
        <w:t>Các dataset liên quan đang được sử dụng trong mục đích so sánh CSDL quan hệ và vector</w:t>
      </w:r>
      <w:bookmarkEnd w:id="4"/>
    </w:p>
    <w:p w14:paraId="47479A38" w14:textId="77777777" w:rsidR="005F42CC" w:rsidRPr="005F42CC" w:rsidRDefault="005F42CC" w:rsidP="005F42CC">
      <w:pPr>
        <w:pStyle w:val="Heading2"/>
        <w:numPr>
          <w:ilvl w:val="1"/>
          <w:numId w:val="1"/>
        </w:numPr>
        <w:spacing w:line="360" w:lineRule="auto"/>
        <w:ind w:hanging="720"/>
      </w:pPr>
      <w:bookmarkStart w:id="5" w:name="_Toc241912779"/>
      <w:r w:rsidRPr="005F42CC">
        <w:t>So sánh các dataset (độ tin cậy, dễ hiểu, tính đa dạng, tính đại diện – cách lấy mẫu)</w:t>
      </w:r>
      <w:bookmarkEnd w:id="5"/>
    </w:p>
    <w:p w14:paraId="76C80601" w14:textId="77777777" w:rsidR="005F42CC" w:rsidRPr="005F42CC" w:rsidRDefault="005F42CC" w:rsidP="005F42CC">
      <w:pPr>
        <w:pStyle w:val="Heading2"/>
        <w:numPr>
          <w:ilvl w:val="1"/>
          <w:numId w:val="1"/>
        </w:numPr>
        <w:spacing w:line="360" w:lineRule="auto"/>
        <w:ind w:hanging="720"/>
      </w:pPr>
      <w:bookmarkStart w:id="6" w:name="_Toc241912780"/>
      <w:r w:rsidRPr="005F42CC">
        <w:t>Lý do chọn dataset A</w:t>
      </w:r>
      <w:bookmarkEnd w:id="6"/>
    </w:p>
    <w:p w14:paraId="36C17CD1" w14:textId="77777777" w:rsidR="005F42CC" w:rsidRPr="005F42CC" w:rsidRDefault="005F42CC" w:rsidP="005F42CC">
      <w:pPr>
        <w:pStyle w:val="Heading2"/>
        <w:numPr>
          <w:ilvl w:val="1"/>
          <w:numId w:val="1"/>
        </w:numPr>
        <w:spacing w:line="360" w:lineRule="auto"/>
        <w:ind w:hanging="720"/>
      </w:pPr>
      <w:bookmarkStart w:id="7" w:name="_Toc241912781"/>
      <w:r w:rsidRPr="005F42CC">
        <w:t>Mô tả dataset A</w:t>
      </w:r>
      <w:bookmarkEnd w:id="7"/>
    </w:p>
    <w:p w14:paraId="40CE9E1E" w14:textId="77777777" w:rsidR="005F42CC" w:rsidRPr="005F42CC" w:rsidRDefault="005F42CC" w:rsidP="005F42CC">
      <w:pPr>
        <w:pStyle w:val="Heading1"/>
        <w:numPr>
          <w:ilvl w:val="0"/>
          <w:numId w:val="1"/>
        </w:numPr>
        <w:spacing w:line="360" w:lineRule="auto"/>
        <w:ind w:hanging="720"/>
      </w:pPr>
      <w:bookmarkStart w:id="8" w:name="_Toc241912782"/>
      <w:r w:rsidRPr="005F42CC">
        <w:t>Thiết kế thực nghiệm</w:t>
      </w:r>
      <w:bookmarkEnd w:id="8"/>
    </w:p>
    <w:p w14:paraId="21D832FE" w14:textId="77777777" w:rsidR="005F42CC" w:rsidRPr="005F42CC" w:rsidRDefault="005F42CC" w:rsidP="005F42CC">
      <w:pPr>
        <w:pStyle w:val="Heading2"/>
        <w:numPr>
          <w:ilvl w:val="1"/>
          <w:numId w:val="1"/>
        </w:numPr>
        <w:spacing w:line="360" w:lineRule="auto"/>
        <w:ind w:hanging="720"/>
      </w:pPr>
      <w:bookmarkStart w:id="9" w:name="_Toc241912783"/>
      <w:r w:rsidRPr="005F42CC">
        <w:t>Kịch bản 1</w:t>
      </w:r>
      <w:bookmarkEnd w:id="9"/>
    </w:p>
    <w:p w14:paraId="0878F446" w14:textId="77777777" w:rsidR="005F42CC" w:rsidRPr="005F42CC" w:rsidRDefault="005F42CC" w:rsidP="005F42CC">
      <w:pPr>
        <w:pStyle w:val="Heading3"/>
        <w:numPr>
          <w:ilvl w:val="2"/>
          <w:numId w:val="1"/>
        </w:numPr>
        <w:spacing w:line="360" w:lineRule="auto"/>
        <w:ind w:left="720"/>
      </w:pPr>
      <w:bookmarkStart w:id="10" w:name="_Toc241912784"/>
      <w:r w:rsidRPr="005F42CC">
        <w:t>Mục đích</w:t>
      </w:r>
      <w:bookmarkEnd w:id="10"/>
    </w:p>
    <w:p w14:paraId="7911FBC9" w14:textId="77777777" w:rsidR="005F42CC" w:rsidRPr="005F42CC" w:rsidRDefault="005F42CC" w:rsidP="005F42CC">
      <w:pPr>
        <w:pStyle w:val="Heading3"/>
        <w:numPr>
          <w:ilvl w:val="2"/>
          <w:numId w:val="1"/>
        </w:numPr>
        <w:spacing w:line="360" w:lineRule="auto"/>
        <w:ind w:left="720"/>
      </w:pPr>
      <w:bookmarkStart w:id="11" w:name="_Toc241912785"/>
      <w:r w:rsidRPr="005F42CC">
        <w:t>Input, Output</w:t>
      </w:r>
      <w:bookmarkEnd w:id="11"/>
    </w:p>
    <w:p w14:paraId="65932CE6" w14:textId="77777777" w:rsidR="005F42CC" w:rsidRPr="005F42CC" w:rsidRDefault="005F42CC" w:rsidP="005F42CC">
      <w:pPr>
        <w:pStyle w:val="Heading1"/>
        <w:numPr>
          <w:ilvl w:val="0"/>
          <w:numId w:val="1"/>
        </w:numPr>
        <w:spacing w:line="360" w:lineRule="auto"/>
        <w:ind w:hanging="720"/>
      </w:pPr>
      <w:bookmarkStart w:id="12" w:name="_Toc241912786"/>
      <w:r w:rsidRPr="005F42CC">
        <w:t>Bình luận đánh giá</w:t>
      </w:r>
      <w:bookmarkEnd w:id="12"/>
    </w:p>
    <w:p w14:paraId="7C644D22" w14:textId="15279E24" w:rsidR="005F42CC" w:rsidRPr="005F42CC" w:rsidRDefault="005F42CC" w:rsidP="005F42CC">
      <w:pPr>
        <w:spacing w:after="120" w:line="360" w:lineRule="auto"/>
        <w:ind w:firstLine="567"/>
        <w:jc w:val="both"/>
        <w:rPr>
          <w:color w:val="000000"/>
        </w:rPr>
      </w:pPr>
      <w:r w:rsidRPr="005F42CC">
        <w:rPr>
          <w:color w:val="000000"/>
        </w:rPr>
        <w:t xml:space="preserve">Theo cơ sở lý thuyết và kết quả đã công bố, DuckDB vượt trội ở truy vấn phân tích (quét, tổng hợp, kết nối bảng lớn), còn SQLite nhanh hơn ở các thao tác giao dịch trên </w:t>
      </w:r>
      <w:r>
        <w:rPr>
          <w:color w:val="000000"/>
        </w:rPr>
        <w:t>từng bản ghi [2]</w:t>
      </w:r>
      <w:r w:rsidRPr="005F42CC">
        <w:rPr>
          <w:color w:val="000000"/>
        </w:rPr>
        <w:t xml:space="preserve">. Điều này củng cố nhận định rằng không có một CSDL nào tối ưu cho mọi </w:t>
      </w:r>
      <w:r>
        <w:rPr>
          <w:color w:val="000000"/>
        </w:rPr>
        <w:t>dạng tải [5]</w:t>
      </w:r>
      <w:r w:rsidRPr="005F42CC">
        <w:rPr>
          <w:color w:val="000000"/>
        </w:rPr>
        <w:t>. Khi thực nghiệm cần cố định phần cứng, kích thước dữ liệu, số luồng và trạng thái bộ nhớ đệm, chạy lặp nhiều lần và lấy giá trị trung vị; số liệu cụ thể sẽ bổ sung sau Mục 3.</w:t>
      </w:r>
    </w:p>
    <w:p w14:paraId="4433F294" w14:textId="77777777" w:rsidR="005F42CC" w:rsidRPr="005F42CC" w:rsidRDefault="005F42CC" w:rsidP="005F42CC">
      <w:pPr>
        <w:pStyle w:val="Heading1"/>
        <w:numPr>
          <w:ilvl w:val="0"/>
          <w:numId w:val="1"/>
        </w:numPr>
        <w:spacing w:line="360" w:lineRule="auto"/>
        <w:ind w:hanging="720"/>
      </w:pPr>
      <w:bookmarkStart w:id="13" w:name="_Toc241912787"/>
      <w:r w:rsidRPr="005F42CC">
        <w:t>Kết luận</w:t>
      </w:r>
      <w:bookmarkEnd w:id="13"/>
    </w:p>
    <w:p w14:paraId="5E298C97" w14:textId="43E85C91" w:rsidR="005F42CC" w:rsidRPr="005F42CC" w:rsidRDefault="005F42CC" w:rsidP="005F42CC">
      <w:pPr>
        <w:spacing w:after="120" w:line="360" w:lineRule="auto"/>
        <w:ind w:firstLine="567"/>
        <w:jc w:val="both"/>
        <w:rPr>
          <w:color w:val="000000"/>
        </w:rPr>
      </w:pPr>
      <w:r w:rsidRPr="005F42CC">
        <w:rPr>
          <w:color w:val="000000"/>
        </w:rPr>
        <w:t>SQLite và DuckDB cùng là CSDL quan hệ nhúng nhưng đối lập về cách lưu trữ. Lựa chọn phụ thuộc vào dạng tải: SQLite phù hợp với ứng dụng đọc/ghi từng bản ghi, DuckDB phù hợp với phân tích dữ liệu trên một máy. Phần thực nghiệm sẽ lượng hóa mức chênh lệch này.</w:t>
      </w:r>
    </w:p>
    <w:p w14:paraId="744DDF2E" w14:textId="77777777" w:rsidR="005F42CC" w:rsidRPr="005F42CC" w:rsidRDefault="005F42CC" w:rsidP="005F42CC">
      <w:pPr>
        <w:pStyle w:val="Heading1"/>
        <w:numPr>
          <w:ilvl w:val="0"/>
          <w:numId w:val="1"/>
        </w:numPr>
        <w:spacing w:line="360" w:lineRule="auto"/>
        <w:ind w:hanging="720"/>
      </w:pPr>
      <w:bookmarkStart w:id="14" w:name="_Toc241912788"/>
      <w:r w:rsidRPr="005F42CC">
        <w:t>Tài liệu tham khảo</w:t>
      </w:r>
      <w:bookmarkEnd w:id="14"/>
    </w:p>
    <w:p w14:paraId="5C8A6860" w14:textId="5E61DB1E" w:rsidR="005F42CC" w:rsidRPr="005F42CC" w:rsidRDefault="005F42CC" w:rsidP="005F42CC">
      <w:pPr>
        <w:spacing w:after="80" w:line="240" w:lineRule="auto"/>
        <w:ind w:left="567" w:hanging="567"/>
        <w:rPr>
          <w:color w:val="000000"/>
          <w:sz w:val="24"/>
        </w:rPr>
      </w:pPr>
      <w:r>
        <w:rPr>
          <w:color w:val="000000"/>
          <w:sz w:val="24"/>
        </w:rPr>
        <w:t>[1] E. F. Codd, “A relational model of data for large shared data banks,” Communications of the ACM, vol. 13, no. 6, pp. 377–387, 1970.</w:t>
      </w:r>
    </w:p>
    <w:p w14:paraId="6258F512" w14:textId="4534AADD" w:rsidR="005F42CC" w:rsidRPr="005F42CC" w:rsidRDefault="005F42CC" w:rsidP="005F42CC">
      <w:pPr>
        <w:spacing w:after="80" w:line="240" w:lineRule="auto"/>
        <w:ind w:left="567" w:hanging="567"/>
        <w:rPr>
          <w:color w:val="000000"/>
          <w:sz w:val="24"/>
        </w:rPr>
      </w:pPr>
      <w:r>
        <w:rPr>
          <w:color w:val="000000"/>
          <w:sz w:val="24"/>
        </w:rPr>
        <w:t>[2] K. P. Gaffney, M. Prammer, L. Brasfield, D. R. Hipp, D. Kennedy, and J. M. Patel, “SQLite: Past, present, and future,” Proc. VLDB Endowment, vol. 15, no. 12, pp. 3535–3547, 2022.</w:t>
      </w:r>
    </w:p>
    <w:p w14:paraId="32721F62" w14:textId="59AFC378" w:rsidR="005F42CC" w:rsidRPr="005F42CC" w:rsidRDefault="005F42CC" w:rsidP="005F42CC">
      <w:pPr>
        <w:spacing w:after="80" w:line="240" w:lineRule="auto"/>
        <w:ind w:left="567" w:hanging="567"/>
        <w:rPr>
          <w:color w:val="000000"/>
          <w:sz w:val="24"/>
        </w:rPr>
      </w:pPr>
      <w:r>
        <w:rPr>
          <w:color w:val="000000"/>
          <w:sz w:val="24"/>
        </w:rPr>
        <w:lastRenderedPageBreak/>
        <w:t>[3] D. Abadi, P. Boncz, S. Harizopoulos, S. Idreos, and S. Madden, “The design and implementation of modern column-oriented database systems,” Foundations and Trends in Databases, vol. 5, no. 3, pp. 197–280, 2013.</w:t>
      </w:r>
    </w:p>
    <w:p w14:paraId="45C2C926" w14:textId="382FFE98" w:rsidR="005F42CC" w:rsidRPr="005F42CC" w:rsidRDefault="005F42CC" w:rsidP="005F42CC">
      <w:pPr>
        <w:spacing w:after="80" w:line="240" w:lineRule="auto"/>
        <w:ind w:left="567" w:hanging="567"/>
        <w:rPr>
          <w:color w:val="000000"/>
          <w:sz w:val="24"/>
        </w:rPr>
      </w:pPr>
      <w:r>
        <w:rPr>
          <w:color w:val="000000"/>
          <w:sz w:val="24"/>
        </w:rPr>
        <w:t>[4] M. Raasveldt and H. Mühleisen, “DuckDB: An embeddable analytical database,” in Proc. ACM SIGMOD, 2019, pp. 1981–1984.</w:t>
      </w:r>
    </w:p>
    <w:p w14:paraId="46B65538" w14:textId="02AD1D48" w:rsidR="001C6A5C" w:rsidRPr="005F42CC" w:rsidRDefault="005F42CC" w:rsidP="005F42CC">
      <w:pPr>
        <w:spacing w:after="80" w:line="240" w:lineRule="auto"/>
        <w:ind w:left="567" w:hanging="567"/>
        <w:rPr>
          <w:color w:val="000000"/>
          <w:sz w:val="24"/>
        </w:rPr>
      </w:pPr>
      <w:r>
        <w:rPr>
          <w:color w:val="000000"/>
          <w:sz w:val="24"/>
        </w:rPr>
        <w:t>[5] M. Stonebraker and U. Çetintemel, “‘One size fits all’: An idea whose time has come and gone,” in Proc. IEEE ICDE, 2005, pp. 2–11.</w:t>
      </w:r>
    </w:p>
    <w:sectPr w:rsidR="001C6A5C" w:rsidRPr="005F42CC" w:rsidSect="005F42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417" w:right="113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C9E0A6" w14:textId="77777777" w:rsidR="00D823F4" w:rsidRDefault="00D823F4" w:rsidP="005F42CC">
      <w:pPr>
        <w:spacing w:after="0" w:line="240" w:lineRule="auto"/>
      </w:pPr>
      <w:r>
        <w:separator/>
      </w:r>
    </w:p>
  </w:endnote>
  <w:endnote w:type="continuationSeparator" w:id="0">
    <w:p w14:paraId="38FB9B54" w14:textId="77777777" w:rsidR="00D823F4" w:rsidRDefault="00D823F4" w:rsidP="005F4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6A7700" w14:textId="77777777" w:rsidR="005F42CC" w:rsidRDefault="005F42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1BCC3" w14:textId="77777777" w:rsidR="005F42CC" w:rsidRDefault="005F42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DB1176" w14:textId="77777777" w:rsidR="005F42CC" w:rsidRDefault="005F42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33031B" w14:textId="77777777" w:rsidR="00D823F4" w:rsidRDefault="00D823F4" w:rsidP="005F42CC">
      <w:pPr>
        <w:spacing w:after="0" w:line="240" w:lineRule="auto"/>
      </w:pPr>
      <w:r>
        <w:separator/>
      </w:r>
    </w:p>
  </w:footnote>
  <w:footnote w:type="continuationSeparator" w:id="0">
    <w:p w14:paraId="081152D8" w14:textId="77777777" w:rsidR="00D823F4" w:rsidRDefault="00D823F4" w:rsidP="005F4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02BB2C" w14:textId="77777777" w:rsidR="005F42CC" w:rsidRDefault="005F42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9A3DC1" w14:textId="77777777" w:rsidR="005F42CC" w:rsidRDefault="005F42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9958A6" w14:textId="77777777" w:rsidR="005F42CC" w:rsidRDefault="005F42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573584"/>
    <w:multiLevelType w:val="multilevel"/>
    <w:tmpl w:val="E1E4AC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581703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F1"/>
    <w:rsid w:val="001C6A5C"/>
    <w:rsid w:val="00247776"/>
    <w:rsid w:val="005F42CC"/>
    <w:rsid w:val="00936CB4"/>
    <w:rsid w:val="009B0AF1"/>
    <w:rsid w:val="00AA5A73"/>
    <w:rsid w:val="00D823F4"/>
    <w:rsid w:val="00DB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9B4A88"/>
  <w15:chartTrackingRefBased/>
  <w15:docId w15:val="{5BE70D02-D5F5-5F4A-84E3-537FB0D2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AF1"/>
    <w:pPr>
      <w:keepNext/>
      <w:keepLines/>
      <w:spacing w:before="120" w:after="60" w:line="360" w:lineRule="atLeast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AF1"/>
    <w:pPr>
      <w:keepNext/>
      <w:keepLines/>
      <w:spacing w:before="120" w:after="60" w:line="360" w:lineRule="atLeast"/>
      <w:outlineLvl w:val="1"/>
    </w:pPr>
    <w:rPr>
      <w:rFonts w:eastAsiaTheme="majorEastAsia"/>
      <w:b/>
      <w:color w:val="00000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AF1"/>
    <w:pPr>
      <w:keepNext/>
      <w:keepLines/>
      <w:spacing w:before="120" w:after="60" w:line="360" w:lineRule="atLeast"/>
      <w:outlineLvl w:val="2"/>
    </w:pPr>
    <w:rPr>
      <w:rFonts w:eastAsiaTheme="majorEastAsia"/>
      <w:b/>
      <w:color w:val="00000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AF1"/>
    <w:rPr>
      <w:rFonts w:ascii="Times New Roman" w:eastAsiaTheme="majorEastAsia" w:hAnsi="Times New Roman" w:cs="Times New Roman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AF1"/>
    <w:rPr>
      <w:rFonts w:ascii="Times New Roman" w:eastAsiaTheme="majorEastAsia" w:hAnsi="Times New Roman" w:cs="Times New Roman"/>
      <w:b/>
      <w:color w:val="000000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0AF1"/>
    <w:rPr>
      <w:rFonts w:ascii="Times New Roman" w:eastAsiaTheme="majorEastAsia" w:hAnsi="Times New Roman" w:cs="Times New Roman"/>
      <w:b/>
      <w:color w:val="000000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A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2CC"/>
  </w:style>
  <w:style w:type="paragraph" w:styleId="Footer">
    <w:name w:val="footer"/>
    <w:basedOn w:val="Normal"/>
    <w:link w:val="FooterChar"/>
    <w:uiPriority w:val="99"/>
    <w:unhideWhenUsed/>
    <w:rsid w:val="005F4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2CC"/>
  </w:style>
  <w:style w:type="table" w:styleId="TableGrid">
    <w:name w:val="Table Grid"/>
    <w:basedOn w:val="TableNormal"/>
    <w:uiPriority w:val="39"/>
    <w:rsid w:val="005F4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uiPriority w:val="99"/>
    <w:unhideWhenUsed/>
    <w:rsid w:val="005F42C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F42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42C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F42C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F42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9A33D0-C6CE-3041-A384-295A0ED495EE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d5e0ef2c-f959-4390-9c2b-5c339b1e0d9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E03C10-1CC6-B943-8A3B-A33F6921D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641</Words>
  <Characters>2554</Characters>
  <Application>Microsoft Office Word</Application>
  <DocSecurity>0</DocSecurity>
  <Lines>58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Hồng Quyền</dc:creator>
  <cp:keywords/>
  <dc:description/>
  <cp:lastModifiedBy>Trần Hồng Quyền</cp:lastModifiedBy>
  <cp:revision>2</cp:revision>
  <cp:lastPrinted>2026-10-03T02:33:00Z</cp:lastPrinted>
  <dcterms:created xsi:type="dcterms:W3CDTF">2026-10-03T01:17:00Z</dcterms:created>
  <dcterms:modified xsi:type="dcterms:W3CDTF">2026-10-03T03:07:00Z</dcterms:modified>
</cp:coreProperties>
</file>