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pPr>
    </w:p>
    <w:p>
      <w:pPr>
        <w:spacing w:after="160"/>
      </w:pPr>
      <w:r>
        <w:rPr>
          <w:rFonts w:ascii="Calibri" w:hAnsi="Calibri"/>
          <w:b/>
          <w:color w:val="2E74B5"/>
          <w:sz w:val="20"/>
        </w:rPr>
        <w:t>RESEARCH SOFTWARE ARCHITECTURE</w:t>
      </w:r>
    </w:p>
    <w:p>
      <w:pPr>
        <w:pStyle w:val="Title"/>
        <w:jc w:val="left"/>
      </w:pPr>
      <w:r>
        <w:t>PlantXAI-Stability</w:t>
      </w:r>
    </w:p>
    <w:p>
      <w:pPr>
        <w:pStyle w:val="Subtitle"/>
        <w:jc w:val="left"/>
      </w:pPr>
      <w:r>
        <w:t>System Architecture, Workflow, Pipeline, and Design Specification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tcMar>
              <w:top w:w="80" w:type="dxa"/>
              <w:bottom w:w="80" w:type="dxa"/>
              <w:start w:w="120" w:type="dxa"/>
              <w:end w:w="120" w:type="dxa"/>
            </w:tcMar>
            <w:vAlign w:val="center"/>
            <w:shd w:fill="E8EEF5"/>
          </w:tcPr>
          <w:p>
            <w:pPr>
              <w:spacing w:after="0"/>
              <w:jc w:val="center"/>
            </w:pPr>
            <w:r>
              <w:rPr>
                <w:rFonts w:ascii="Calibri" w:hAnsi="Calibri"/>
                <w:b/>
                <w:color w:val="0B2545"/>
                <w:sz w:val="20"/>
              </w:rPr>
              <w:t>Field</w:t>
            </w:r>
          </w:p>
        </w:tc>
        <w:tc>
          <w:tcPr>
            <w:tcW w:type="dxa" w:w="6660"/>
            <w:tcMar>
              <w:top w:w="80" w:type="dxa"/>
              <w:bottom w:w="80" w:type="dxa"/>
              <w:start w:w="120" w:type="dxa"/>
              <w:end w:w="120" w:type="dxa"/>
            </w:tcMar>
            <w:vAlign w:val="center"/>
            <w:shd w:fill="E8EEF5"/>
          </w:tcPr>
          <w:p>
            <w:pPr>
              <w:spacing w:after="0"/>
              <w:jc w:val="center"/>
            </w:pPr>
            <w:r>
              <w:rPr>
                <w:rFonts w:ascii="Calibri" w:hAnsi="Calibri"/>
                <w:b/>
                <w:color w:val="0B2545"/>
                <w:sz w:val="20"/>
              </w:rPr>
              <w:t>Value</w:t>
            </w:r>
          </w:p>
        </w:tc>
      </w:tr>
      <w:tr>
        <w:tc>
          <w:tcPr>
            <w:tcW w:type="dxa" w:w="2700"/>
          </w:tcPr>
          <w:p>
            <w:pPr>
              <w:spacing w:after="0"/>
              <w:jc w:val="left"/>
            </w:pPr>
            <w:r>
              <w:rPr>
                <w:rFonts w:ascii="Calibri" w:hAnsi="Calibri"/>
                <w:sz w:val="20"/>
              </w:rPr>
              <w:t>Document ID</w:t>
            </w:r>
          </w:p>
        </w:tc>
        <w:tc>
          <w:tcPr>
            <w:tcW w:type="dxa" w:w="6660"/>
          </w:tcPr>
          <w:p>
            <w:pPr>
              <w:spacing w:after="0"/>
              <w:jc w:val="center"/>
            </w:pPr>
            <w:r>
              <w:rPr>
                <w:rFonts w:ascii="Calibri" w:hAnsi="Calibri"/>
                <w:sz w:val="20"/>
              </w:rPr>
              <w:t>PXAI-ARCH-001</w:t>
            </w:r>
          </w:p>
        </w:tc>
      </w:tr>
      <w:tr>
        <w:tc>
          <w:tcPr>
            <w:tcW w:type="dxa" w:w="2700"/>
            <w:shd w:fill="F2F4F7"/>
          </w:tcPr>
          <w:p>
            <w:pPr>
              <w:spacing w:after="0"/>
              <w:jc w:val="left"/>
            </w:pPr>
            <w:r>
              <w:rPr>
                <w:rFonts w:ascii="Calibri" w:hAnsi="Calibri"/>
                <w:sz w:val="20"/>
              </w:rPr>
              <w:t>Version</w:t>
            </w:r>
          </w:p>
        </w:tc>
        <w:tc>
          <w:tcPr>
            <w:tcW w:type="dxa" w:w="6660"/>
            <w:shd w:fill="F2F4F7"/>
          </w:tcPr>
          <w:p>
            <w:pPr>
              <w:spacing w:after="0"/>
              <w:jc w:val="center"/>
            </w:pPr>
            <w:r>
              <w:rPr>
                <w:rFonts w:ascii="Calibri" w:hAnsi="Calibri"/>
                <w:sz w:val="20"/>
              </w:rPr>
              <w:t>1.0</w:t>
            </w:r>
          </w:p>
        </w:tc>
      </w:tr>
      <w:tr>
        <w:tc>
          <w:tcPr>
            <w:tcW w:type="dxa" w:w="2700"/>
          </w:tcPr>
          <w:p>
            <w:pPr>
              <w:spacing w:after="0"/>
              <w:jc w:val="left"/>
            </w:pPr>
            <w:r>
              <w:rPr>
                <w:rFonts w:ascii="Calibri" w:hAnsi="Calibri"/>
                <w:sz w:val="20"/>
              </w:rPr>
              <w:t>Status</w:t>
            </w:r>
          </w:p>
        </w:tc>
        <w:tc>
          <w:tcPr>
            <w:tcW w:type="dxa" w:w="6660"/>
          </w:tcPr>
          <w:p>
            <w:pPr>
              <w:spacing w:after="0"/>
              <w:jc w:val="left"/>
            </w:pPr>
            <w:r>
              <w:rPr>
                <w:rFonts w:ascii="Calibri" w:hAnsi="Calibri"/>
                <w:sz w:val="20"/>
              </w:rPr>
              <w:t>Current implementation baseline</w:t>
            </w:r>
          </w:p>
        </w:tc>
      </w:tr>
      <w:tr>
        <w:tc>
          <w:tcPr>
            <w:tcW w:type="dxa" w:w="2700"/>
            <w:shd w:fill="F2F4F7"/>
          </w:tcPr>
          <w:p>
            <w:pPr>
              <w:spacing w:after="0"/>
              <w:jc w:val="left"/>
            </w:pPr>
            <w:r>
              <w:rPr>
                <w:rFonts w:ascii="Calibri" w:hAnsi="Calibri"/>
                <w:sz w:val="20"/>
              </w:rPr>
              <w:t>Date</w:t>
            </w:r>
          </w:p>
        </w:tc>
        <w:tc>
          <w:tcPr>
            <w:tcW w:type="dxa" w:w="6660"/>
            <w:shd w:fill="F2F4F7"/>
          </w:tcPr>
          <w:p>
            <w:pPr>
              <w:spacing w:after="0"/>
              <w:jc w:val="center"/>
            </w:pPr>
            <w:r>
              <w:rPr>
                <w:rFonts w:ascii="Calibri" w:hAnsi="Calibri"/>
                <w:sz w:val="20"/>
              </w:rPr>
              <w:t>24 July 2026</w:t>
            </w:r>
          </w:p>
        </w:tc>
      </w:tr>
      <w:tr>
        <w:tc>
          <w:tcPr>
            <w:tcW w:type="dxa" w:w="2700"/>
          </w:tcPr>
          <w:p>
            <w:pPr>
              <w:spacing w:after="0"/>
              <w:jc w:val="left"/>
            </w:pPr>
            <w:r>
              <w:rPr>
                <w:rFonts w:ascii="Calibri" w:hAnsi="Calibri"/>
                <w:sz w:val="20"/>
              </w:rPr>
              <w:t>System</w:t>
            </w:r>
          </w:p>
        </w:tc>
        <w:tc>
          <w:tcPr>
            <w:tcW w:type="dxa" w:w="6660"/>
          </w:tcPr>
          <w:p>
            <w:pPr>
              <w:spacing w:after="0"/>
              <w:jc w:val="left"/>
            </w:pPr>
            <w:r>
              <w:rPr>
                <w:rFonts w:ascii="Calibri" w:hAnsi="Calibri"/>
                <w:sz w:val="20"/>
              </w:rPr>
              <w:t>PlantXAI-Stability research software</w:t>
            </w:r>
          </w:p>
        </w:tc>
      </w:tr>
      <w:tr>
        <w:tc>
          <w:tcPr>
            <w:tcW w:type="dxa" w:w="2700"/>
            <w:shd w:fill="F2F4F7"/>
          </w:tcPr>
          <w:p>
            <w:pPr>
              <w:spacing w:after="0"/>
              <w:jc w:val="left"/>
            </w:pPr>
            <w:r>
              <w:rPr>
                <w:rFonts w:ascii="Calibri" w:hAnsi="Calibri"/>
                <w:sz w:val="20"/>
              </w:rPr>
              <w:t>Scope</w:t>
            </w:r>
          </w:p>
        </w:tc>
        <w:tc>
          <w:tcPr>
            <w:tcW w:type="dxa" w:w="6660"/>
            <w:shd w:fill="F2F4F7"/>
          </w:tcPr>
          <w:p>
            <w:pPr>
              <w:spacing w:after="0"/>
              <w:jc w:val="left"/>
            </w:pPr>
            <w:r>
              <w:rPr>
                <w:rFonts w:ascii="Calibri" w:hAnsi="Calibri"/>
                <w:sz w:val="20"/>
              </w:rPr>
              <w:t>Controlled prediction robustness and XAI explanation stability</w:t>
            </w:r>
          </w:p>
        </w:tc>
      </w:tr>
      <w:tr>
        <w:tc>
          <w:tcPr>
            <w:tcW w:type="dxa" w:w="2700"/>
          </w:tcPr>
          <w:p>
            <w:pPr>
              <w:spacing w:after="0"/>
              <w:jc w:val="left"/>
            </w:pPr>
            <w:r>
              <w:rPr>
                <w:rFonts w:ascii="Calibri" w:hAnsi="Calibri"/>
                <w:sz w:val="20"/>
              </w:rPr>
              <w:t>Authority</w:t>
            </w:r>
          </w:p>
        </w:tc>
        <w:tc>
          <w:tcPr>
            <w:tcW w:type="dxa" w:w="6660"/>
          </w:tcPr>
          <w:p>
            <w:pPr>
              <w:spacing w:after="0"/>
              <w:jc w:val="left"/>
            </w:pPr>
            <w:r>
              <w:rPr>
                <w:rFonts w:ascii="Calibri" w:hAnsi="Calibri"/>
                <w:sz w:val="20"/>
              </w:rPr>
              <w:t>Frozen protocol v0.9 and approved Decision Records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pPr>
            <w:r>
              <w:rPr>
                <w:rFonts w:ascii="Calibri" w:hAnsi="Calibri"/>
                <w:b/>
                <w:color w:val="1F4D78"/>
                <w:sz w:val="22"/>
              </w:rPr>
              <w:t xml:space="preserve">Design intent: </w:t>
            </w:r>
            <w:r>
              <w:rPr>
                <w:rFonts w:ascii="Calibri" w:hAnsi="Calibri"/>
                <w:sz w:val="22"/>
              </w:rPr>
              <w:t>This document describes the implemented system. It is not a speculative future-state design and does not replace the frozen scientific protocol or its Decision Records.</w:t>
            </w:r>
          </w:p>
        </w:tc>
      </w:tr>
    </w:tbl>
    <w:p>
      <w:pPr>
        <w:spacing w:after="0"/>
      </w:pPr>
    </w:p>
    <w:p>
      <w:pPr>
        <w:spacing w:before="560" w:after="0"/>
      </w:pPr>
      <w:r>
        <w:rPr>
          <w:rFonts w:ascii="Calibri" w:hAnsi="Calibri"/>
          <w:b/>
          <w:color w:val="1F4D78"/>
          <w:sz w:val="22"/>
        </w:rPr>
        <w:t>Frozen data -&gt; validation-selected models -&gt; authorized test campaign -&gt; paired prediction and XAI evidence -&gt; read-only reporting</w:t>
      </w:r>
      <w:r>
        <w:br w:type="page"/>
      </w:r>
    </w:p>
    <w:p>
      <w:pPr>
        <w:pStyle w:val="Heading1"/>
        <w:keepNext w:val="1"/>
        <w:keepLines w:val="1"/>
      </w:pPr>
      <w:r>
        <w:t>Document Purpose and Scope</w:t>
      </w:r>
    </w:p>
    <w:p>
      <w:r>
        <w:rPr>
          <w:rFonts w:ascii="Calibri" w:hAnsi="Calibri"/>
          <w:sz w:val="22"/>
        </w:rPr>
        <w:t>PlantXAI-Stability is reproducible research software for evaluating how controlled image transformations affect classification predictions and post-hoc visual explanations. The implementation combines deterministic data identity, fail-closed governance, two convolutional backbones, three CAM methods, paired robustness records, leaf-aware statistics, and cryptographically bound reporting artifacts.</w:t>
      </w:r>
    </w:p>
    <w:p>
      <w:r>
        <w:rPr>
          <w:rFonts w:ascii="Calibri" w:hAnsi="Calibri"/>
          <w:sz w:val="22"/>
        </w:rPr>
        <w:t>This architecture specification documents component responsibilities, interfaces, execution workflows, data contracts, security and integrity boundaries, persistence behavior, failure recovery, and operational constraints. Dataset creation history is included for system completeness; routine reproduction may consume the already prepared frozen dataset without repeating preprocessing.</w:t>
      </w:r>
    </w:p>
    <w:p>
      <w:pPr>
        <w:pStyle w:val="Heading2"/>
        <w:keepNext w:val="1"/>
        <w:keepLines w:val="1"/>
      </w:pPr>
      <w:r>
        <w:t>Intended Audience</w:t>
      </w:r>
    </w:p>
    <w:p>
      <w:pPr>
        <w:numPr>
          <w:ilvl w:val="0"/>
          <w:numId w:val="10"/>
        </w:numPr>
      </w:pPr>
      <w:r>
        <w:rPr>
          <w:rFonts w:ascii="Calibri" w:hAnsi="Calibri"/>
          <w:sz w:val="22"/>
        </w:rPr>
        <w:t>Researchers reproducing the experiment in Colab or a local GPU environment.</w:t>
      </w:r>
    </w:p>
    <w:p>
      <w:pPr>
        <w:numPr>
          <w:ilvl w:val="0"/>
          <w:numId w:val="10"/>
        </w:numPr>
      </w:pPr>
      <w:r>
        <w:rPr>
          <w:rFonts w:ascii="Calibri" w:hAnsi="Calibri"/>
          <w:sz w:val="22"/>
        </w:rPr>
        <w:t>Maintainers reviewing module boundaries, runtime invariants, and artifact lineage.</w:t>
      </w:r>
    </w:p>
    <w:p>
      <w:pPr>
        <w:numPr>
          <w:ilvl w:val="0"/>
          <w:numId w:val="10"/>
        </w:numPr>
      </w:pPr>
      <w:r>
        <w:rPr>
          <w:rFonts w:ascii="Calibri" w:hAnsi="Calibri"/>
          <w:sz w:val="22"/>
        </w:rPr>
        <w:t>Project owners approving G0B, G1, G2, recovery, analysis, and reporting gates.</w:t>
      </w:r>
    </w:p>
    <w:p>
      <w:pPr>
        <w:numPr>
          <w:ilvl w:val="0"/>
          <w:numId w:val="10"/>
        </w:numPr>
      </w:pPr>
      <w:r>
        <w:rPr>
          <w:rFonts w:ascii="Calibri" w:hAnsi="Calibri"/>
          <w:sz w:val="22"/>
        </w:rPr>
        <w:t>Auditors validating that test pixels, checkpoint selection, and result reporting remain separated.</w:t>
      </w:r>
    </w:p>
    <w:p>
      <w:pPr>
        <w:pStyle w:val="Heading2"/>
        <w:keepNext w:val="1"/>
        <w:keepLines w:val="1"/>
      </w:pPr>
      <w:r>
        <w:t>Normative Sources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bottom w:w="80" w:type="dxa"/>
              <w:start w:w="120" w:type="dxa"/>
              <w:end w:w="120" w:type="dxa"/>
            </w:tcMar>
            <w:vAlign w:val="center"/>
            <w:shd w:fill="E8EEF5"/>
          </w:tcPr>
          <w:p>
            <w:pPr>
              <w:spacing w:after="0"/>
              <w:jc w:val="center"/>
            </w:pPr>
            <w:r>
              <w:rPr>
                <w:rFonts w:ascii="Calibri" w:hAnsi="Calibri"/>
                <w:b/>
                <w:color w:val="0B2545"/>
                <w:sz w:val="19"/>
              </w:rPr>
              <w:t>Source</w:t>
            </w:r>
          </w:p>
        </w:tc>
        <w:tc>
          <w:tcPr>
            <w:tcW w:type="dxa" w:w="6060"/>
            <w:tcMar>
              <w:top w:w="80" w:type="dxa"/>
              <w:bottom w:w="80" w:type="dxa"/>
              <w:start w:w="120" w:type="dxa"/>
              <w:end w:w="120" w:type="dxa"/>
            </w:tcMar>
            <w:vAlign w:val="center"/>
            <w:shd w:fill="E8EEF5"/>
          </w:tcPr>
          <w:p>
            <w:pPr>
              <w:spacing w:after="0"/>
              <w:jc w:val="center"/>
            </w:pPr>
            <w:r>
              <w:rPr>
                <w:rFonts w:ascii="Calibri" w:hAnsi="Calibri"/>
                <w:b/>
                <w:color w:val="0B2545"/>
                <w:sz w:val="19"/>
              </w:rPr>
              <w:t>Role in the design</w:t>
            </w:r>
          </w:p>
        </w:tc>
      </w:tr>
      <w:tr>
        <w:tc>
          <w:tcPr>
            <w:tcW w:type="dxa" w:w="3300"/>
          </w:tcPr>
          <w:p>
            <w:pPr>
              <w:spacing w:after="0"/>
              <w:jc w:val="left"/>
            </w:pPr>
            <w:r>
              <w:rPr>
                <w:rFonts w:ascii="Calibri" w:hAnsi="Calibri"/>
                <w:sz w:val="19"/>
              </w:rPr>
              <w:t>configs/protocol/v0.9/protocol.yaml</w:t>
            </w:r>
          </w:p>
        </w:tc>
        <w:tc>
          <w:tcPr>
            <w:tcW w:type="dxa" w:w="6060"/>
          </w:tcPr>
          <w:p>
            <w:pPr>
              <w:spacing w:after="0"/>
              <w:jc w:val="left"/>
            </w:pPr>
            <w:r>
              <w:rPr>
                <w:rFonts w:ascii="Calibri" w:hAnsi="Calibri"/>
                <w:sz w:val="19"/>
              </w:rPr>
              <w:t>Frozen scientific configuration and runtime policy.</w:t>
            </w:r>
          </w:p>
        </w:tc>
      </w:tr>
      <w:tr>
        <w:tc>
          <w:tcPr>
            <w:tcW w:type="dxa" w:w="3300"/>
            <w:shd w:fill="F2F4F7"/>
          </w:tcPr>
          <w:p>
            <w:pPr>
              <w:spacing w:after="0"/>
              <w:jc w:val="left"/>
            </w:pPr>
            <w:r>
              <w:rPr>
                <w:rFonts w:ascii="Calibri" w:hAnsi="Calibri"/>
                <w:sz w:val="19"/>
              </w:rPr>
              <w:t>configs/protocol/v0.9/decision_records/</w:t>
            </w:r>
          </w:p>
        </w:tc>
        <w:tc>
          <w:tcPr>
            <w:tcW w:type="dxa" w:w="6060"/>
            <w:shd w:fill="F2F4F7"/>
          </w:tcPr>
          <w:p>
            <w:pPr>
              <w:spacing w:after="0"/>
              <w:jc w:val="left"/>
            </w:pPr>
            <w:r>
              <w:rPr>
                <w:rFonts w:ascii="Calibri" w:hAnsi="Calibri"/>
                <w:sz w:val="19"/>
              </w:rPr>
              <w:t>Human approvals and evidence-bound governance transitions.</w:t>
            </w:r>
          </w:p>
        </w:tc>
      </w:tr>
      <w:tr>
        <w:tc>
          <w:tcPr>
            <w:tcW w:type="dxa" w:w="3300"/>
          </w:tcPr>
          <w:p>
            <w:pPr>
              <w:spacing w:after="0"/>
              <w:jc w:val="left"/>
            </w:pPr>
            <w:r>
              <w:rPr>
                <w:rFonts w:ascii="Calibri" w:hAnsi="Calibri"/>
                <w:sz w:val="19"/>
              </w:rPr>
              <w:t>src/plantxai_stability/</w:t>
            </w:r>
          </w:p>
        </w:tc>
        <w:tc>
          <w:tcPr>
            <w:tcW w:type="dxa" w:w="6060"/>
          </w:tcPr>
          <w:p>
            <w:pPr>
              <w:spacing w:after="0"/>
              <w:jc w:val="left"/>
            </w:pPr>
            <w:r>
              <w:rPr>
                <w:rFonts w:ascii="Calibri" w:hAnsi="Calibri"/>
                <w:sz w:val="19"/>
              </w:rPr>
              <w:t>Reusable implementation modules and fail-closed validators.</w:t>
            </w:r>
          </w:p>
        </w:tc>
      </w:tr>
      <w:tr>
        <w:tc>
          <w:tcPr>
            <w:tcW w:type="dxa" w:w="3300"/>
            <w:shd w:fill="F2F4F7"/>
          </w:tcPr>
          <w:p>
            <w:pPr>
              <w:spacing w:after="0"/>
              <w:jc w:val="left"/>
            </w:pPr>
            <w:r>
              <w:rPr>
                <w:rFonts w:ascii="Calibri" w:hAnsi="Calibri"/>
                <w:sz w:val="19"/>
              </w:rPr>
              <w:t>scripts/</w:t>
            </w:r>
          </w:p>
        </w:tc>
        <w:tc>
          <w:tcPr>
            <w:tcW w:type="dxa" w:w="6060"/>
            <w:shd w:fill="F2F4F7"/>
          </w:tcPr>
          <w:p>
            <w:pPr>
              <w:spacing w:after="0"/>
              <w:jc w:val="left"/>
            </w:pPr>
            <w:r>
              <w:rPr>
                <w:rFonts w:ascii="Calibri" w:hAnsi="Calibri"/>
                <w:sz w:val="19"/>
              </w:rPr>
              <w:t>Operational entry points for audit, train, evaluate, merge, analyze, and report.</w:t>
            </w:r>
          </w:p>
        </w:tc>
      </w:tr>
      <w:tr>
        <w:tc>
          <w:tcPr>
            <w:tcW w:type="dxa" w:w="3300"/>
          </w:tcPr>
          <w:p>
            <w:pPr>
              <w:spacing w:after="0"/>
              <w:jc w:val="left"/>
            </w:pPr>
            <w:r>
              <w:rPr>
                <w:rFonts w:ascii="Calibri" w:hAnsi="Calibri"/>
                <w:sz w:val="19"/>
              </w:rPr>
              <w:t>tests/</w:t>
            </w:r>
          </w:p>
        </w:tc>
        <w:tc>
          <w:tcPr>
            <w:tcW w:type="dxa" w:w="6060"/>
          </w:tcPr>
          <w:p>
            <w:pPr>
              <w:spacing w:after="0"/>
              <w:jc w:val="left"/>
            </w:pPr>
            <w:r>
              <w:rPr>
                <w:rFonts w:ascii="Calibri" w:hAnsi="Calibri"/>
                <w:sz w:val="19"/>
              </w:rPr>
              <w:t>Unit, integration, and scientific invariant verification.</w:t>
            </w:r>
          </w:p>
        </w:tc>
      </w:tr>
      <w:tr>
        <w:tc>
          <w:tcPr>
            <w:tcW w:type="dxa" w:w="3300"/>
            <w:shd w:fill="F2F4F7"/>
          </w:tcPr>
          <w:p>
            <w:pPr>
              <w:spacing w:after="0"/>
              <w:jc w:val="left"/>
            </w:pPr>
            <w:r>
              <w:rPr>
                <w:rFonts w:ascii="Calibri" w:hAnsi="Calibri"/>
                <w:sz w:val="19"/>
              </w:rPr>
              <w:t>docs/colab_workflow.md</w:t>
            </w:r>
          </w:p>
        </w:tc>
        <w:tc>
          <w:tcPr>
            <w:tcW w:type="dxa" w:w="6060"/>
            <w:shd w:fill="F2F4F7"/>
          </w:tcPr>
          <w:p>
            <w:pPr>
              <w:spacing w:after="0"/>
              <w:jc w:val="left"/>
            </w:pPr>
            <w:r>
              <w:rPr>
                <w:rFonts w:ascii="Calibri" w:hAnsi="Calibri"/>
                <w:sz w:val="19"/>
              </w:rPr>
              <w:t>Detailed operational command sequence and storage conventions.</w:t>
            </w:r>
          </w:p>
        </w:tc>
      </w:tr>
    </w:tbl>
    <w:p>
      <w:pPr>
        <w:spacing w:after="0"/>
      </w:pPr>
    </w:p>
    <w:p>
      <w:pPr>
        <w:pStyle w:val="Heading1"/>
        <w:keepNext w:val="1"/>
        <w:keepLines w:val="1"/>
      </w:pPr>
      <w:r>
        <w:t>Contents</w:t>
      </w:r>
    </w:p>
    <w:p>
      <w:pPr>
        <w:numPr>
          <w:ilvl w:val="0"/>
          <w:numId w:val="11"/>
        </w:numPr>
      </w:pPr>
      <w:r>
        <w:rPr>
          <w:rFonts w:ascii="Calibri" w:hAnsi="Calibri"/>
          <w:sz w:val="22"/>
        </w:rPr>
        <w:t>Architecture drivers and system context</w:t>
      </w:r>
    </w:p>
    <w:p>
      <w:pPr>
        <w:numPr>
          <w:ilvl w:val="0"/>
          <w:numId w:val="11"/>
        </w:numPr>
      </w:pPr>
      <w:r>
        <w:rPr>
          <w:rFonts w:ascii="Calibri" w:hAnsi="Calibri"/>
          <w:sz w:val="22"/>
        </w:rPr>
        <w:t>Logical architecture and module catalog</w:t>
      </w:r>
    </w:p>
    <w:p>
      <w:pPr>
        <w:numPr>
          <w:ilvl w:val="0"/>
          <w:numId w:val="11"/>
        </w:numPr>
      </w:pPr>
      <w:r>
        <w:rPr>
          <w:rFonts w:ascii="Calibri" w:hAnsi="Calibri"/>
          <w:sz w:val="22"/>
        </w:rPr>
        <w:t>Data, model, transformation, XAI, and analysis design</w:t>
      </w:r>
    </w:p>
    <w:p>
      <w:pPr>
        <w:numPr>
          <w:ilvl w:val="0"/>
          <w:numId w:val="11"/>
        </w:numPr>
      </w:pPr>
      <w:r>
        <w:rPr>
          <w:rFonts w:ascii="Calibri" w:hAnsi="Calibri"/>
          <w:sz w:val="22"/>
        </w:rPr>
        <w:t>End-to-end workflows and runtime pipelines</w:t>
      </w:r>
    </w:p>
    <w:p>
      <w:pPr>
        <w:numPr>
          <w:ilvl w:val="0"/>
          <w:numId w:val="11"/>
        </w:numPr>
      </w:pPr>
      <w:r>
        <w:rPr>
          <w:rFonts w:ascii="Calibri" w:hAnsi="Calibri"/>
          <w:sz w:val="22"/>
        </w:rPr>
        <w:t>Data contracts, artifacts, integrity, and governance</w:t>
      </w:r>
    </w:p>
    <w:p>
      <w:pPr>
        <w:numPr>
          <w:ilvl w:val="0"/>
          <w:numId w:val="11"/>
        </w:numPr>
      </w:pPr>
      <w:r>
        <w:rPr>
          <w:rFonts w:ascii="Calibri" w:hAnsi="Calibri"/>
          <w:sz w:val="22"/>
        </w:rPr>
        <w:t>Deployment, failure handling, quality attributes, and verification</w:t>
      </w:r>
    </w:p>
    <w:p>
      <w:pPr>
        <w:numPr>
          <w:ilvl w:val="0"/>
          <w:numId w:val="11"/>
        </w:numPr>
      </w:pPr>
      <w:r>
        <w:rPr>
          <w:rFonts w:ascii="Calibri" w:hAnsi="Calibri"/>
          <w:sz w:val="22"/>
        </w:rPr>
        <w:t>Operational script map and design constraints</w:t>
      </w:r>
    </w:p>
    <w:p>
      <w:r>
        <w:br w:type="page"/>
      </w:r>
    </w:p>
    <w:p>
      <w:pPr>
        <w:pStyle w:val="Heading1"/>
        <w:keepNext w:val="1"/>
        <w:keepLines w:val="1"/>
      </w:pPr>
      <w:r>
        <w:t>1. Architecture Drivers</w:t>
      </w:r>
    </w:p>
    <w:p>
      <w:pPr>
        <w:pStyle w:val="Heading2"/>
        <w:keepNext w:val="1"/>
        <w:keepLines w:val="1"/>
      </w:pPr>
      <w:r>
        <w:t>1.1 Scientific Goals</w:t>
      </w:r>
    </w:p>
    <w:p>
      <w:pPr>
        <w:numPr>
          <w:ilvl w:val="0"/>
          <w:numId w:val="10"/>
        </w:numPr>
      </w:pPr>
      <w:r>
        <w:rPr>
          <w:rFonts w:ascii="Calibri" w:hAnsi="Calibri"/>
          <w:sz w:val="22"/>
        </w:rPr>
        <w:t>RQ1: quantify prediction robustness under deterministic rotation, brightness, Gaussian noise, and Gaussian blur.</w:t>
      </w:r>
    </w:p>
    <w:p>
      <w:pPr>
        <w:numPr>
          <w:ilvl w:val="0"/>
          <w:numId w:val="10"/>
        </w:numPr>
      </w:pPr>
      <w:r>
        <w:rPr>
          <w:rFonts w:ascii="Calibri" w:hAnsi="Calibri"/>
          <w:sz w:val="22"/>
        </w:rPr>
        <w:t>RQ2: quantify explanation stability for Grad-CAM, Grad-CAM++, and Score-CAM under the same scenarios.</w:t>
      </w:r>
    </w:p>
    <w:p>
      <w:pPr>
        <w:numPr>
          <w:ilvl w:val="0"/>
          <w:numId w:val="10"/>
        </w:numPr>
      </w:pPr>
      <w:r>
        <w:rPr>
          <w:rFonts w:ascii="Calibri" w:hAnsi="Calibri"/>
          <w:sz w:val="22"/>
        </w:rPr>
        <w:t>RQ3: explore associations between prediction confidence changes and explanation stability without converting them into confirmatory tests.</w:t>
      </w:r>
    </w:p>
    <w:p>
      <w:pPr>
        <w:numPr>
          <w:ilvl w:val="0"/>
          <w:numId w:val="10"/>
        </w:numPr>
      </w:pPr>
      <w:r>
        <w:rPr>
          <w:rFonts w:ascii="Calibri" w:hAnsi="Calibri"/>
          <w:sz w:val="22"/>
        </w:rPr>
        <w:t>Preserve leaf-level biological grouping so uncertainty and paired inference do not treat correlated samples as independent.</w:t>
      </w:r>
    </w:p>
    <w:p>
      <w:pPr>
        <w:pStyle w:val="Heading2"/>
        <w:keepNext w:val="1"/>
        <w:keepLines w:val="1"/>
      </w:pPr>
      <w:r>
        <w:t>1.2 Design Principles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bottom w:w="80" w:type="dxa"/>
              <w:start w:w="120" w:type="dxa"/>
              <w:end w:w="120" w:type="dxa"/>
            </w:tcMar>
            <w:vAlign w:val="center"/>
            <w:shd w:fill="E8EEF5"/>
          </w:tcPr>
          <w:p>
            <w:pPr>
              <w:spacing w:after="0"/>
              <w:jc w:val="center"/>
            </w:pPr>
            <w:r>
              <w:rPr>
                <w:rFonts w:ascii="Calibri" w:hAnsi="Calibri"/>
                <w:b/>
                <w:color w:val="0B2545"/>
                <w:sz w:val="19"/>
              </w:rPr>
              <w:t>Principle</w:t>
            </w:r>
          </w:p>
        </w:tc>
        <w:tc>
          <w:tcPr>
            <w:tcW w:type="dxa" w:w="7060"/>
            <w:tcMar>
              <w:top w:w="80" w:type="dxa"/>
              <w:bottom w:w="80" w:type="dxa"/>
              <w:start w:w="120" w:type="dxa"/>
              <w:end w:w="120" w:type="dxa"/>
            </w:tcMar>
            <w:vAlign w:val="center"/>
            <w:shd w:fill="E8EEF5"/>
          </w:tcPr>
          <w:p>
            <w:pPr>
              <w:spacing w:after="0"/>
              <w:jc w:val="center"/>
            </w:pPr>
            <w:r>
              <w:rPr>
                <w:rFonts w:ascii="Calibri" w:hAnsi="Calibri"/>
                <w:b/>
                <w:color w:val="0B2545"/>
                <w:sz w:val="19"/>
              </w:rPr>
              <w:t>Architectural implication</w:t>
            </w:r>
          </w:p>
        </w:tc>
      </w:tr>
      <w:tr>
        <w:tc>
          <w:tcPr>
            <w:tcW w:type="dxa" w:w="2300"/>
          </w:tcPr>
          <w:p>
            <w:pPr>
              <w:spacing w:after="0"/>
              <w:jc w:val="left"/>
            </w:pPr>
            <w:r>
              <w:rPr>
                <w:rFonts w:ascii="Calibri" w:hAnsi="Calibri"/>
                <w:sz w:val="19"/>
              </w:rPr>
              <w:t>Fail closed</w:t>
            </w:r>
          </w:p>
        </w:tc>
        <w:tc>
          <w:tcPr>
            <w:tcW w:type="dxa" w:w="7060"/>
          </w:tcPr>
          <w:p>
            <w:pPr>
              <w:spacing w:after="0"/>
              <w:jc w:val="left"/>
            </w:pPr>
            <w:r>
              <w:rPr>
                <w:rFonts w:ascii="Calibri" w:hAnsi="Calibri"/>
                <w:sz w:val="19"/>
              </w:rPr>
              <w:t>Missing approval, hash mismatch, incomplete coverage, or ambiguous identity terminates the run before protected data are used.</w:t>
            </w:r>
          </w:p>
        </w:tc>
      </w:tr>
      <w:tr>
        <w:tc>
          <w:tcPr>
            <w:tcW w:type="dxa" w:w="2300"/>
            <w:shd w:fill="F2F4F7"/>
          </w:tcPr>
          <w:p>
            <w:pPr>
              <w:spacing w:after="0"/>
              <w:jc w:val="left"/>
            </w:pPr>
            <w:r>
              <w:rPr>
                <w:rFonts w:ascii="Calibri" w:hAnsi="Calibri"/>
                <w:sz w:val="19"/>
              </w:rPr>
              <w:t>Immutable identity</w:t>
            </w:r>
          </w:p>
        </w:tc>
        <w:tc>
          <w:tcPr>
            <w:tcW w:type="dxa" w:w="7060"/>
            <w:shd w:fill="F2F4F7"/>
          </w:tcPr>
          <w:p>
            <w:pPr>
              <w:spacing w:after="0"/>
              <w:jc w:val="left"/>
            </w:pPr>
            <w:r>
              <w:rPr>
                <w:rFonts w:ascii="Calibri" w:hAnsi="Calibri"/>
                <w:sz w:val="19"/>
              </w:rPr>
              <w:t>Samples, manifests, checkpoints, scenarios, results, and reports are identified by stable keys and SHA-256 evidence.</w:t>
            </w:r>
          </w:p>
        </w:tc>
      </w:tr>
      <w:tr>
        <w:tc>
          <w:tcPr>
            <w:tcW w:type="dxa" w:w="2300"/>
          </w:tcPr>
          <w:p>
            <w:pPr>
              <w:spacing w:after="0"/>
              <w:jc w:val="left"/>
            </w:pPr>
            <w:r>
              <w:rPr>
                <w:rFonts w:ascii="Calibri" w:hAnsi="Calibri"/>
                <w:sz w:val="19"/>
              </w:rPr>
              <w:t>Validation before test</w:t>
            </w:r>
          </w:p>
        </w:tc>
        <w:tc>
          <w:tcPr>
            <w:tcW w:type="dxa" w:w="7060"/>
          </w:tcPr>
          <w:p>
            <w:pPr>
              <w:spacing w:after="0"/>
              <w:jc w:val="left"/>
            </w:pPr>
            <w:r>
              <w:rPr>
                <w:rFonts w:ascii="Calibri" w:hAnsi="Calibri"/>
                <w:sz w:val="19"/>
              </w:rPr>
              <w:t>Checkpoint selection and validation audit are completed without official-test pixel access.</w:t>
            </w:r>
          </w:p>
        </w:tc>
      </w:tr>
      <w:tr>
        <w:tc>
          <w:tcPr>
            <w:tcW w:type="dxa" w:w="2300"/>
            <w:shd w:fill="F2F4F7"/>
          </w:tcPr>
          <w:p>
            <w:pPr>
              <w:spacing w:after="0"/>
              <w:jc w:val="left"/>
            </w:pPr>
            <w:r>
              <w:rPr>
                <w:rFonts w:ascii="Calibri" w:hAnsi="Calibri"/>
                <w:sz w:val="19"/>
              </w:rPr>
              <w:t>Deterministic execution</w:t>
            </w:r>
          </w:p>
        </w:tc>
        <w:tc>
          <w:tcPr>
            <w:tcW w:type="dxa" w:w="7060"/>
            <w:shd w:fill="F2F4F7"/>
          </w:tcPr>
          <w:p>
            <w:pPr>
              <w:spacing w:after="0"/>
              <w:jc w:val="left"/>
            </w:pPr>
            <w:r>
              <w:rPr>
                <w:rFonts w:ascii="Calibri" w:hAnsi="Calibri"/>
                <w:sz w:val="19"/>
              </w:rPr>
              <w:t>Seed derivation, DataLoader order, transformations, training settings, and resume state are explicit.</w:t>
            </w:r>
          </w:p>
        </w:tc>
      </w:tr>
      <w:tr>
        <w:tc>
          <w:tcPr>
            <w:tcW w:type="dxa" w:w="2300"/>
          </w:tcPr>
          <w:p>
            <w:pPr>
              <w:spacing w:after="0"/>
              <w:jc w:val="left"/>
            </w:pPr>
            <w:r>
              <w:rPr>
                <w:rFonts w:ascii="Calibri" w:hAnsi="Calibri"/>
                <w:sz w:val="19"/>
              </w:rPr>
              <w:t>Paired evidence</w:t>
            </w:r>
          </w:p>
        </w:tc>
        <w:tc>
          <w:tcPr>
            <w:tcW w:type="dxa" w:w="7060"/>
          </w:tcPr>
          <w:p>
            <w:pPr>
              <w:spacing w:after="0"/>
              <w:jc w:val="left"/>
            </w:pPr>
            <w:r>
              <w:rPr>
                <w:rFonts w:ascii="Calibri" w:hAnsi="Calibri"/>
                <w:sz w:val="19"/>
              </w:rPr>
              <w:t>Original and transformed observations share sample, model, scenario, target-class, and method identities.</w:t>
            </w:r>
          </w:p>
        </w:tc>
      </w:tr>
      <w:tr>
        <w:tc>
          <w:tcPr>
            <w:tcW w:type="dxa" w:w="2300"/>
            <w:shd w:fill="F2F4F7"/>
          </w:tcPr>
          <w:p>
            <w:pPr>
              <w:spacing w:after="0"/>
              <w:jc w:val="left"/>
            </w:pPr>
            <w:r>
              <w:rPr>
                <w:rFonts w:ascii="Calibri" w:hAnsi="Calibri"/>
                <w:sz w:val="19"/>
              </w:rPr>
              <w:t>Explicit exclusions</w:t>
            </w:r>
          </w:p>
        </w:tc>
        <w:tc>
          <w:tcPr>
            <w:tcW w:type="dxa" w:w="7060"/>
            <w:shd w:fill="F2F4F7"/>
          </w:tcPr>
          <w:p>
            <w:pPr>
              <w:spacing w:after="0"/>
              <w:jc w:val="left"/>
            </w:pPr>
            <w:r>
              <w:rPr>
                <w:rFonts w:ascii="Calibri" w:hAnsi="Calibri"/>
                <w:sz w:val="19"/>
              </w:rPr>
              <w:t>Invalid or non-comparable XAI records are retained with reason codes rather than silently dropped.</w:t>
            </w:r>
          </w:p>
        </w:tc>
      </w:tr>
      <w:tr>
        <w:tc>
          <w:tcPr>
            <w:tcW w:type="dxa" w:w="2300"/>
          </w:tcPr>
          <w:p>
            <w:pPr>
              <w:spacing w:after="0"/>
              <w:jc w:val="left"/>
            </w:pPr>
            <w:r>
              <w:rPr>
                <w:rFonts w:ascii="Calibri" w:hAnsi="Calibri"/>
                <w:sz w:val="19"/>
              </w:rPr>
              <w:t>Separation of concerns</w:t>
            </w:r>
          </w:p>
        </w:tc>
        <w:tc>
          <w:tcPr>
            <w:tcW w:type="dxa" w:w="7060"/>
          </w:tcPr>
          <w:p>
            <w:pPr>
              <w:spacing w:after="0"/>
              <w:jc w:val="left"/>
            </w:pPr>
            <w:r>
              <w:rPr>
                <w:rFonts w:ascii="Calibri" w:hAnsi="Calibri"/>
                <w:sz w:val="19"/>
              </w:rPr>
              <w:t>Data preparation, training, authorization, evaluation, analysis, and reporting are distinct stages.</w:t>
            </w:r>
          </w:p>
        </w:tc>
      </w:tr>
      <w:tr>
        <w:tc>
          <w:tcPr>
            <w:tcW w:type="dxa" w:w="2300"/>
            <w:shd w:fill="F2F4F7"/>
          </w:tcPr>
          <w:p>
            <w:pPr>
              <w:spacing w:after="0"/>
              <w:jc w:val="left"/>
            </w:pPr>
            <w:r>
              <w:rPr>
                <w:rFonts w:ascii="Calibri" w:hAnsi="Calibri"/>
                <w:sz w:val="19"/>
              </w:rPr>
              <w:t>Read-only reporting</w:t>
            </w:r>
          </w:p>
        </w:tc>
        <w:tc>
          <w:tcPr>
            <w:tcW w:type="dxa" w:w="7060"/>
            <w:shd w:fill="F2F4F7"/>
          </w:tcPr>
          <w:p>
            <w:pPr>
              <w:spacing w:after="0"/>
              <w:jc w:val="left"/>
            </w:pPr>
            <w:r>
              <w:rPr>
                <w:rFonts w:ascii="Calibri" w:hAnsi="Calibri"/>
                <w:sz w:val="19"/>
              </w:rPr>
              <w:t>Publication tables and figures are generated only from the frozen statistical-analysis artifacts.</w:t>
            </w:r>
          </w:p>
        </w:tc>
      </w:tr>
    </w:tbl>
    <w:p>
      <w:pPr>
        <w:spacing w:after="0"/>
      </w:pPr>
    </w:p>
    <w:p>
      <w:pPr>
        <w:pStyle w:val="Heading2"/>
        <w:keepNext w:val="1"/>
        <w:keepLines w:val="1"/>
      </w:pPr>
      <w:r>
        <w:t>1.3 Quality Attributes</w:t>
      </w:r>
    </w:p>
    <w:p>
      <w:pPr>
        <w:numPr>
          <w:ilvl w:val="0"/>
          <w:numId w:val="10"/>
        </w:numPr>
      </w:pPr>
      <w:r>
        <w:rPr>
          <w:rFonts w:ascii="Calibri" w:hAnsi="Calibri"/>
          <w:sz w:val="22"/>
        </w:rPr>
        <w:t>Reproducibility: deterministic seeds, pinned source revision, immutable manifests, and environment capture.</w:t>
      </w:r>
    </w:p>
    <w:p>
      <w:pPr>
        <w:numPr>
          <w:ilvl w:val="0"/>
          <w:numId w:val="10"/>
        </w:numPr>
      </w:pPr>
      <w:r>
        <w:rPr>
          <w:rFonts w:ascii="Calibri" w:hAnsi="Calibri"/>
          <w:sz w:val="22"/>
        </w:rPr>
        <w:t>Auditability: machine-readable records, child artifact hashes, Decision Records, and explicit acceptance criteria.</w:t>
      </w:r>
    </w:p>
    <w:p>
      <w:pPr>
        <w:numPr>
          <w:ilvl w:val="0"/>
          <w:numId w:val="10"/>
        </w:numPr>
      </w:pPr>
      <w:r>
        <w:rPr>
          <w:rFonts w:ascii="Calibri" w:hAnsi="Calibri"/>
          <w:sz w:val="22"/>
        </w:rPr>
        <w:t>Integrity: canonical RGB hashing, lineage reconciliation, exact split coverage, and fail-closed authorization.</w:t>
      </w:r>
    </w:p>
    <w:p>
      <w:pPr>
        <w:numPr>
          <w:ilvl w:val="0"/>
          <w:numId w:val="10"/>
        </w:numPr>
      </w:pPr>
      <w:r>
        <w:rPr>
          <w:rFonts w:ascii="Calibri" w:hAnsi="Calibri"/>
          <w:sz w:val="22"/>
        </w:rPr>
        <w:t>Resumability: atomic epoch checkpoints and transactional per-sample joint evaluation.</w:t>
      </w:r>
    </w:p>
    <w:p>
      <w:pPr>
        <w:numPr>
          <w:ilvl w:val="0"/>
          <w:numId w:val="10"/>
        </w:numPr>
      </w:pPr>
      <w:r>
        <w:rPr>
          <w:rFonts w:ascii="Calibri" w:hAnsi="Calibri"/>
          <w:sz w:val="22"/>
        </w:rPr>
        <w:t>Portability: Python package APIs and CLI runners support local, Colab GPU, and CPU-only analysis environments.</w:t>
      </w:r>
    </w:p>
    <w:p>
      <w:pPr>
        <w:numPr>
          <w:ilvl w:val="0"/>
          <w:numId w:val="10"/>
        </w:numPr>
      </w:pPr>
      <w:r>
        <w:rPr>
          <w:rFonts w:ascii="Calibri" w:hAnsi="Calibri"/>
          <w:sz w:val="22"/>
        </w:rPr>
        <w:t>Scientific validity: leaf-aware resampling, predeclared comparisons, paired keys, and Holm correction.</w:t>
      </w:r>
    </w:p>
    <w:p>
      <w:pPr>
        <w:pStyle w:val="Heading1"/>
        <w:keepNext w:val="1"/>
        <w:keepLines w:val="1"/>
      </w:pPr>
      <w:r>
        <w:t>2. System Context</w:t>
      </w:r>
    </w:p>
    <w:p>
      <w:r>
        <w:rPr>
          <w:rFonts w:ascii="Calibri" w:hAnsi="Calibri"/>
          <w:sz w:val="22"/>
        </w:rPr>
        <w:t>The system sits between a pinned PlantVillage data source and an external research reporting environment. Its trust boundary includes the repository code, frozen protocol, Decision Records, prepared image store, frozen manifest, approved checkpoints, and immutable run outputs. Google Drive or equivalent object storage provides durable storage for Colab execution but is not the authority for scientific identity; content hashes are.</w:t>
      </w:r>
    </w:p>
    <w:p>
      <w:pPr>
        <w:spacing w:before="80" w:after="40"/>
        <w:jc w:val="center"/>
      </w:pPr>
      <w:r>
        <w:drawing>
          <wp:inline xmlns:a="http://schemas.openxmlformats.org/drawingml/2006/main" xmlns:pic="http://schemas.openxmlformats.org/drawingml/2006/picture">
            <wp:extent cx="5943600" cy="3962400"/>
            <wp:docPr id="1" name="Picture 1" descr="Figure 1. Implemented architecture and cross-cutting scientific controls."/>
            <wp:cNvGraphicFramePr>
              <a:graphicFrameLocks noChangeAspect="1"/>
            </wp:cNvGraphicFramePr>
            <a:graphic>
              <a:graphicData uri="http://schemas.openxmlformats.org/drawingml/2006/picture">
                <pic:pic>
                  <pic:nvPicPr>
                    <pic:cNvPr id="0" name="plantxai_stability_architecture.png"/>
                    <pic:cNvPicPr/>
                  </pic:nvPicPr>
                  <pic:blipFill>
                    <a:blip r:embed="rId9"/>
                    <a:stretch>
                      <a:fillRect/>
                    </a:stretch>
                  </pic:blipFill>
                  <pic:spPr>
                    <a:xfrm>
                      <a:off x="0" y="0"/>
                      <a:ext cx="5943600" cy="3962400"/>
                    </a:xfrm>
                    <a:prstGeom prst="rect"/>
                  </pic:spPr>
                </pic:pic>
              </a:graphicData>
            </a:graphic>
          </wp:inline>
        </w:drawing>
      </w:r>
    </w:p>
    <w:p>
      <w:pPr>
        <w:pStyle w:val="Caption"/>
        <w:keepLines w:val="1"/>
      </w:pPr>
      <w:r>
        <w:t>Figure 1. Implemented architecture and cross-cutting scientific controls.</w:t>
      </w:r>
    </w:p>
    <w:p>
      <w:pPr>
        <w:pStyle w:val="Heading2"/>
        <w:keepNext w:val="1"/>
        <w:keepLines w:val="1"/>
      </w:pPr>
      <w:r>
        <w:t>2.1 External Actors and Systems</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rPr>
          <w:tblHeader w:val="true"/>
        </w:trPr>
        <w:tc>
          <w:tcPr>
            <w:tcW w:type="dxa" w:w="1900"/>
            <w:tcMar>
              <w:top w:w="80" w:type="dxa"/>
              <w:bottom w:w="80" w:type="dxa"/>
              <w:start w:w="120" w:type="dxa"/>
              <w:end w:w="120" w:type="dxa"/>
            </w:tcMar>
            <w:vAlign w:val="center"/>
            <w:shd w:fill="E8EEF5"/>
          </w:tcPr>
          <w:p>
            <w:pPr>
              <w:spacing w:after="0"/>
              <w:jc w:val="center"/>
            </w:pPr>
            <w:r>
              <w:rPr>
                <w:rFonts w:ascii="Calibri" w:hAnsi="Calibri"/>
                <w:b/>
                <w:color w:val="0B2545"/>
                <w:sz w:val="18"/>
              </w:rPr>
              <w:t>Actor or system</w:t>
            </w:r>
          </w:p>
        </w:tc>
        <w:tc>
          <w:tcPr>
            <w:tcW w:type="dxa" w:w="3500"/>
            <w:tcMar>
              <w:top w:w="80" w:type="dxa"/>
              <w:bottom w:w="80" w:type="dxa"/>
              <w:start w:w="120" w:type="dxa"/>
              <w:end w:w="120" w:type="dxa"/>
            </w:tcMar>
            <w:vAlign w:val="center"/>
            <w:shd w:fill="E8EEF5"/>
          </w:tcPr>
          <w:p>
            <w:pPr>
              <w:spacing w:after="0"/>
              <w:jc w:val="center"/>
            </w:pPr>
            <w:r>
              <w:rPr>
                <w:rFonts w:ascii="Calibri" w:hAnsi="Calibri"/>
                <w:b/>
                <w:color w:val="0B2545"/>
                <w:sz w:val="18"/>
              </w:rPr>
              <w:t>Responsibility</w:t>
            </w:r>
          </w:p>
        </w:tc>
        <w:tc>
          <w:tcPr>
            <w:tcW w:type="dxa" w:w="3960"/>
            <w:tcMar>
              <w:top w:w="80" w:type="dxa"/>
              <w:bottom w:w="80" w:type="dxa"/>
              <w:start w:w="120" w:type="dxa"/>
              <w:end w:w="120" w:type="dxa"/>
            </w:tcMar>
            <w:vAlign w:val="center"/>
            <w:shd w:fill="E8EEF5"/>
          </w:tcPr>
          <w:p>
            <w:pPr>
              <w:spacing w:after="0"/>
              <w:jc w:val="center"/>
            </w:pPr>
            <w:r>
              <w:rPr>
                <w:rFonts w:ascii="Calibri" w:hAnsi="Calibri"/>
                <w:b/>
                <w:color w:val="0B2545"/>
                <w:sz w:val="18"/>
              </w:rPr>
              <w:t>Trust condition</w:t>
            </w:r>
          </w:p>
        </w:tc>
      </w:tr>
      <w:tr>
        <w:tc>
          <w:tcPr>
            <w:tcW w:type="dxa" w:w="1900"/>
          </w:tcPr>
          <w:p>
            <w:pPr>
              <w:spacing w:after="0"/>
              <w:jc w:val="left"/>
            </w:pPr>
            <w:r>
              <w:rPr>
                <w:rFonts w:ascii="Calibri" w:hAnsi="Calibri"/>
                <w:sz w:val="18"/>
              </w:rPr>
              <w:t>Project owner</w:t>
            </w:r>
          </w:p>
        </w:tc>
        <w:tc>
          <w:tcPr>
            <w:tcW w:type="dxa" w:w="3500"/>
          </w:tcPr>
          <w:p>
            <w:pPr>
              <w:spacing w:after="0"/>
              <w:jc w:val="left"/>
            </w:pPr>
            <w:r>
              <w:rPr>
                <w:rFonts w:ascii="Calibri" w:hAnsi="Calibri"/>
                <w:sz w:val="18"/>
              </w:rPr>
              <w:t>Approves Decision Records and claim boundaries.</w:t>
            </w:r>
          </w:p>
        </w:tc>
        <w:tc>
          <w:tcPr>
            <w:tcW w:type="dxa" w:w="3960"/>
          </w:tcPr>
          <w:p>
            <w:pPr>
              <w:spacing w:after="0"/>
              <w:jc w:val="left"/>
            </w:pPr>
            <w:r>
              <w:rPr>
                <w:rFonts w:ascii="Calibri" w:hAnsi="Calibri"/>
                <w:sz w:val="18"/>
              </w:rPr>
              <w:t>Approval must bind exact evidence hashes.</w:t>
            </w:r>
          </w:p>
        </w:tc>
      </w:tr>
      <w:tr>
        <w:tc>
          <w:tcPr>
            <w:tcW w:type="dxa" w:w="1900"/>
            <w:shd w:fill="F2F4F7"/>
          </w:tcPr>
          <w:p>
            <w:pPr>
              <w:spacing w:after="0"/>
              <w:jc w:val="left"/>
            </w:pPr>
            <w:r>
              <w:rPr>
                <w:rFonts w:ascii="Calibri" w:hAnsi="Calibri"/>
                <w:sz w:val="18"/>
              </w:rPr>
              <w:t>Research operator</w:t>
            </w:r>
          </w:p>
        </w:tc>
        <w:tc>
          <w:tcPr>
            <w:tcW w:type="dxa" w:w="3500"/>
            <w:shd w:fill="F2F4F7"/>
          </w:tcPr>
          <w:p>
            <w:pPr>
              <w:spacing w:after="0"/>
              <w:jc w:val="left"/>
            </w:pPr>
            <w:r>
              <w:rPr>
                <w:rFonts w:ascii="Calibri" w:hAnsi="Calibri"/>
                <w:sz w:val="18"/>
              </w:rPr>
              <w:t>Runs scripts in the declared order and preserves outputs.</w:t>
            </w:r>
          </w:p>
        </w:tc>
        <w:tc>
          <w:tcPr>
            <w:tcW w:type="dxa" w:w="3960"/>
            <w:shd w:fill="F2F4F7"/>
          </w:tcPr>
          <w:p>
            <w:pPr>
              <w:spacing w:after="0"/>
              <w:jc w:val="left"/>
            </w:pPr>
            <w:r>
              <w:rPr>
                <w:rFonts w:ascii="Calibri" w:hAnsi="Calibri"/>
                <w:sz w:val="18"/>
              </w:rPr>
              <w:t>Must not tune from official-test observations.</w:t>
            </w:r>
          </w:p>
        </w:tc>
      </w:tr>
      <w:tr>
        <w:tc>
          <w:tcPr>
            <w:tcW w:type="dxa" w:w="1900"/>
          </w:tcPr>
          <w:p>
            <w:pPr>
              <w:spacing w:after="0"/>
              <w:jc w:val="left"/>
            </w:pPr>
            <w:r>
              <w:rPr>
                <w:rFonts w:ascii="Calibri" w:hAnsi="Calibri"/>
                <w:sz w:val="18"/>
              </w:rPr>
              <w:t>Hugging Face / source archive</w:t>
            </w:r>
          </w:p>
        </w:tc>
        <w:tc>
          <w:tcPr>
            <w:tcW w:type="dxa" w:w="3500"/>
          </w:tcPr>
          <w:p>
            <w:pPr>
              <w:spacing w:after="0"/>
              <w:jc w:val="left"/>
            </w:pPr>
            <w:r>
              <w:rPr>
                <w:rFonts w:ascii="Calibri" w:hAnsi="Calibri"/>
                <w:sz w:val="18"/>
              </w:rPr>
              <w:t>Supplies the pinned PlantVillage revision and source metadata.</w:t>
            </w:r>
          </w:p>
        </w:tc>
        <w:tc>
          <w:tcPr>
            <w:tcW w:type="dxa" w:w="3960"/>
          </w:tcPr>
          <w:p>
            <w:pPr>
              <w:spacing w:after="0"/>
              <w:jc w:val="left"/>
            </w:pPr>
            <w:r>
              <w:rPr>
                <w:rFonts w:ascii="Calibri" w:hAnsi="Calibri"/>
                <w:sz w:val="18"/>
              </w:rPr>
              <w:t>Revision and source evidence must match the protocol.</w:t>
            </w:r>
          </w:p>
        </w:tc>
      </w:tr>
      <w:tr>
        <w:tc>
          <w:tcPr>
            <w:tcW w:type="dxa" w:w="1900"/>
            <w:shd w:fill="F2F4F7"/>
          </w:tcPr>
          <w:p>
            <w:pPr>
              <w:spacing w:after="0"/>
              <w:jc w:val="left"/>
            </w:pPr>
            <w:r>
              <w:rPr>
                <w:rFonts w:ascii="Calibri" w:hAnsi="Calibri"/>
                <w:sz w:val="18"/>
              </w:rPr>
              <w:t>GPU runtime</w:t>
            </w:r>
          </w:p>
        </w:tc>
        <w:tc>
          <w:tcPr>
            <w:tcW w:type="dxa" w:w="3500"/>
            <w:shd w:fill="F2F4F7"/>
          </w:tcPr>
          <w:p>
            <w:pPr>
              <w:spacing w:after="0"/>
              <w:jc w:val="left"/>
            </w:pPr>
            <w:r>
              <w:rPr>
                <w:rFonts w:ascii="Calibri" w:hAnsi="Calibri"/>
                <w:sz w:val="18"/>
              </w:rPr>
              <w:t>Executes training, baseline inference, and CAM generation.</w:t>
            </w:r>
          </w:p>
        </w:tc>
        <w:tc>
          <w:tcPr>
            <w:tcW w:type="dxa" w:w="3960"/>
            <w:shd w:fill="F2F4F7"/>
          </w:tcPr>
          <w:p>
            <w:pPr>
              <w:spacing w:after="0"/>
              <w:jc w:val="left"/>
            </w:pPr>
            <w:r>
              <w:rPr>
                <w:rFonts w:ascii="Calibri" w:hAnsi="Calibri"/>
                <w:sz w:val="18"/>
              </w:rPr>
              <w:t>Runtime identity and deterministic settings are recorded.</w:t>
            </w:r>
          </w:p>
        </w:tc>
      </w:tr>
      <w:tr>
        <w:tc>
          <w:tcPr>
            <w:tcW w:type="dxa" w:w="1900"/>
          </w:tcPr>
          <w:p>
            <w:pPr>
              <w:spacing w:after="0"/>
              <w:jc w:val="left"/>
            </w:pPr>
            <w:r>
              <w:rPr>
                <w:rFonts w:ascii="Calibri" w:hAnsi="Calibri"/>
                <w:sz w:val="18"/>
              </w:rPr>
              <w:t>Durable storage</w:t>
            </w:r>
          </w:p>
        </w:tc>
        <w:tc>
          <w:tcPr>
            <w:tcW w:type="dxa" w:w="3500"/>
          </w:tcPr>
          <w:p>
            <w:pPr>
              <w:spacing w:after="0"/>
              <w:jc w:val="left"/>
            </w:pPr>
            <w:r>
              <w:rPr>
                <w:rFonts w:ascii="Calibri" w:hAnsi="Calibri"/>
                <w:sz w:val="18"/>
              </w:rPr>
              <w:t>Persists checkpoints, SQLite progress, merged results, and reports.</w:t>
            </w:r>
          </w:p>
        </w:tc>
        <w:tc>
          <w:tcPr>
            <w:tcW w:type="dxa" w:w="3960"/>
          </w:tcPr>
          <w:p>
            <w:pPr>
              <w:spacing w:after="0"/>
              <w:jc w:val="left"/>
            </w:pPr>
            <w:r>
              <w:rPr>
                <w:rFonts w:ascii="Calibri" w:hAnsi="Calibri"/>
                <w:sz w:val="18"/>
              </w:rPr>
              <w:t>Files are validated by hashes, not path alone.</w:t>
            </w:r>
          </w:p>
        </w:tc>
      </w:tr>
      <w:tr>
        <w:tc>
          <w:tcPr>
            <w:tcW w:type="dxa" w:w="1900"/>
            <w:shd w:fill="F2F4F7"/>
          </w:tcPr>
          <w:p>
            <w:pPr>
              <w:spacing w:after="0"/>
              <w:jc w:val="left"/>
            </w:pPr>
            <w:r>
              <w:rPr>
                <w:rFonts w:ascii="Calibri" w:hAnsi="Calibri"/>
                <w:sz w:val="18"/>
              </w:rPr>
              <w:t>Reporting workspace</w:t>
            </w:r>
          </w:p>
        </w:tc>
        <w:tc>
          <w:tcPr>
            <w:tcW w:type="dxa" w:w="3500"/>
            <w:shd w:fill="F2F4F7"/>
          </w:tcPr>
          <w:p>
            <w:pPr>
              <w:spacing w:after="0"/>
              <w:jc w:val="left"/>
            </w:pPr>
            <w:r>
              <w:rPr>
                <w:rFonts w:ascii="Calibri" w:hAnsi="Calibri"/>
                <w:sz w:val="18"/>
              </w:rPr>
              <w:t>Consumes frozen analysis CSV/JSON to produce publication artifacts.</w:t>
            </w:r>
          </w:p>
        </w:tc>
        <w:tc>
          <w:tcPr>
            <w:tcW w:type="dxa" w:w="3960"/>
            <w:shd w:fill="F2F4F7"/>
          </w:tcPr>
          <w:p>
            <w:pPr>
              <w:spacing w:after="0"/>
              <w:jc w:val="left"/>
            </w:pPr>
            <w:r>
              <w:rPr>
                <w:rFonts w:ascii="Calibri" w:hAnsi="Calibri"/>
                <w:sz w:val="18"/>
              </w:rPr>
              <w:t>No pixels, checkpoints, predictions, or tests may be recomputed.</w:t>
            </w:r>
          </w:p>
        </w:tc>
      </w:tr>
    </w:tbl>
    <w:p>
      <w:pPr>
        <w:spacing w:after="0"/>
      </w:pPr>
    </w:p>
    <w:p>
      <w:r>
        <w:br w:type="page"/>
      </w:r>
    </w:p>
    <w:p>
      <w:pPr>
        <w:pStyle w:val="Heading1"/>
        <w:keepNext w:val="1"/>
        <w:keepLines w:val="1"/>
      </w:pPr>
      <w:r>
        <w:t>3. Logical Architecture</w:t>
      </w:r>
    </w:p>
    <w:p>
      <w:r>
        <w:rPr>
          <w:rFonts w:ascii="Calibri" w:hAnsi="Calibri"/>
          <w:sz w:val="22"/>
        </w:rPr>
        <w:t>The codebase follows a layered architecture. Lower layers establish identity and deterministic data access. Middle layers implement models, transformations, inference, CAM generation, and transactional execution. Upper layers enforce governance, analysis authorization, statistical inference, recovery, and reporting.</w:t>
      </w:r>
    </w:p>
    <w:tbl>
      <w:tblPr>
        <w:tblStyle w:val="TableGrid"/>
        <w:tblW w:type="dxa" w:w="9360"/>
        <w:jc w:val="left"/>
        <w:tblLayout w:type="fixed"/>
        <w:tblLook w:firstColumn="1" w:firstRow="1" w:lastColumn="0" w:lastRow="0" w:noHBand="0" w:noVBand="1" w:val="04A0"/>
        <w:tblInd w:w="120" w:type="dxa"/>
      </w:tblPr>
      <w:tblGrid>
        <w:gridCol w:w="2000"/>
        <w:gridCol w:w="3200"/>
        <w:gridCol w:w="4160"/>
      </w:tblGrid>
      <w:tr>
        <w:trPr>
          <w:tblHeader w:val="true"/>
        </w:trPr>
        <w:tc>
          <w:tcPr>
            <w:tcW w:type="dxa" w:w="2000"/>
            <w:tcMar>
              <w:top w:w="80" w:type="dxa"/>
              <w:bottom w:w="80" w:type="dxa"/>
              <w:start w:w="120" w:type="dxa"/>
              <w:end w:w="120" w:type="dxa"/>
            </w:tcMar>
            <w:vAlign w:val="center"/>
            <w:shd w:fill="E8EEF5"/>
          </w:tcPr>
          <w:p>
            <w:pPr>
              <w:spacing w:after="0"/>
              <w:jc w:val="center"/>
            </w:pPr>
            <w:r>
              <w:rPr>
                <w:rFonts w:ascii="Calibri" w:hAnsi="Calibri"/>
                <w:b/>
                <w:color w:val="0B2545"/>
                <w:sz w:val="18"/>
              </w:rPr>
              <w:t>Layer</w:t>
            </w:r>
          </w:p>
        </w:tc>
        <w:tc>
          <w:tcPr>
            <w:tcW w:type="dxa" w:w="3200"/>
            <w:tcMar>
              <w:top w:w="80" w:type="dxa"/>
              <w:bottom w:w="80" w:type="dxa"/>
              <w:start w:w="120" w:type="dxa"/>
              <w:end w:w="120" w:type="dxa"/>
            </w:tcMar>
            <w:vAlign w:val="center"/>
            <w:shd w:fill="E8EEF5"/>
          </w:tcPr>
          <w:p>
            <w:pPr>
              <w:spacing w:after="0"/>
              <w:jc w:val="center"/>
            </w:pPr>
            <w:r>
              <w:rPr>
                <w:rFonts w:ascii="Calibri" w:hAnsi="Calibri"/>
                <w:b/>
                <w:color w:val="0B2545"/>
                <w:sz w:val="18"/>
              </w:rPr>
              <w:t>Primary modules</w:t>
            </w:r>
          </w:p>
        </w:tc>
        <w:tc>
          <w:tcPr>
            <w:tcW w:type="dxa" w:w="4160"/>
            <w:tcMar>
              <w:top w:w="80" w:type="dxa"/>
              <w:bottom w:w="80" w:type="dxa"/>
              <w:start w:w="120" w:type="dxa"/>
              <w:end w:w="120" w:type="dxa"/>
            </w:tcMar>
            <w:vAlign w:val="center"/>
            <w:shd w:fill="E8EEF5"/>
          </w:tcPr>
          <w:p>
            <w:pPr>
              <w:spacing w:after="0"/>
              <w:jc w:val="center"/>
            </w:pPr>
            <w:r>
              <w:rPr>
                <w:rFonts w:ascii="Calibri" w:hAnsi="Calibri"/>
                <w:b/>
                <w:color w:val="0B2545"/>
                <w:sz w:val="18"/>
              </w:rPr>
              <w:t>Responsibility</w:t>
            </w:r>
          </w:p>
        </w:tc>
      </w:tr>
      <w:tr>
        <w:tc>
          <w:tcPr>
            <w:tcW w:type="dxa" w:w="2000"/>
          </w:tcPr>
          <w:p>
            <w:pPr>
              <w:spacing w:after="0"/>
              <w:jc w:val="left"/>
            </w:pPr>
            <w:r>
              <w:rPr>
                <w:rFonts w:ascii="Calibri" w:hAnsi="Calibri"/>
                <w:sz w:val="18"/>
              </w:rPr>
              <w:t>Configuration and governance</w:t>
            </w:r>
          </w:p>
        </w:tc>
        <w:tc>
          <w:tcPr>
            <w:tcW w:type="dxa" w:w="3200"/>
          </w:tcPr>
          <w:p>
            <w:pPr>
              <w:spacing w:after="0"/>
              <w:jc w:val="left"/>
            </w:pPr>
            <w:r>
              <w:rPr>
                <w:rFonts w:ascii="Calibri" w:hAnsi="Calibri"/>
                <w:sz w:val="18"/>
              </w:rPr>
              <w:t>config, governance, g2_readiness, test_authorization</w:t>
            </w:r>
          </w:p>
        </w:tc>
        <w:tc>
          <w:tcPr>
            <w:tcW w:type="dxa" w:w="4160"/>
          </w:tcPr>
          <w:p>
            <w:pPr>
              <w:spacing w:after="0"/>
              <w:jc w:val="left"/>
            </w:pPr>
            <w:r>
              <w:rPr>
                <w:rFonts w:ascii="Calibri" w:hAnsi="Calibri"/>
                <w:sz w:val="18"/>
              </w:rPr>
              <w:t>Resolve protocol identity and authorize protected transitions.</w:t>
            </w:r>
          </w:p>
        </w:tc>
      </w:tr>
      <w:tr>
        <w:tc>
          <w:tcPr>
            <w:tcW w:type="dxa" w:w="2000"/>
            <w:shd w:fill="F2F4F7"/>
          </w:tcPr>
          <w:p>
            <w:pPr>
              <w:spacing w:after="0"/>
              <w:jc w:val="left"/>
            </w:pPr>
            <w:r>
              <w:rPr>
                <w:rFonts w:ascii="Calibri" w:hAnsi="Calibri"/>
                <w:sz w:val="18"/>
              </w:rPr>
              <w:t>Data foundation</w:t>
            </w:r>
          </w:p>
        </w:tc>
        <w:tc>
          <w:tcPr>
            <w:tcW w:type="dxa" w:w="3200"/>
            <w:shd w:fill="F2F4F7"/>
          </w:tcPr>
          <w:p>
            <w:pPr>
              <w:spacing w:after="0"/>
              <w:jc w:val="left"/>
            </w:pPr>
            <w:r>
              <w:rPr>
                <w:rFonts w:ascii="Calibri" w:hAnsi="Calibri"/>
                <w:sz w:val="18"/>
              </w:rPr>
              <w:t>data.manifest, audit, leaf_identity, quarantine, freeze, splits, loader</w:t>
            </w:r>
          </w:p>
        </w:tc>
        <w:tc>
          <w:tcPr>
            <w:tcW w:type="dxa" w:w="4160"/>
            <w:shd w:fill="F2F4F7"/>
          </w:tcPr>
          <w:p>
            <w:pPr>
              <w:spacing w:after="0"/>
              <w:jc w:val="left"/>
            </w:pPr>
            <w:r>
              <w:rPr>
                <w:rFonts w:ascii="Calibri" w:hAnsi="Calibri"/>
                <w:sz w:val="18"/>
              </w:rPr>
              <w:t>Create and verify sample identity, eligibility, split safety, and deterministic batches.</w:t>
            </w:r>
          </w:p>
        </w:tc>
      </w:tr>
      <w:tr>
        <w:tc>
          <w:tcPr>
            <w:tcW w:type="dxa" w:w="2000"/>
          </w:tcPr>
          <w:p>
            <w:pPr>
              <w:spacing w:after="0"/>
              <w:jc w:val="left"/>
            </w:pPr>
            <w:r>
              <w:rPr>
                <w:rFonts w:ascii="Calibri" w:hAnsi="Calibri"/>
                <w:sz w:val="18"/>
              </w:rPr>
              <w:t>Model execution</w:t>
            </w:r>
          </w:p>
        </w:tc>
        <w:tc>
          <w:tcPr>
            <w:tcW w:type="dxa" w:w="3200"/>
          </w:tcPr>
          <w:p>
            <w:pPr>
              <w:spacing w:after="0"/>
              <w:jc w:val="left"/>
            </w:pPr>
            <w:r>
              <w:rPr>
                <w:rFonts w:ascii="Calibri" w:hAnsi="Calibri"/>
                <w:sz w:val="18"/>
              </w:rPr>
              <w:t>models, training, inference, transformations</w:t>
            </w:r>
          </w:p>
        </w:tc>
        <w:tc>
          <w:tcPr>
            <w:tcW w:type="dxa" w:w="4160"/>
          </w:tcPr>
          <w:p>
            <w:pPr>
              <w:spacing w:after="0"/>
              <w:jc w:val="left"/>
            </w:pPr>
            <w:r>
              <w:rPr>
                <w:rFonts w:ascii="Calibri" w:hAnsi="Calibri"/>
                <w:sz w:val="18"/>
              </w:rPr>
              <w:t>Train/load backbones and generate paired prediction records.</w:t>
            </w:r>
          </w:p>
        </w:tc>
      </w:tr>
      <w:tr>
        <w:tc>
          <w:tcPr>
            <w:tcW w:type="dxa" w:w="2000"/>
            <w:shd w:fill="F2F4F7"/>
          </w:tcPr>
          <w:p>
            <w:pPr>
              <w:spacing w:after="0"/>
              <w:jc w:val="left"/>
            </w:pPr>
            <w:r>
              <w:rPr>
                <w:rFonts w:ascii="Calibri" w:hAnsi="Calibri"/>
                <w:sz w:val="18"/>
              </w:rPr>
              <w:t>XAI and metrics</w:t>
            </w:r>
          </w:p>
        </w:tc>
        <w:tc>
          <w:tcPr>
            <w:tcW w:type="dxa" w:w="3200"/>
            <w:shd w:fill="F2F4F7"/>
          </w:tcPr>
          <w:p>
            <w:pPr>
              <w:spacing w:after="0"/>
              <w:jc w:val="left"/>
            </w:pPr>
            <w:r>
              <w:rPr>
                <w:rFonts w:ascii="Calibri" w:hAnsi="Calibri"/>
                <w:sz w:val="18"/>
              </w:rPr>
              <w:t>xai, evaluation, statistics</w:t>
            </w:r>
          </w:p>
        </w:tc>
        <w:tc>
          <w:tcPr>
            <w:tcW w:type="dxa" w:w="4160"/>
            <w:shd w:fill="F2F4F7"/>
          </w:tcPr>
          <w:p>
            <w:pPr>
              <w:spacing w:after="0"/>
              <w:jc w:val="left"/>
            </w:pPr>
            <w:r>
              <w:rPr>
                <w:rFonts w:ascii="Calibri" w:hAnsi="Calibri"/>
                <w:sz w:val="18"/>
              </w:rPr>
              <w:t>Generate same-target CAMs, align support, compute stability metrics, and create joint records.</w:t>
            </w:r>
          </w:p>
        </w:tc>
      </w:tr>
      <w:tr>
        <w:tc>
          <w:tcPr>
            <w:tcW w:type="dxa" w:w="2000"/>
          </w:tcPr>
          <w:p>
            <w:pPr>
              <w:spacing w:after="0"/>
              <w:jc w:val="left"/>
            </w:pPr>
            <w:r>
              <w:rPr>
                <w:rFonts w:ascii="Calibri" w:hAnsi="Calibri"/>
                <w:sz w:val="18"/>
              </w:rPr>
              <w:t>Transactional orchestration</w:t>
            </w:r>
          </w:p>
        </w:tc>
        <w:tc>
          <w:tcPr>
            <w:tcW w:type="dxa" w:w="3200"/>
          </w:tcPr>
          <w:p>
            <w:pPr>
              <w:spacing w:after="0"/>
              <w:jc w:val="left"/>
            </w:pPr>
            <w:r>
              <w:rPr>
                <w:rFonts w:ascii="Calibri" w:hAnsi="Calibri"/>
                <w:sz w:val="18"/>
              </w:rPr>
              <w:t>joint_execution, artifacts, provenance</w:t>
            </w:r>
          </w:p>
        </w:tc>
        <w:tc>
          <w:tcPr>
            <w:tcW w:type="dxa" w:w="4160"/>
          </w:tcPr>
          <w:p>
            <w:pPr>
              <w:spacing w:after="0"/>
              <w:jc w:val="left"/>
            </w:pPr>
            <w:r>
              <w:rPr>
                <w:rFonts w:ascii="Calibri" w:hAnsi="Calibri"/>
                <w:sz w:val="18"/>
              </w:rPr>
              <w:t>Bind run identity, resume safely, reconcile coverage, and index artifacts.</w:t>
            </w:r>
          </w:p>
        </w:tc>
      </w:tr>
      <w:tr>
        <w:tc>
          <w:tcPr>
            <w:tcW w:type="dxa" w:w="2000"/>
            <w:shd w:fill="F2F4F7"/>
          </w:tcPr>
          <w:p>
            <w:pPr>
              <w:spacing w:after="0"/>
              <w:jc w:val="left"/>
            </w:pPr>
            <w:r>
              <w:rPr>
                <w:rFonts w:ascii="Calibri" w:hAnsi="Calibri"/>
                <w:sz w:val="18"/>
              </w:rPr>
              <w:t>Official analysis</w:t>
            </w:r>
          </w:p>
        </w:tc>
        <w:tc>
          <w:tcPr>
            <w:tcW w:type="dxa" w:w="3200"/>
            <w:shd w:fill="F2F4F7"/>
          </w:tcPr>
          <w:p>
            <w:pPr>
              <w:spacing w:after="0"/>
              <w:jc w:val="left"/>
            </w:pPr>
            <w:r>
              <w:rPr>
                <w:rFonts w:ascii="Calibri" w:hAnsi="Calibri"/>
                <w:sz w:val="18"/>
              </w:rPr>
              <w:t>analysis_support, official_analysis</w:t>
            </w:r>
          </w:p>
        </w:tc>
        <w:tc>
          <w:tcPr>
            <w:tcW w:type="dxa" w:w="4160"/>
            <w:shd w:fill="F2F4F7"/>
          </w:tcPr>
          <w:p>
            <w:pPr>
              <w:spacing w:after="0"/>
              <w:jc w:val="left"/>
            </w:pPr>
            <w:r>
              <w:rPr>
                <w:rFonts w:ascii="Calibri" w:hAnsi="Calibri"/>
                <w:sz w:val="18"/>
              </w:rPr>
              <w:t>Preflight support, aggregate leaf-level evidence, test registered contrasts, and correct families.</w:t>
            </w:r>
          </w:p>
        </w:tc>
      </w:tr>
      <w:tr>
        <w:tc>
          <w:tcPr>
            <w:tcW w:type="dxa" w:w="2000"/>
          </w:tcPr>
          <w:p>
            <w:pPr>
              <w:spacing w:after="0"/>
              <w:jc w:val="left"/>
            </w:pPr>
            <w:r>
              <w:rPr>
                <w:rFonts w:ascii="Calibri" w:hAnsi="Calibri"/>
                <w:sz w:val="18"/>
              </w:rPr>
              <w:t>Recovery and reporting</w:t>
            </w:r>
          </w:p>
        </w:tc>
        <w:tc>
          <w:tcPr>
            <w:tcW w:type="dxa" w:w="3200"/>
          </w:tcPr>
          <w:p>
            <w:pPr>
              <w:spacing w:after="0"/>
              <w:jc w:val="left"/>
            </w:pPr>
            <w:r>
              <w:rPr>
                <w:rFonts w:ascii="Calibri" w:hAnsi="Calibri"/>
                <w:sz w:val="18"/>
              </w:rPr>
              <w:t>recovery, result_reporting</w:t>
            </w:r>
          </w:p>
        </w:tc>
        <w:tc>
          <w:tcPr>
            <w:tcW w:type="dxa" w:w="4160"/>
          </w:tcPr>
          <w:p>
            <w:pPr>
              <w:spacing w:after="0"/>
              <w:jc w:val="left"/>
            </w:pPr>
            <w:r>
              <w:rPr>
                <w:rFonts w:ascii="Calibri" w:hAnsi="Calibri"/>
                <w:sz w:val="18"/>
              </w:rPr>
              <w:t>Bridge physical storage recovery and create read-only publication outputs.</w:t>
            </w:r>
          </w:p>
        </w:tc>
      </w:tr>
    </w:tbl>
    <w:p>
      <w:pPr>
        <w:spacing w:after="0"/>
      </w:pPr>
    </w:p>
    <w:p>
      <w:pPr>
        <w:pStyle w:val="Heading2"/>
        <w:keepNext w:val="1"/>
        <w:keepLines w:val="1"/>
      </w:pPr>
      <w:r>
        <w:t>3.1 Core Domain Contracts</w:t>
      </w:r>
    </w:p>
    <w:tbl>
      <w:tblPr>
        <w:tblStyle w:val="TableGrid"/>
        <w:tblW w:type="dxa" w:w="9360"/>
        <w:jc w:val="left"/>
        <w:tblLayout w:type="fixed"/>
        <w:tblLook w:firstColumn="1" w:firstRow="1" w:lastColumn="0" w:lastRow="0" w:noHBand="0" w:noVBand="1" w:val="04A0"/>
        <w:tblInd w:w="120" w:type="dxa"/>
      </w:tblPr>
      <w:tblGrid>
        <w:gridCol w:w="1700"/>
        <w:gridCol w:w="4300"/>
        <w:gridCol w:w="3360"/>
      </w:tblGrid>
      <w:tr>
        <w:trPr>
          <w:tblHeader w:val="true"/>
        </w:trPr>
        <w:tc>
          <w:tcPr>
            <w:tcW w:type="dxa" w:w="1700"/>
            <w:tcMar>
              <w:top w:w="80" w:type="dxa"/>
              <w:bottom w:w="80" w:type="dxa"/>
              <w:start w:w="120" w:type="dxa"/>
              <w:end w:w="120" w:type="dxa"/>
            </w:tcMar>
            <w:vAlign w:val="center"/>
            <w:shd w:fill="E8EEF5"/>
          </w:tcPr>
          <w:p>
            <w:pPr>
              <w:spacing w:after="0"/>
              <w:jc w:val="center"/>
            </w:pPr>
            <w:r>
              <w:rPr>
                <w:rFonts w:ascii="Calibri" w:hAnsi="Calibri"/>
                <w:b/>
                <w:color w:val="0B2545"/>
                <w:sz w:val="18"/>
              </w:rPr>
              <w:t>Contract</w:t>
            </w:r>
          </w:p>
        </w:tc>
        <w:tc>
          <w:tcPr>
            <w:tcW w:type="dxa" w:w="4300"/>
            <w:tcMar>
              <w:top w:w="80" w:type="dxa"/>
              <w:bottom w:w="80" w:type="dxa"/>
              <w:start w:w="120" w:type="dxa"/>
              <w:end w:w="120" w:type="dxa"/>
            </w:tcMar>
            <w:vAlign w:val="center"/>
            <w:shd w:fill="E8EEF5"/>
          </w:tcPr>
          <w:p>
            <w:pPr>
              <w:spacing w:after="0"/>
              <w:jc w:val="center"/>
            </w:pPr>
            <w:r>
              <w:rPr>
                <w:rFonts w:ascii="Calibri" w:hAnsi="Calibri"/>
                <w:b/>
                <w:color w:val="0B2545"/>
                <w:sz w:val="18"/>
              </w:rPr>
              <w:t>Key fields</w:t>
            </w:r>
          </w:p>
        </w:tc>
        <w:tc>
          <w:tcPr>
            <w:tcW w:type="dxa" w:w="3360"/>
            <w:tcMar>
              <w:top w:w="80" w:type="dxa"/>
              <w:bottom w:w="80" w:type="dxa"/>
              <w:start w:w="120" w:type="dxa"/>
              <w:end w:w="120" w:type="dxa"/>
            </w:tcMar>
            <w:vAlign w:val="center"/>
            <w:shd w:fill="E8EEF5"/>
          </w:tcPr>
          <w:p>
            <w:pPr>
              <w:spacing w:after="0"/>
              <w:jc w:val="center"/>
            </w:pPr>
            <w:r>
              <w:rPr>
                <w:rFonts w:ascii="Calibri" w:hAnsi="Calibri"/>
                <w:b/>
                <w:color w:val="0B2545"/>
                <w:sz w:val="18"/>
              </w:rPr>
              <w:t>Invariant</w:t>
            </w:r>
          </w:p>
        </w:tc>
      </w:tr>
      <w:tr>
        <w:tc>
          <w:tcPr>
            <w:tcW w:type="dxa" w:w="1700"/>
          </w:tcPr>
          <w:p>
            <w:pPr>
              <w:spacing w:after="0"/>
              <w:jc w:val="left"/>
            </w:pPr>
            <w:r>
              <w:rPr>
                <w:rFonts w:ascii="Calibri" w:hAnsi="Calibri"/>
                <w:sz w:val="18"/>
              </w:rPr>
              <w:t>SampleRecord</w:t>
            </w:r>
          </w:p>
        </w:tc>
        <w:tc>
          <w:tcPr>
            <w:tcW w:type="dxa" w:w="4300"/>
          </w:tcPr>
          <w:p>
            <w:pPr>
              <w:spacing w:after="0"/>
              <w:jc w:val="left"/>
            </w:pPr>
            <w:r>
              <w:rPr>
                <w:rFonts w:ascii="Calibri" w:hAnsi="Calibri"/>
                <w:sz w:val="18"/>
              </w:rPr>
              <w:t>sample_id, leaf_id, class, split, path, RGB hash, dimensions</w:t>
            </w:r>
          </w:p>
        </w:tc>
        <w:tc>
          <w:tcPr>
            <w:tcW w:type="dxa" w:w="3360"/>
          </w:tcPr>
          <w:p>
            <w:pPr>
              <w:spacing w:after="0"/>
              <w:jc w:val="left"/>
            </w:pPr>
            <w:r>
              <w:rPr>
                <w:rFonts w:ascii="Calibri" w:hAnsi="Calibri"/>
                <w:sz w:val="18"/>
              </w:rPr>
              <w:t>One stable identity maps to one verified image and one frozen split.</w:t>
            </w:r>
          </w:p>
        </w:tc>
      </w:tr>
      <w:tr>
        <w:tc>
          <w:tcPr>
            <w:tcW w:type="dxa" w:w="1700"/>
            <w:shd w:fill="F2F4F7"/>
          </w:tcPr>
          <w:p>
            <w:pPr>
              <w:spacing w:after="0"/>
              <w:jc w:val="left"/>
            </w:pPr>
            <w:r>
              <w:rPr>
                <w:rFonts w:ascii="Calibri" w:hAnsi="Calibri"/>
                <w:sz w:val="18"/>
              </w:rPr>
              <w:t>PredictionRecord</w:t>
            </w:r>
          </w:p>
        </w:tc>
        <w:tc>
          <w:tcPr>
            <w:tcW w:type="dxa" w:w="4300"/>
            <w:shd w:fill="F2F4F7"/>
          </w:tcPr>
          <w:p>
            <w:pPr>
              <w:spacing w:after="0"/>
              <w:jc w:val="left"/>
            </w:pPr>
            <w:r>
              <w:rPr>
                <w:rFonts w:ascii="Calibri" w:hAnsi="Calibri"/>
                <w:sz w:val="18"/>
              </w:rPr>
              <w:t>sample_id, model_id, run_id, scenario_id, class, confidence, checkpoint hash</w:t>
            </w:r>
          </w:p>
        </w:tc>
        <w:tc>
          <w:tcPr>
            <w:tcW w:type="dxa" w:w="3360"/>
            <w:shd w:fill="F2F4F7"/>
          </w:tcPr>
          <w:p>
            <w:pPr>
              <w:spacing w:after="0"/>
              <w:jc w:val="left"/>
            </w:pPr>
            <w:r>
              <w:rPr>
                <w:rFonts w:ascii="Calibri" w:hAnsi="Calibri"/>
                <w:sz w:val="18"/>
              </w:rPr>
              <w:t>Prediction identity is traceable to model, checkpoint, scenario, and sample.</w:t>
            </w:r>
          </w:p>
        </w:tc>
      </w:tr>
      <w:tr>
        <w:tc>
          <w:tcPr>
            <w:tcW w:type="dxa" w:w="1700"/>
          </w:tcPr>
          <w:p>
            <w:pPr>
              <w:spacing w:after="0"/>
              <w:jc w:val="left"/>
            </w:pPr>
            <w:r>
              <w:rPr>
                <w:rFonts w:ascii="Calibri" w:hAnsi="Calibri"/>
                <w:sz w:val="18"/>
              </w:rPr>
              <w:t>TransformationRecord</w:t>
            </w:r>
          </w:p>
        </w:tc>
        <w:tc>
          <w:tcPr>
            <w:tcW w:type="dxa" w:w="4300"/>
          </w:tcPr>
          <w:p>
            <w:pPr>
              <w:spacing w:after="0"/>
              <w:jc w:val="left"/>
            </w:pPr>
            <w:r>
              <w:rPr>
                <w:rFonts w:ascii="Calibri" w:hAnsi="Calibri"/>
                <w:sz w:val="18"/>
              </w:rPr>
              <w:t>sample_id, scenario_id, transformation, severity, seed, parameters</w:t>
            </w:r>
          </w:p>
        </w:tc>
        <w:tc>
          <w:tcPr>
            <w:tcW w:type="dxa" w:w="3360"/>
          </w:tcPr>
          <w:p>
            <w:pPr>
              <w:spacing w:after="0"/>
              <w:jc w:val="left"/>
            </w:pPr>
            <w:r>
              <w:rPr>
                <w:rFonts w:ascii="Calibri" w:hAnsi="Calibri"/>
                <w:sz w:val="18"/>
              </w:rPr>
              <w:t>Exact deterministic parameters are recorded for every transformed input.</w:t>
            </w:r>
          </w:p>
        </w:tc>
      </w:tr>
      <w:tr>
        <w:tc>
          <w:tcPr>
            <w:tcW w:type="dxa" w:w="1700"/>
            <w:shd w:fill="F2F4F7"/>
          </w:tcPr>
          <w:p>
            <w:pPr>
              <w:spacing w:after="0"/>
              <w:jc w:val="left"/>
            </w:pPr>
            <w:r>
              <w:rPr>
                <w:rFonts w:ascii="Calibri" w:hAnsi="Calibri"/>
                <w:sz w:val="18"/>
              </w:rPr>
              <w:t>JointRecord</w:t>
            </w:r>
          </w:p>
        </w:tc>
        <w:tc>
          <w:tcPr>
            <w:tcW w:type="dxa" w:w="4300"/>
            <w:shd w:fill="F2F4F7"/>
          </w:tcPr>
          <w:p>
            <w:pPr>
              <w:spacing w:after="0"/>
              <w:jc w:val="left"/>
            </w:pPr>
            <w:r>
              <w:rPr>
                <w:rFonts w:ascii="Calibri" w:hAnsi="Calibri"/>
                <w:sz w:val="18"/>
              </w:rPr>
              <w:t>sample, scenario, model, method, target class, metrics, exclusion reason</w:t>
            </w:r>
          </w:p>
        </w:tc>
        <w:tc>
          <w:tcPr>
            <w:tcW w:type="dxa" w:w="3360"/>
            <w:shd w:fill="F2F4F7"/>
          </w:tcPr>
          <w:p>
            <w:pPr>
              <w:spacing w:after="0"/>
              <w:jc w:val="left"/>
            </w:pPr>
            <w:r>
              <w:rPr>
                <w:rFonts w:ascii="Calibri" w:hAnsi="Calibri"/>
                <w:sz w:val="18"/>
              </w:rPr>
              <w:t>Metrics exist only for valid paired evidence; otherwise an explicit exclusion is retained.</w:t>
            </w:r>
          </w:p>
        </w:tc>
      </w:tr>
      <w:tr>
        <w:tc>
          <w:tcPr>
            <w:tcW w:type="dxa" w:w="1700"/>
          </w:tcPr>
          <w:p>
            <w:pPr>
              <w:spacing w:after="0"/>
              <w:jc w:val="left"/>
            </w:pPr>
            <w:r>
              <w:rPr>
                <w:rFonts w:ascii="Calibri" w:hAnsi="Calibri"/>
                <w:sz w:val="18"/>
              </w:rPr>
              <w:t>RunContext</w:t>
            </w:r>
          </w:p>
        </w:tc>
        <w:tc>
          <w:tcPr>
            <w:tcW w:type="dxa" w:w="4300"/>
          </w:tcPr>
          <w:p>
            <w:pPr>
              <w:spacing w:after="0"/>
              <w:jc w:val="left"/>
            </w:pPr>
            <w:r>
              <w:rPr>
                <w:rFonts w:ascii="Calibri" w:hAnsi="Calibri"/>
                <w:sz w:val="18"/>
              </w:rPr>
              <w:t>run_id, protocol version/hash, config hash, seed, timestamp</w:t>
            </w:r>
          </w:p>
        </w:tc>
        <w:tc>
          <w:tcPr>
            <w:tcW w:type="dxa" w:w="3360"/>
          </w:tcPr>
          <w:p>
            <w:pPr>
              <w:spacing w:after="0"/>
              <w:jc w:val="left"/>
            </w:pPr>
            <w:r>
              <w:rPr>
                <w:rFonts w:ascii="Calibri" w:hAnsi="Calibri"/>
                <w:sz w:val="18"/>
              </w:rPr>
              <w:t>Every artifact tree has a machine-readable execution identity.</w:t>
            </w:r>
          </w:p>
        </w:tc>
      </w:tr>
    </w:tbl>
    <w:p>
      <w:pPr>
        <w:spacing w:after="0"/>
      </w:pPr>
    </w:p>
    <w:p>
      <w:pPr>
        <w:pStyle w:val="Heading1"/>
        <w:keepNext w:val="1"/>
        <w:keepLines w:val="1"/>
      </w:pPr>
      <w:r>
        <w:t>4. Module Catalog</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tcMar>
              <w:top w:w="80" w:type="dxa"/>
              <w:bottom w:w="80" w:type="dxa"/>
              <w:start w:w="120" w:type="dxa"/>
              <w:end w:w="120" w:type="dxa"/>
            </w:tcMar>
            <w:vAlign w:val="center"/>
            <w:shd w:fill="E8EEF5"/>
          </w:tcPr>
          <w:p>
            <w:pPr>
              <w:spacing w:after="0"/>
              <w:jc w:val="center"/>
            </w:pPr>
            <w:r>
              <w:rPr>
                <w:rFonts w:ascii="Calibri" w:hAnsi="Calibri"/>
                <w:b/>
                <w:color w:val="0B2545"/>
                <w:sz w:val="17"/>
              </w:rPr>
              <w:t>Module</w:t>
            </w:r>
          </w:p>
        </w:tc>
        <w:tc>
          <w:tcPr>
            <w:tcW w:type="dxa" w:w="6260"/>
            <w:tcMar>
              <w:top w:w="80" w:type="dxa"/>
              <w:bottom w:w="80" w:type="dxa"/>
              <w:start w:w="120" w:type="dxa"/>
              <w:end w:w="120" w:type="dxa"/>
            </w:tcMar>
            <w:vAlign w:val="center"/>
            <w:shd w:fill="E8EEF5"/>
          </w:tcPr>
          <w:p>
            <w:pPr>
              <w:spacing w:after="0"/>
              <w:jc w:val="center"/>
            </w:pPr>
            <w:r>
              <w:rPr>
                <w:rFonts w:ascii="Calibri" w:hAnsi="Calibri"/>
                <w:b/>
                <w:color w:val="0B2545"/>
                <w:sz w:val="17"/>
              </w:rPr>
              <w:t>Responsibility</w:t>
            </w:r>
          </w:p>
        </w:tc>
      </w:tr>
      <w:tr>
        <w:tc>
          <w:tcPr>
            <w:tcW w:type="dxa" w:w="3100"/>
          </w:tcPr>
          <w:p>
            <w:pPr>
              <w:spacing w:after="0"/>
              <w:jc w:val="left"/>
            </w:pPr>
            <w:r>
              <w:rPr>
                <w:rFonts w:ascii="Calibri" w:hAnsi="Calibri"/>
                <w:sz w:val="17"/>
              </w:rPr>
              <w:t>config.py</w:t>
            </w:r>
          </w:p>
        </w:tc>
        <w:tc>
          <w:tcPr>
            <w:tcW w:type="dxa" w:w="6260"/>
          </w:tcPr>
          <w:p>
            <w:pPr>
              <w:spacing w:after="0"/>
              <w:jc w:val="left"/>
            </w:pPr>
            <w:r>
              <w:rPr>
                <w:rFonts w:ascii="Calibri" w:hAnsi="Calibri"/>
                <w:sz w:val="17"/>
              </w:rPr>
              <w:t>Protocol loader, canonical JSON hashing, schema-level fail-closed checks.</w:t>
            </w:r>
          </w:p>
        </w:tc>
      </w:tr>
      <w:tr>
        <w:tc>
          <w:tcPr>
            <w:tcW w:type="dxa" w:w="3100"/>
            <w:shd w:fill="F2F4F7"/>
          </w:tcPr>
          <w:p>
            <w:pPr>
              <w:spacing w:after="0"/>
              <w:jc w:val="left"/>
            </w:pPr>
            <w:r>
              <w:rPr>
                <w:rFonts w:ascii="Calibri" w:hAnsi="Calibri"/>
                <w:sz w:val="17"/>
              </w:rPr>
              <w:t>contracts.py</w:t>
            </w:r>
          </w:p>
        </w:tc>
        <w:tc>
          <w:tcPr>
            <w:tcW w:type="dxa" w:w="6260"/>
            <w:shd w:fill="F2F4F7"/>
          </w:tcPr>
          <w:p>
            <w:pPr>
              <w:spacing w:after="0"/>
              <w:jc w:val="left"/>
            </w:pPr>
            <w:r>
              <w:rPr>
                <w:rFonts w:ascii="Calibri" w:hAnsi="Calibri"/>
                <w:sz w:val="17"/>
              </w:rPr>
              <w:t>Immutable domain records shared across data, prediction, transformation, and joint evaluation.</w:t>
            </w:r>
          </w:p>
        </w:tc>
      </w:tr>
      <w:tr>
        <w:tc>
          <w:tcPr>
            <w:tcW w:type="dxa" w:w="3100"/>
          </w:tcPr>
          <w:p>
            <w:pPr>
              <w:spacing w:after="0"/>
              <w:jc w:val="left"/>
            </w:pPr>
            <w:r>
              <w:rPr>
                <w:rFonts w:ascii="Calibri" w:hAnsi="Calibri"/>
                <w:sz w:val="17"/>
              </w:rPr>
              <w:t>provenance.py / artifacts.py</w:t>
            </w:r>
          </w:p>
        </w:tc>
        <w:tc>
          <w:tcPr>
            <w:tcW w:type="dxa" w:w="6260"/>
          </w:tcPr>
          <w:p>
            <w:pPr>
              <w:spacing w:after="0"/>
              <w:jc w:val="left"/>
            </w:pPr>
            <w:r>
              <w:rPr>
                <w:rFonts w:ascii="Calibri" w:hAnsi="Calibri"/>
                <w:sz w:val="17"/>
              </w:rPr>
              <w:t>SHA-256 utilities, run context, atomic JSON, artifact manifests and indexes.</w:t>
            </w:r>
          </w:p>
        </w:tc>
      </w:tr>
      <w:tr>
        <w:tc>
          <w:tcPr>
            <w:tcW w:type="dxa" w:w="3100"/>
            <w:shd w:fill="F2F4F7"/>
          </w:tcPr>
          <w:p>
            <w:pPr>
              <w:spacing w:after="0"/>
              <w:jc w:val="left"/>
            </w:pPr>
            <w:r>
              <w:rPr>
                <w:rFonts w:ascii="Calibri" w:hAnsi="Calibri"/>
                <w:sz w:val="17"/>
              </w:rPr>
              <w:t>data/manifest.py</w:t>
            </w:r>
          </w:p>
        </w:tc>
        <w:tc>
          <w:tcPr>
            <w:tcW w:type="dxa" w:w="6260"/>
            <w:shd w:fill="F2F4F7"/>
          </w:tcPr>
          <w:p>
            <w:pPr>
              <w:spacing w:after="0"/>
              <w:jc w:val="left"/>
            </w:pPr>
            <w:r>
              <w:rPr>
                <w:rFonts w:ascii="Calibri" w:hAnsi="Calibri"/>
                <w:sz w:val="17"/>
              </w:rPr>
              <w:t>Canonical RGB hashes, stable sample IDs, manifest serialization and inspection.</w:t>
            </w:r>
          </w:p>
        </w:tc>
      </w:tr>
      <w:tr>
        <w:tc>
          <w:tcPr>
            <w:tcW w:type="dxa" w:w="3100"/>
          </w:tcPr>
          <w:p>
            <w:pPr>
              <w:spacing w:after="0"/>
              <w:jc w:val="left"/>
            </w:pPr>
            <w:r>
              <w:rPr>
                <w:rFonts w:ascii="Calibri" w:hAnsi="Calibri"/>
                <w:sz w:val="17"/>
              </w:rPr>
              <w:t>data/audit.py</w:t>
            </w:r>
          </w:p>
        </w:tc>
        <w:tc>
          <w:tcPr>
            <w:tcW w:type="dxa" w:w="6260"/>
          </w:tcPr>
          <w:p>
            <w:pPr>
              <w:spacing w:after="0"/>
              <w:jc w:val="left"/>
            </w:pPr>
            <w:r>
              <w:rPr>
                <w:rFonts w:ascii="Calibri" w:hAnsi="Calibri"/>
                <w:sz w:val="17"/>
              </w:rPr>
              <w:t>Duplicate, conflict, label, leaf, and image-level audit evidence.</w:t>
            </w:r>
          </w:p>
        </w:tc>
      </w:tr>
      <w:tr>
        <w:tc>
          <w:tcPr>
            <w:tcW w:type="dxa" w:w="3100"/>
            <w:shd w:fill="F2F4F7"/>
          </w:tcPr>
          <w:p>
            <w:pPr>
              <w:spacing w:after="0"/>
              <w:jc w:val="left"/>
            </w:pPr>
            <w:r>
              <w:rPr>
                <w:rFonts w:ascii="Calibri" w:hAnsi="Calibri"/>
                <w:sz w:val="17"/>
              </w:rPr>
              <w:t>data/leaf_identity.py</w:t>
            </w:r>
          </w:p>
        </w:tc>
        <w:tc>
          <w:tcPr>
            <w:tcW w:type="dxa" w:w="6260"/>
            <w:shd w:fill="F2F4F7"/>
          </w:tcPr>
          <w:p>
            <w:pPr>
              <w:spacing w:after="0"/>
              <w:jc w:val="left"/>
            </w:pPr>
            <w:r>
              <w:rPr>
                <w:rFonts w:ascii="Calibri" w:hAnsi="Calibri"/>
                <w:sz w:val="17"/>
              </w:rPr>
              <w:t>Leaf identity resolution coverage, collision, ambiguity, and split-overlap gates.</w:t>
            </w:r>
          </w:p>
        </w:tc>
      </w:tr>
      <w:tr>
        <w:tc>
          <w:tcPr>
            <w:tcW w:type="dxa" w:w="3100"/>
          </w:tcPr>
          <w:p>
            <w:pPr>
              <w:spacing w:after="0"/>
              <w:jc w:val="left"/>
            </w:pPr>
            <w:r>
              <w:rPr>
                <w:rFonts w:ascii="Calibri" w:hAnsi="Calibri"/>
                <w:sz w:val="17"/>
              </w:rPr>
              <w:t>data/quarantine.py</w:t>
            </w:r>
          </w:p>
        </w:tc>
        <w:tc>
          <w:tcPr>
            <w:tcW w:type="dxa" w:w="6260"/>
          </w:tcPr>
          <w:p>
            <w:pPr>
              <w:spacing w:after="0"/>
              <w:jc w:val="left"/>
            </w:pPr>
            <w:r>
              <w:rPr>
                <w:rFonts w:ascii="Calibri" w:hAnsi="Calibri"/>
                <w:sz w:val="17"/>
              </w:rPr>
              <w:t>Governed source-train overlap and exact-duplicate adjudication.</w:t>
            </w:r>
          </w:p>
        </w:tc>
      </w:tr>
      <w:tr>
        <w:tc>
          <w:tcPr>
            <w:tcW w:type="dxa" w:w="3100"/>
            <w:shd w:fill="F2F4F7"/>
          </w:tcPr>
          <w:p>
            <w:pPr>
              <w:spacing w:after="0"/>
              <w:jc w:val="left"/>
            </w:pPr>
            <w:r>
              <w:rPr>
                <w:rFonts w:ascii="Calibri" w:hAnsi="Calibri"/>
                <w:sz w:val="17"/>
              </w:rPr>
              <w:t>data/splits.py / freeze.py</w:t>
            </w:r>
          </w:p>
        </w:tc>
        <w:tc>
          <w:tcPr>
            <w:tcW w:type="dxa" w:w="6260"/>
            <w:shd w:fill="F2F4F7"/>
          </w:tcPr>
          <w:p>
            <w:pPr>
              <w:spacing w:after="0"/>
              <w:jc w:val="left"/>
            </w:pPr>
            <w:r>
              <w:rPr>
                <w:rFonts w:ascii="Calibri" w:hAnsi="Calibri"/>
                <w:sz w:val="17"/>
              </w:rPr>
              <w:t>Leaf-safe train/validation construction, split validation, and immutable freeze artifacts.</w:t>
            </w:r>
          </w:p>
        </w:tc>
      </w:tr>
      <w:tr>
        <w:tc>
          <w:tcPr>
            <w:tcW w:type="dxa" w:w="3100"/>
          </w:tcPr>
          <w:p>
            <w:pPr>
              <w:spacing w:after="0"/>
              <w:jc w:val="left"/>
            </w:pPr>
            <w:r>
              <w:rPr>
                <w:rFonts w:ascii="Calibri" w:hAnsi="Calibri"/>
                <w:sz w:val="17"/>
              </w:rPr>
              <w:t>data/loader.py</w:t>
            </w:r>
          </w:p>
        </w:tc>
        <w:tc>
          <w:tcPr>
            <w:tcW w:type="dxa" w:w="6260"/>
          </w:tcPr>
          <w:p>
            <w:pPr>
              <w:spacing w:after="0"/>
              <w:jc w:val="left"/>
            </w:pPr>
            <w:r>
              <w:rPr>
                <w:rFonts w:ascii="Calibri" w:hAnsi="Calibri"/>
                <w:sz w:val="17"/>
              </w:rPr>
              <w:t>Verified image decoding, normalization, identity-preserving Dataset, deterministic DataLoader.</w:t>
            </w:r>
          </w:p>
        </w:tc>
      </w:tr>
      <w:tr>
        <w:tc>
          <w:tcPr>
            <w:tcW w:type="dxa" w:w="3100"/>
            <w:shd w:fill="F2F4F7"/>
          </w:tcPr>
          <w:p>
            <w:pPr>
              <w:spacing w:after="0"/>
              <w:jc w:val="left"/>
            </w:pPr>
            <w:r>
              <w:rPr>
                <w:rFonts w:ascii="Calibri" w:hAnsi="Calibri"/>
                <w:sz w:val="17"/>
              </w:rPr>
              <w:t>models.py</w:t>
            </w:r>
          </w:p>
        </w:tc>
        <w:tc>
          <w:tcPr>
            <w:tcW w:type="dxa" w:w="6260"/>
            <w:shd w:fill="F2F4F7"/>
          </w:tcPr>
          <w:p>
            <w:pPr>
              <w:spacing w:after="0"/>
              <w:jc w:val="left"/>
            </w:pPr>
            <w:r>
              <w:rPr>
                <w:rFonts w:ascii="Calibri" w:hAnsi="Calibri"/>
                <w:sz w:val="17"/>
              </w:rPr>
              <w:t>ResNet50 and EfficientNet-B0 wrappers, target-layer access, checkpoint evidence.</w:t>
            </w:r>
          </w:p>
        </w:tc>
      </w:tr>
      <w:tr>
        <w:tc>
          <w:tcPr>
            <w:tcW w:type="dxa" w:w="3100"/>
          </w:tcPr>
          <w:p>
            <w:pPr>
              <w:spacing w:after="0"/>
              <w:jc w:val="left"/>
            </w:pPr>
            <w:r>
              <w:rPr>
                <w:rFonts w:ascii="Calibri" w:hAnsi="Calibri"/>
                <w:sz w:val="17"/>
              </w:rPr>
              <w:t>training.py</w:t>
            </w:r>
          </w:p>
        </w:tc>
        <w:tc>
          <w:tcPr>
            <w:tcW w:type="dxa" w:w="6260"/>
          </w:tcPr>
          <w:p>
            <w:pPr>
              <w:spacing w:after="0"/>
              <w:jc w:val="left"/>
            </w:pPr>
            <w:r>
              <w:rPr>
                <w:rFonts w:ascii="Calibri" w:hAnsi="Calibri"/>
                <w:sz w:val="17"/>
              </w:rPr>
              <w:t>Deterministic fine-tuning, validation macro-F1 selection, atomic latest/best checkpoints, resume.</w:t>
            </w:r>
          </w:p>
        </w:tc>
      </w:tr>
      <w:tr>
        <w:tc>
          <w:tcPr>
            <w:tcW w:type="dxa" w:w="3100"/>
            <w:shd w:fill="F2F4F7"/>
          </w:tcPr>
          <w:p>
            <w:pPr>
              <w:spacing w:after="0"/>
              <w:jc w:val="left"/>
            </w:pPr>
            <w:r>
              <w:rPr>
                <w:rFonts w:ascii="Calibri" w:hAnsi="Calibri"/>
                <w:sz w:val="17"/>
              </w:rPr>
              <w:t>checkpoint_audit.py</w:t>
            </w:r>
          </w:p>
        </w:tc>
        <w:tc>
          <w:tcPr>
            <w:tcW w:type="dxa" w:w="6260"/>
            <w:shd w:fill="F2F4F7"/>
          </w:tcPr>
          <w:p>
            <w:pPr>
              <w:spacing w:after="0"/>
              <w:jc w:val="left"/>
            </w:pPr>
            <w:r>
              <w:rPr>
                <w:rFonts w:ascii="Calibri" w:hAnsi="Calibri"/>
                <w:sz w:val="17"/>
              </w:rPr>
              <w:t>Validation-only classification metrics, probability records, and training-evidence validation.</w:t>
            </w:r>
          </w:p>
        </w:tc>
      </w:tr>
      <w:tr>
        <w:tc>
          <w:tcPr>
            <w:tcW w:type="dxa" w:w="3100"/>
          </w:tcPr>
          <w:p>
            <w:pPr>
              <w:spacing w:after="0"/>
              <w:jc w:val="left"/>
            </w:pPr>
            <w:r>
              <w:rPr>
                <w:rFonts w:ascii="Calibri" w:hAnsi="Calibri"/>
                <w:sz w:val="17"/>
              </w:rPr>
              <w:t>transformations.py</w:t>
            </w:r>
          </w:p>
        </w:tc>
        <w:tc>
          <w:tcPr>
            <w:tcW w:type="dxa" w:w="6260"/>
          </w:tcPr>
          <w:p>
            <w:pPr>
              <w:spacing w:after="0"/>
              <w:jc w:val="left"/>
            </w:pPr>
            <w:r>
              <w:rPr>
                <w:rFonts w:ascii="Calibri" w:hAnsi="Calibri"/>
                <w:sz w:val="17"/>
              </w:rPr>
              <w:t>Shared-randomization rotation, brightness, noise, blur, and geometric validity metadata.</w:t>
            </w:r>
          </w:p>
        </w:tc>
      </w:tr>
      <w:tr>
        <w:tc>
          <w:tcPr>
            <w:tcW w:type="dxa" w:w="3100"/>
            <w:shd w:fill="F2F4F7"/>
          </w:tcPr>
          <w:p>
            <w:pPr>
              <w:spacing w:after="0"/>
              <w:jc w:val="left"/>
            </w:pPr>
            <w:r>
              <w:rPr>
                <w:rFonts w:ascii="Calibri" w:hAnsi="Calibri"/>
                <w:sz w:val="17"/>
              </w:rPr>
              <w:t>inference.py / evaluation.py</w:t>
            </w:r>
          </w:p>
        </w:tc>
        <w:tc>
          <w:tcPr>
            <w:tcW w:type="dxa" w:w="6260"/>
            <w:shd w:fill="F2F4F7"/>
          </w:tcPr>
          <w:p>
            <w:pPr>
              <w:spacing w:after="0"/>
              <w:jc w:val="left"/>
            </w:pPr>
            <w:r>
              <w:rPr>
                <w:rFonts w:ascii="Calibri" w:hAnsi="Calibri"/>
                <w:sz w:val="17"/>
              </w:rPr>
              <w:t>Model inference, paired prediction records, exclusions, and joint-record construction.</w:t>
            </w:r>
          </w:p>
        </w:tc>
      </w:tr>
      <w:tr>
        <w:tc>
          <w:tcPr>
            <w:tcW w:type="dxa" w:w="3100"/>
          </w:tcPr>
          <w:p>
            <w:pPr>
              <w:spacing w:after="0"/>
              <w:jc w:val="left"/>
            </w:pPr>
            <w:r>
              <w:rPr>
                <w:rFonts w:ascii="Calibri" w:hAnsi="Calibri"/>
                <w:sz w:val="17"/>
              </w:rPr>
              <w:t>xai.py</w:t>
            </w:r>
          </w:p>
        </w:tc>
        <w:tc>
          <w:tcPr>
            <w:tcW w:type="dxa" w:w="6260"/>
          </w:tcPr>
          <w:p>
            <w:pPr>
              <w:spacing w:after="0"/>
              <w:jc w:val="left"/>
            </w:pPr>
            <w:r>
              <w:rPr>
                <w:rFonts w:ascii="Calibri" w:hAnsi="Calibri"/>
                <w:sz w:val="17"/>
              </w:rPr>
              <w:t>CAM lifecycle, heatmap quality, forward alignment, valid-region handling.</w:t>
            </w:r>
          </w:p>
        </w:tc>
      </w:tr>
      <w:tr>
        <w:tc>
          <w:tcPr>
            <w:tcW w:type="dxa" w:w="3100"/>
            <w:shd w:fill="F2F4F7"/>
          </w:tcPr>
          <w:p>
            <w:pPr>
              <w:spacing w:after="0"/>
              <w:jc w:val="left"/>
            </w:pPr>
            <w:r>
              <w:rPr>
                <w:rFonts w:ascii="Calibri" w:hAnsi="Calibri"/>
                <w:sz w:val="17"/>
              </w:rPr>
              <w:t>statistics.py</w:t>
            </w:r>
          </w:p>
        </w:tc>
        <w:tc>
          <w:tcPr>
            <w:tcW w:type="dxa" w:w="6260"/>
            <w:shd w:fill="F2F4F7"/>
          </w:tcPr>
          <w:p>
            <w:pPr>
              <w:spacing w:after="0"/>
              <w:jc w:val="left"/>
            </w:pPr>
            <w:r>
              <w:rPr>
                <w:rFonts w:ascii="Calibri" w:hAnsi="Calibri"/>
                <w:sz w:val="17"/>
              </w:rPr>
              <w:t>Heatmap metrics, leaf bootstrap, paired Wilcoxon, rank-biserial effect, Holm adjustment.</w:t>
            </w:r>
          </w:p>
        </w:tc>
      </w:tr>
      <w:tr>
        <w:tc>
          <w:tcPr>
            <w:tcW w:type="dxa" w:w="3100"/>
          </w:tcPr>
          <w:p>
            <w:pPr>
              <w:spacing w:after="0"/>
              <w:jc w:val="left"/>
            </w:pPr>
            <w:r>
              <w:rPr>
                <w:rFonts w:ascii="Calibri" w:hAnsi="Calibri"/>
                <w:sz w:val="17"/>
              </w:rPr>
              <w:t>joint_execution.py</w:t>
            </w:r>
          </w:p>
        </w:tc>
        <w:tc>
          <w:tcPr>
            <w:tcW w:type="dxa" w:w="6260"/>
          </w:tcPr>
          <w:p>
            <w:pPr>
              <w:spacing w:after="0"/>
              <w:jc w:val="left"/>
            </w:pPr>
            <w:r>
              <w:rPr>
                <w:rFonts w:ascii="Calibri" w:hAnsi="Calibri"/>
                <w:sz w:val="17"/>
              </w:rPr>
              <w:t>Canonical run identity, SQLite progress, atomic per-sample transactions, coverage checks.</w:t>
            </w:r>
          </w:p>
        </w:tc>
      </w:tr>
      <w:tr>
        <w:tc>
          <w:tcPr>
            <w:tcW w:type="dxa" w:w="3100"/>
            <w:shd w:fill="F2F4F7"/>
          </w:tcPr>
          <w:p>
            <w:pPr>
              <w:spacing w:after="0"/>
              <w:jc w:val="left"/>
            </w:pPr>
            <w:r>
              <w:rPr>
                <w:rFonts w:ascii="Calibri" w:hAnsi="Calibri"/>
                <w:sz w:val="17"/>
              </w:rPr>
              <w:t>governance.py / test_authorization.py</w:t>
            </w:r>
          </w:p>
        </w:tc>
        <w:tc>
          <w:tcPr>
            <w:tcW w:type="dxa" w:w="6260"/>
            <w:shd w:fill="F2F4F7"/>
          </w:tcPr>
          <w:p>
            <w:pPr>
              <w:spacing w:after="0"/>
              <w:jc w:val="left"/>
            </w:pPr>
            <w:r>
              <w:rPr>
                <w:rFonts w:ascii="Calibri" w:hAnsi="Calibri"/>
                <w:sz w:val="17"/>
              </w:rPr>
              <w:t>Approved checkpoint lineage and full G2 authorization before test pixels.</w:t>
            </w:r>
          </w:p>
        </w:tc>
      </w:tr>
      <w:tr>
        <w:tc>
          <w:tcPr>
            <w:tcW w:type="dxa" w:w="3100"/>
          </w:tcPr>
          <w:p>
            <w:pPr>
              <w:spacing w:after="0"/>
              <w:jc w:val="left"/>
            </w:pPr>
            <w:r>
              <w:rPr>
                <w:rFonts w:ascii="Calibri" w:hAnsi="Calibri"/>
                <w:sz w:val="17"/>
              </w:rPr>
              <w:t>g2_readiness.py</w:t>
            </w:r>
          </w:p>
        </w:tc>
        <w:tc>
          <w:tcPr>
            <w:tcW w:type="dxa" w:w="6260"/>
          </w:tcPr>
          <w:p>
            <w:pPr>
              <w:spacing w:after="0"/>
              <w:jc w:val="left"/>
            </w:pPr>
            <w:r>
              <w:rPr>
                <w:rFonts w:ascii="Calibri" w:hAnsi="Calibri"/>
                <w:sz w:val="17"/>
              </w:rPr>
              <w:t>Metadata-only reconciliation of G1 audit evidence and test identities.</w:t>
            </w:r>
          </w:p>
        </w:tc>
      </w:tr>
      <w:tr>
        <w:tc>
          <w:tcPr>
            <w:tcW w:type="dxa" w:w="3100"/>
            <w:shd w:fill="F2F4F7"/>
          </w:tcPr>
          <w:p>
            <w:pPr>
              <w:spacing w:after="0"/>
              <w:jc w:val="left"/>
            </w:pPr>
            <w:r>
              <w:rPr>
                <w:rFonts w:ascii="Calibri" w:hAnsi="Calibri"/>
                <w:sz w:val="17"/>
              </w:rPr>
              <w:t>recovery.py</w:t>
            </w:r>
          </w:p>
        </w:tc>
        <w:tc>
          <w:tcPr>
            <w:tcW w:type="dxa" w:w="6260"/>
            <w:shd w:fill="F2F4F7"/>
          </w:tcPr>
          <w:p>
            <w:pPr>
              <w:spacing w:after="0"/>
              <w:jc w:val="left"/>
            </w:pPr>
            <w:r>
              <w:rPr>
                <w:rFonts w:ascii="Calibri" w:hAnsi="Calibri"/>
                <w:sz w:val="17"/>
              </w:rPr>
              <w:t>Physical-freeze recovery validation and approved legacy-result preservation.</w:t>
            </w:r>
          </w:p>
        </w:tc>
      </w:tr>
      <w:tr>
        <w:tc>
          <w:tcPr>
            <w:tcW w:type="dxa" w:w="3100"/>
          </w:tcPr>
          <w:p>
            <w:pPr>
              <w:spacing w:after="0"/>
              <w:jc w:val="left"/>
            </w:pPr>
            <w:r>
              <w:rPr>
                <w:rFonts w:ascii="Calibri" w:hAnsi="Calibri"/>
                <w:sz w:val="17"/>
              </w:rPr>
              <w:t>analysis_support.py</w:t>
            </w:r>
          </w:p>
        </w:tc>
        <w:tc>
          <w:tcPr>
            <w:tcW w:type="dxa" w:w="6260"/>
          </w:tcPr>
          <w:p>
            <w:pPr>
              <w:spacing w:after="0"/>
              <w:jc w:val="left"/>
            </w:pPr>
            <w:r>
              <w:rPr>
                <w:rFonts w:ascii="Calibri" w:hAnsi="Calibri"/>
                <w:sz w:val="17"/>
              </w:rPr>
              <w:t>Metadata-only support counts and exclusion audit for all planned contrasts.</w:t>
            </w:r>
          </w:p>
        </w:tc>
      </w:tr>
      <w:tr>
        <w:tc>
          <w:tcPr>
            <w:tcW w:type="dxa" w:w="3100"/>
            <w:shd w:fill="F2F4F7"/>
          </w:tcPr>
          <w:p>
            <w:pPr>
              <w:spacing w:after="0"/>
              <w:jc w:val="left"/>
            </w:pPr>
            <w:r>
              <w:rPr>
                <w:rFonts w:ascii="Calibri" w:hAnsi="Calibri"/>
                <w:sz w:val="17"/>
              </w:rPr>
              <w:t>official_analysis.py</w:t>
            </w:r>
          </w:p>
        </w:tc>
        <w:tc>
          <w:tcPr>
            <w:tcW w:type="dxa" w:w="6260"/>
            <w:shd w:fill="F2F4F7"/>
          </w:tcPr>
          <w:p>
            <w:pPr>
              <w:spacing w:after="0"/>
              <w:jc w:val="left"/>
            </w:pPr>
            <w:r>
              <w:rPr>
                <w:rFonts w:ascii="Calibri" w:hAnsi="Calibri"/>
                <w:sz w:val="17"/>
              </w:rPr>
              <w:t>Merged-result validation, bootstrap summaries, paired contrasts, RQ3 associations.</w:t>
            </w:r>
          </w:p>
        </w:tc>
      </w:tr>
      <w:tr>
        <w:tc>
          <w:tcPr>
            <w:tcW w:type="dxa" w:w="3100"/>
          </w:tcPr>
          <w:p>
            <w:pPr>
              <w:spacing w:after="0"/>
              <w:jc w:val="left"/>
            </w:pPr>
            <w:r>
              <w:rPr>
                <w:rFonts w:ascii="Calibri" w:hAnsi="Calibri"/>
                <w:sz w:val="17"/>
              </w:rPr>
              <w:t>result_reporting.py</w:t>
            </w:r>
          </w:p>
        </w:tc>
        <w:tc>
          <w:tcPr>
            <w:tcW w:type="dxa" w:w="6260"/>
          </w:tcPr>
          <w:p>
            <w:pPr>
              <w:spacing w:after="0"/>
              <w:jc w:val="left"/>
            </w:pPr>
            <w:r>
              <w:rPr>
                <w:rFonts w:ascii="Calibri" w:hAnsi="Calibri"/>
                <w:sz w:val="17"/>
              </w:rPr>
              <w:t>Frozen result validation, eight tables, six figures, and structured summaries.</w:t>
            </w:r>
          </w:p>
        </w:tc>
      </w:tr>
      <w:tr>
        <w:tc>
          <w:tcPr>
            <w:tcW w:type="dxa" w:w="3100"/>
            <w:shd w:fill="F2F4F7"/>
          </w:tcPr>
          <w:p>
            <w:pPr>
              <w:spacing w:after="0"/>
              <w:jc w:val="left"/>
            </w:pPr>
            <w:r>
              <w:rPr>
                <w:rFonts w:ascii="Calibri" w:hAnsi="Calibri"/>
                <w:sz w:val="17"/>
              </w:rPr>
              <w:t>cli.py</w:t>
            </w:r>
          </w:p>
        </w:tc>
        <w:tc>
          <w:tcPr>
            <w:tcW w:type="dxa" w:w="6260"/>
            <w:shd w:fill="F2F4F7"/>
          </w:tcPr>
          <w:p>
            <w:pPr>
              <w:spacing w:after="0"/>
              <w:jc w:val="left"/>
            </w:pPr>
            <w:r>
              <w:rPr>
                <w:rFonts w:ascii="Calibri" w:hAnsi="Calibri"/>
                <w:sz w:val="17"/>
              </w:rPr>
              <w:t>Safe protocol-validation and scenario-smoke commands.</w:t>
            </w:r>
          </w:p>
        </w:tc>
      </w:tr>
    </w:tbl>
    <w:p>
      <w:pPr>
        <w:spacing w:after="0"/>
      </w:pPr>
    </w:p>
    <w:p>
      <w:r>
        <w:br w:type="page"/>
      </w:r>
    </w:p>
    <w:p>
      <w:pPr>
        <w:pStyle w:val="Heading1"/>
        <w:keepNext w:val="1"/>
        <w:keepLines w:val="1"/>
      </w:pPr>
      <w:r>
        <w:t>5. Data Architecture</w:t>
      </w:r>
    </w:p>
    <w:p>
      <w:pPr>
        <w:pStyle w:val="Heading2"/>
        <w:keepNext w:val="1"/>
        <w:keepLines w:val="1"/>
      </w:pPr>
      <w:r>
        <w:t>5.1 Source and Scope</w:t>
      </w:r>
    </w:p>
    <w:p>
      <w:r>
        <w:rPr>
          <w:rFonts w:ascii="Calibri" w:hAnsi="Calibri"/>
          <w:sz w:val="22"/>
        </w:rPr>
        <w:t>The governed source is mohanty/PlantVillage, configuration color, pinned to revision 9e97599868962bd0079b8db4b7f1efa9185fa1e7. The study scope contains five Tomato classes. The system preserves source split membership and biological leaf identity while deriving a canonical RGB hash for every materialized image.</w:t>
      </w:r>
    </w:p>
    <w:tbl>
      <w:tblPr>
        <w:tblStyle w:val="TableGrid"/>
        <w:tblW w:type="dxa" w:w="9360"/>
        <w:jc w:val="left"/>
        <w:tblLayout w:type="fixed"/>
        <w:tblLook w:firstColumn="1" w:firstRow="1" w:lastColumn="0" w:lastRow="0" w:noHBand="0" w:noVBand="1" w:val="04A0"/>
        <w:tblInd w:w="120" w:type="dxa"/>
      </w:tblPr>
      <w:tblGrid>
        <w:gridCol w:w="3000"/>
        <w:gridCol w:w="1400"/>
        <w:gridCol w:w="4960"/>
      </w:tblGrid>
      <w:tr>
        <w:trPr>
          <w:tblHeader w:val="true"/>
        </w:trPr>
        <w:tc>
          <w:tcPr>
            <w:tcW w:type="dxa" w:w="3000"/>
            <w:tcMar>
              <w:top w:w="80" w:type="dxa"/>
              <w:bottom w:w="80" w:type="dxa"/>
              <w:start w:w="120" w:type="dxa"/>
              <w:end w:w="120" w:type="dxa"/>
            </w:tcMar>
            <w:vAlign w:val="center"/>
            <w:shd w:fill="E8EEF5"/>
          </w:tcPr>
          <w:p>
            <w:pPr>
              <w:spacing w:after="0"/>
              <w:jc w:val="center"/>
            </w:pPr>
            <w:r>
              <w:rPr>
                <w:rFonts w:ascii="Calibri" w:hAnsi="Calibri"/>
                <w:b/>
                <w:color w:val="0B2545"/>
                <w:sz w:val="19"/>
              </w:rPr>
              <w:t>Frozen population</w:t>
            </w:r>
          </w:p>
        </w:tc>
        <w:tc>
          <w:tcPr>
            <w:tcW w:type="dxa" w:w="1400"/>
            <w:tcMar>
              <w:top w:w="80" w:type="dxa"/>
              <w:bottom w:w="80" w:type="dxa"/>
              <w:start w:w="120" w:type="dxa"/>
              <w:end w:w="120" w:type="dxa"/>
            </w:tcMar>
            <w:vAlign w:val="center"/>
            <w:shd w:fill="E8EEF5"/>
          </w:tcPr>
          <w:p>
            <w:pPr>
              <w:spacing w:after="0"/>
              <w:jc w:val="center"/>
            </w:pPr>
            <w:r>
              <w:rPr>
                <w:rFonts w:ascii="Calibri" w:hAnsi="Calibri"/>
                <w:b/>
                <w:color w:val="0B2545"/>
                <w:sz w:val="19"/>
              </w:rPr>
              <w:t>Count</w:t>
            </w:r>
          </w:p>
        </w:tc>
        <w:tc>
          <w:tcPr>
            <w:tcW w:type="dxa" w:w="4960"/>
            <w:tcMar>
              <w:top w:w="80" w:type="dxa"/>
              <w:bottom w:w="80" w:type="dxa"/>
              <w:start w:w="120" w:type="dxa"/>
              <w:end w:w="120" w:type="dxa"/>
            </w:tcMar>
            <w:vAlign w:val="center"/>
            <w:shd w:fill="E8EEF5"/>
          </w:tcPr>
          <w:p>
            <w:pPr>
              <w:spacing w:after="0"/>
              <w:jc w:val="center"/>
            </w:pPr>
            <w:r>
              <w:rPr>
                <w:rFonts w:ascii="Calibri" w:hAnsi="Calibri"/>
                <w:b/>
                <w:color w:val="0B2545"/>
                <w:sz w:val="19"/>
              </w:rPr>
              <w:t>Design meaning</w:t>
            </w:r>
          </w:p>
        </w:tc>
      </w:tr>
      <w:tr>
        <w:tc>
          <w:tcPr>
            <w:tcW w:type="dxa" w:w="3000"/>
          </w:tcPr>
          <w:p>
            <w:pPr>
              <w:spacing w:after="0"/>
              <w:jc w:val="left"/>
            </w:pPr>
            <w:r>
              <w:rPr>
                <w:rFonts w:ascii="Calibri" w:hAnsi="Calibri"/>
                <w:sz w:val="19"/>
              </w:rPr>
              <w:t>Eligible samples</w:t>
            </w:r>
          </w:p>
        </w:tc>
        <w:tc>
          <w:tcPr>
            <w:tcW w:type="dxa" w:w="1400"/>
          </w:tcPr>
          <w:p>
            <w:pPr>
              <w:spacing w:after="0"/>
              <w:jc w:val="center"/>
            </w:pPr>
            <w:r>
              <w:rPr>
                <w:rFonts w:ascii="Calibri" w:hAnsi="Calibri"/>
                <w:sz w:val="19"/>
              </w:rPr>
              <w:t>8,384</w:t>
            </w:r>
          </w:p>
        </w:tc>
        <w:tc>
          <w:tcPr>
            <w:tcW w:type="dxa" w:w="4960"/>
          </w:tcPr>
          <w:p>
            <w:pPr>
              <w:spacing w:after="0"/>
              <w:jc w:val="left"/>
            </w:pPr>
            <w:r>
              <w:rPr>
                <w:rFonts w:ascii="Calibri" w:hAnsi="Calibri"/>
                <w:sz w:val="19"/>
              </w:rPr>
              <w:t>Single reconciled modeling population after governed exclusions.</w:t>
            </w:r>
          </w:p>
        </w:tc>
      </w:tr>
      <w:tr>
        <w:tc>
          <w:tcPr>
            <w:tcW w:type="dxa" w:w="3000"/>
            <w:shd w:fill="F2F4F7"/>
          </w:tcPr>
          <w:p>
            <w:pPr>
              <w:spacing w:after="0"/>
              <w:jc w:val="left"/>
            </w:pPr>
            <w:r>
              <w:rPr>
                <w:rFonts w:ascii="Calibri" w:hAnsi="Calibri"/>
                <w:sz w:val="19"/>
              </w:rPr>
              <w:t>Train</w:t>
            </w:r>
          </w:p>
        </w:tc>
        <w:tc>
          <w:tcPr>
            <w:tcW w:type="dxa" w:w="1400"/>
            <w:shd w:fill="F2F4F7"/>
          </w:tcPr>
          <w:p>
            <w:pPr>
              <w:spacing w:after="0"/>
              <w:jc w:val="center"/>
            </w:pPr>
            <w:r>
              <w:rPr>
                <w:rFonts w:ascii="Calibri" w:hAnsi="Calibri"/>
                <w:sz w:val="19"/>
              </w:rPr>
              <w:t>5,328</w:t>
            </w:r>
          </w:p>
        </w:tc>
        <w:tc>
          <w:tcPr>
            <w:tcW w:type="dxa" w:w="4960"/>
            <w:shd w:fill="F2F4F7"/>
          </w:tcPr>
          <w:p>
            <w:pPr>
              <w:spacing w:after="0"/>
              <w:jc w:val="left"/>
            </w:pPr>
            <w:r>
              <w:rPr>
                <w:rFonts w:ascii="Calibri" w:hAnsi="Calibri"/>
                <w:sz w:val="19"/>
              </w:rPr>
              <w:t>Used for parameter optimization only.</w:t>
            </w:r>
          </w:p>
        </w:tc>
      </w:tr>
      <w:tr>
        <w:tc>
          <w:tcPr>
            <w:tcW w:type="dxa" w:w="3000"/>
          </w:tcPr>
          <w:p>
            <w:pPr>
              <w:spacing w:after="0"/>
              <w:jc w:val="left"/>
            </w:pPr>
            <w:r>
              <w:rPr>
                <w:rFonts w:ascii="Calibri" w:hAnsi="Calibri"/>
                <w:sz w:val="19"/>
              </w:rPr>
              <w:t>Validation</w:t>
            </w:r>
          </w:p>
        </w:tc>
        <w:tc>
          <w:tcPr>
            <w:tcW w:type="dxa" w:w="1400"/>
          </w:tcPr>
          <w:p>
            <w:pPr>
              <w:spacing w:after="0"/>
              <w:jc w:val="center"/>
            </w:pPr>
            <w:r>
              <w:rPr>
                <w:rFonts w:ascii="Calibri" w:hAnsi="Calibri"/>
                <w:sz w:val="19"/>
              </w:rPr>
              <w:t>1,363</w:t>
            </w:r>
          </w:p>
        </w:tc>
        <w:tc>
          <w:tcPr>
            <w:tcW w:type="dxa" w:w="4960"/>
          </w:tcPr>
          <w:p>
            <w:pPr>
              <w:spacing w:after="0"/>
              <w:jc w:val="left"/>
            </w:pPr>
            <w:r>
              <w:rPr>
                <w:rFonts w:ascii="Calibri" w:hAnsi="Calibri"/>
                <w:sz w:val="19"/>
              </w:rPr>
              <w:t>Used for checkpoint selection and G1 audit.</w:t>
            </w:r>
          </w:p>
        </w:tc>
      </w:tr>
      <w:tr>
        <w:tc>
          <w:tcPr>
            <w:tcW w:type="dxa" w:w="3000"/>
            <w:shd w:fill="F2F4F7"/>
          </w:tcPr>
          <w:p>
            <w:pPr>
              <w:spacing w:after="0"/>
              <w:jc w:val="left"/>
            </w:pPr>
            <w:r>
              <w:rPr>
                <w:rFonts w:ascii="Calibri" w:hAnsi="Calibri"/>
                <w:sz w:val="19"/>
              </w:rPr>
              <w:t>Official test</w:t>
            </w:r>
          </w:p>
        </w:tc>
        <w:tc>
          <w:tcPr>
            <w:tcW w:type="dxa" w:w="1400"/>
            <w:shd w:fill="F2F4F7"/>
          </w:tcPr>
          <w:p>
            <w:pPr>
              <w:spacing w:after="0"/>
              <w:jc w:val="center"/>
            </w:pPr>
            <w:r>
              <w:rPr>
                <w:rFonts w:ascii="Calibri" w:hAnsi="Calibri"/>
                <w:sz w:val="19"/>
              </w:rPr>
              <w:t>1,693</w:t>
            </w:r>
          </w:p>
        </w:tc>
        <w:tc>
          <w:tcPr>
            <w:tcW w:type="dxa" w:w="4960"/>
            <w:shd w:fill="F2F4F7"/>
          </w:tcPr>
          <w:p>
            <w:pPr>
              <w:spacing w:after="0"/>
              <w:jc w:val="left"/>
            </w:pPr>
            <w:r>
              <w:rPr>
                <w:rFonts w:ascii="Calibri" w:hAnsi="Calibri"/>
                <w:sz w:val="19"/>
              </w:rPr>
              <w:t>Preserved exactly and inaccessible before G2.</w:t>
            </w:r>
          </w:p>
        </w:tc>
      </w:tr>
      <w:tr>
        <w:tc>
          <w:tcPr>
            <w:tcW w:type="dxa" w:w="3000"/>
          </w:tcPr>
          <w:p>
            <w:pPr>
              <w:spacing w:after="0"/>
              <w:jc w:val="left"/>
            </w:pPr>
            <w:r>
              <w:rPr>
                <w:rFonts w:ascii="Calibri" w:hAnsi="Calibri"/>
                <w:sz w:val="19"/>
              </w:rPr>
              <w:t>Quarantined train</w:t>
            </w:r>
          </w:p>
        </w:tc>
        <w:tc>
          <w:tcPr>
            <w:tcW w:type="dxa" w:w="1400"/>
          </w:tcPr>
          <w:p>
            <w:pPr>
              <w:spacing w:after="0"/>
              <w:jc w:val="center"/>
            </w:pPr>
            <w:r>
              <w:rPr>
                <w:rFonts w:ascii="Calibri" w:hAnsi="Calibri"/>
                <w:sz w:val="19"/>
              </w:rPr>
              <w:t>14</w:t>
            </w:r>
          </w:p>
        </w:tc>
        <w:tc>
          <w:tcPr>
            <w:tcW w:type="dxa" w:w="4960"/>
          </w:tcPr>
          <w:p>
            <w:pPr>
              <w:spacing w:after="0"/>
              <w:jc w:val="left"/>
            </w:pPr>
            <w:r>
              <w:rPr>
                <w:rFonts w:ascii="Calibri" w:hAnsi="Calibri"/>
                <w:sz w:val="19"/>
              </w:rPr>
              <w:t>Five source-train leaf overlaps plus nine redundant exact duplicates.</w:t>
            </w:r>
          </w:p>
        </w:tc>
      </w:tr>
    </w:tbl>
    <w:p>
      <w:pPr>
        <w:spacing w:after="0"/>
      </w:pPr>
    </w:p>
    <w:p>
      <w:pPr>
        <w:pStyle w:val="Heading2"/>
        <w:keepNext w:val="1"/>
        <w:keepLines w:val="1"/>
      </w:pPr>
      <w:r>
        <w:t>5.2 Identity and Integrity Chain</w:t>
      </w:r>
    </w:p>
    <w:p>
      <w:pPr>
        <w:numPr>
          <w:ilvl w:val="0"/>
          <w:numId w:val="11"/>
        </w:numPr>
      </w:pPr>
      <w:r>
        <w:rPr>
          <w:rFonts w:ascii="Calibri" w:hAnsi="Calibri"/>
          <w:sz w:val="22"/>
        </w:rPr>
        <w:t>Resolve source filename, class, split, source row, and leaf identity.</w:t>
      </w:r>
    </w:p>
    <w:p>
      <w:pPr>
        <w:numPr>
          <w:ilvl w:val="0"/>
          <w:numId w:val="11"/>
        </w:numPr>
      </w:pPr>
      <w:r>
        <w:rPr>
          <w:rFonts w:ascii="Calibri" w:hAnsi="Calibri"/>
          <w:sz w:val="22"/>
        </w:rPr>
        <w:t>Decode the image to canonical RGB and compute pixel SHA-256 plus dimensions.</w:t>
      </w:r>
    </w:p>
    <w:p>
      <w:pPr>
        <w:numPr>
          <w:ilvl w:val="0"/>
          <w:numId w:val="11"/>
        </w:numPr>
      </w:pPr>
      <w:r>
        <w:rPr>
          <w:rFonts w:ascii="Calibri" w:hAnsi="Calibri"/>
          <w:sz w:val="22"/>
        </w:rPr>
        <w:t>Construct sample_id from canonical relative path and canonical RGB hash.</w:t>
      </w:r>
    </w:p>
    <w:p>
      <w:pPr>
        <w:numPr>
          <w:ilvl w:val="0"/>
          <w:numId w:val="11"/>
        </w:numPr>
      </w:pPr>
      <w:r>
        <w:rPr>
          <w:rFonts w:ascii="Calibri" w:hAnsi="Calibri"/>
          <w:sz w:val="22"/>
        </w:rPr>
        <w:t>Retain every selected row in lineage evidence and apply only approved quarantine decisions.</w:t>
      </w:r>
    </w:p>
    <w:p>
      <w:pPr>
        <w:numPr>
          <w:ilvl w:val="0"/>
          <w:numId w:val="11"/>
        </w:numPr>
      </w:pPr>
      <w:r>
        <w:rPr>
          <w:rFonts w:ascii="Calibri" w:hAnsi="Calibri"/>
          <w:sz w:val="22"/>
        </w:rPr>
        <w:t>Validate that sample IDs and leaf IDs do not cross frozen splits.</w:t>
      </w:r>
    </w:p>
    <w:p>
      <w:pPr>
        <w:numPr>
          <w:ilvl w:val="0"/>
          <w:numId w:val="11"/>
        </w:numPr>
      </w:pPr>
      <w:r>
        <w:rPr>
          <w:rFonts w:ascii="Calibri" w:hAnsi="Calibri"/>
          <w:sz w:val="22"/>
        </w:rPr>
        <w:t>Write dataset_manifest.csv/parquet, split CSVs, leakage report, summary, and freeze record.</w:t>
      </w:r>
    </w:p>
    <w:p>
      <w:pPr>
        <w:numPr>
          <w:ilvl w:val="0"/>
          <w:numId w:val="11"/>
        </w:numPr>
      </w:pPr>
      <w:r>
        <w:rPr>
          <w:rFonts w:ascii="Calibri" w:hAnsi="Calibri"/>
          <w:sz w:val="22"/>
        </w:rPr>
        <w:t>At runtime, re-open each requested image and verify path, dimensions, RGB hash, range, split, and identity metadata.</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pPr>
            <w:r>
              <w:rPr>
                <w:rFonts w:ascii="Calibri" w:hAnsi="Calibri"/>
                <w:b/>
                <w:color w:val="1F4D78"/>
                <w:sz w:val="22"/>
              </w:rPr>
              <w:t xml:space="preserve">Runtime rule: </w:t>
            </w:r>
            <w:r>
              <w:rPr>
                <w:rFonts w:ascii="Calibri" w:hAnsi="Calibri"/>
                <w:sz w:val="22"/>
              </w:rPr>
              <w:t>Training and evaluation consume the frozen manifest. Directory scanning, row-index identity, and ad-hoc resplitting are prohibited.</w:t>
            </w:r>
          </w:p>
        </w:tc>
      </w:tr>
    </w:tbl>
    <w:p>
      <w:pPr>
        <w:spacing w:after="0"/>
      </w:pPr>
    </w:p>
    <w:p>
      <w:pPr>
        <w:pStyle w:val="Heading2"/>
        <w:keepNext w:val="1"/>
        <w:keepLines w:val="1"/>
      </w:pPr>
      <w:r>
        <w:t>5.3 DataLoader Boundary</w:t>
      </w:r>
    </w:p>
    <w:p>
      <w:r>
        <w:rPr>
          <w:rFonts w:ascii="Calibri" w:hAnsi="Calibri"/>
          <w:sz w:val="22"/>
        </w:rPr>
        <w:t>PlantDataset returns both a normalized model tensor and identity metadata. Image-domain transformations operate on RGB float pixels before ImageNet normalization. The DataLoader uses a seeded generator and seeded workers, does not shuffle validation/test, and preserves exact sample ordering where coverage reconciliation requires it.</w:t>
      </w:r>
    </w:p>
    <w:p>
      <w:pPr>
        <w:pStyle w:val="Heading1"/>
        <w:keepNext w:val="1"/>
        <w:keepLines w:val="1"/>
      </w:pPr>
      <w:r>
        <w:t>6. Model and Training Architecture</w:t>
      </w:r>
    </w:p>
    <w:tbl>
      <w:tblPr>
        <w:tblStyle w:val="TableGrid"/>
        <w:tblW w:type="dxa" w:w="9360"/>
        <w:jc w:val="left"/>
        <w:tblLayout w:type="fixed"/>
        <w:tblLook w:firstColumn="1" w:firstRow="1" w:lastColumn="0" w:lastRow="0" w:noHBand="0" w:noVBand="1" w:val="04A0"/>
        <w:tblInd w:w="120" w:type="dxa"/>
      </w:tblPr>
      <w:tblGrid>
        <w:gridCol w:w="2200"/>
        <w:gridCol w:w="2200"/>
        <w:gridCol w:w="2760"/>
        <w:gridCol w:w="2200"/>
      </w:tblGrid>
      <w:tr>
        <w:trPr>
          <w:tblHeader w:val="true"/>
        </w:trPr>
        <w:tc>
          <w:tcPr>
            <w:tcW w:type="dxa" w:w="2200"/>
            <w:tcMar>
              <w:top w:w="80" w:type="dxa"/>
              <w:bottom w:w="80" w:type="dxa"/>
              <w:start w:w="120" w:type="dxa"/>
              <w:end w:w="120" w:type="dxa"/>
            </w:tcMar>
            <w:vAlign w:val="center"/>
            <w:shd w:fill="E8EEF5"/>
          </w:tcPr>
          <w:p>
            <w:pPr>
              <w:spacing w:after="0"/>
              <w:jc w:val="center"/>
            </w:pPr>
            <w:r>
              <w:rPr>
                <w:rFonts w:ascii="Calibri" w:hAnsi="Calibri"/>
                <w:b/>
                <w:color w:val="0B2545"/>
                <w:sz w:val="19"/>
              </w:rPr>
              <w:t>Backbone</w:t>
            </w:r>
          </w:p>
        </w:tc>
        <w:tc>
          <w:tcPr>
            <w:tcW w:type="dxa" w:w="2200"/>
            <w:tcMar>
              <w:top w:w="80" w:type="dxa"/>
              <w:bottom w:w="80" w:type="dxa"/>
              <w:start w:w="120" w:type="dxa"/>
              <w:end w:w="120" w:type="dxa"/>
            </w:tcMar>
            <w:vAlign w:val="center"/>
            <w:shd w:fill="E8EEF5"/>
          </w:tcPr>
          <w:p>
            <w:pPr>
              <w:spacing w:after="0"/>
              <w:jc w:val="center"/>
            </w:pPr>
            <w:r>
              <w:rPr>
                <w:rFonts w:ascii="Calibri" w:hAnsi="Calibri"/>
                <w:b/>
                <w:color w:val="0B2545"/>
                <w:sz w:val="19"/>
              </w:rPr>
              <w:t>Initialization</w:t>
            </w:r>
          </w:p>
        </w:tc>
        <w:tc>
          <w:tcPr>
            <w:tcW w:type="dxa" w:w="2760"/>
            <w:tcMar>
              <w:top w:w="80" w:type="dxa"/>
              <w:bottom w:w="80" w:type="dxa"/>
              <w:start w:w="120" w:type="dxa"/>
              <w:end w:w="120" w:type="dxa"/>
            </w:tcMar>
            <w:vAlign w:val="center"/>
            <w:shd w:fill="E8EEF5"/>
          </w:tcPr>
          <w:p>
            <w:pPr>
              <w:spacing w:after="0"/>
              <w:jc w:val="center"/>
            </w:pPr>
            <w:r>
              <w:rPr>
                <w:rFonts w:ascii="Calibri" w:hAnsi="Calibri"/>
                <w:b/>
                <w:color w:val="0B2545"/>
                <w:sz w:val="19"/>
              </w:rPr>
              <w:t>Classifier</w:t>
            </w:r>
          </w:p>
        </w:tc>
        <w:tc>
          <w:tcPr>
            <w:tcW w:type="dxa" w:w="2200"/>
            <w:tcMar>
              <w:top w:w="80" w:type="dxa"/>
              <w:bottom w:w="80" w:type="dxa"/>
              <w:start w:w="120" w:type="dxa"/>
              <w:end w:w="120" w:type="dxa"/>
            </w:tcMar>
            <w:vAlign w:val="center"/>
            <w:shd w:fill="E8EEF5"/>
          </w:tcPr>
          <w:p>
            <w:pPr>
              <w:spacing w:after="0"/>
              <w:jc w:val="center"/>
            </w:pPr>
            <w:r>
              <w:rPr>
                <w:rFonts w:ascii="Calibri" w:hAnsi="Calibri"/>
                <w:b/>
                <w:color w:val="0B2545"/>
                <w:sz w:val="19"/>
              </w:rPr>
              <w:t>CAM target</w:t>
            </w:r>
          </w:p>
        </w:tc>
      </w:tr>
      <w:tr>
        <w:tc>
          <w:tcPr>
            <w:tcW w:type="dxa" w:w="2200"/>
          </w:tcPr>
          <w:p>
            <w:pPr>
              <w:spacing w:after="0"/>
              <w:jc w:val="left"/>
            </w:pPr>
            <w:r>
              <w:rPr>
                <w:rFonts w:ascii="Calibri" w:hAnsi="Calibri"/>
                <w:sz w:val="19"/>
              </w:rPr>
              <w:t>ResNet50</w:t>
            </w:r>
          </w:p>
        </w:tc>
        <w:tc>
          <w:tcPr>
            <w:tcW w:type="dxa" w:w="2200"/>
          </w:tcPr>
          <w:p>
            <w:pPr>
              <w:spacing w:after="0"/>
              <w:jc w:val="center"/>
            </w:pPr>
            <w:r>
              <w:rPr>
                <w:rFonts w:ascii="Calibri" w:hAnsi="Calibri"/>
                <w:sz w:val="19"/>
              </w:rPr>
              <w:t>IMAGENET1K_V2</w:t>
            </w:r>
          </w:p>
        </w:tc>
        <w:tc>
          <w:tcPr>
            <w:tcW w:type="dxa" w:w="2760"/>
          </w:tcPr>
          <w:p>
            <w:pPr>
              <w:spacing w:after="0"/>
              <w:jc w:val="left"/>
            </w:pPr>
            <w:r>
              <w:rPr>
                <w:rFonts w:ascii="Calibri" w:hAnsi="Calibri"/>
                <w:sz w:val="19"/>
              </w:rPr>
              <w:t>Five-class replacement head</w:t>
            </w:r>
          </w:p>
        </w:tc>
        <w:tc>
          <w:tcPr>
            <w:tcW w:type="dxa" w:w="2200"/>
          </w:tcPr>
          <w:p>
            <w:pPr>
              <w:spacing w:after="0"/>
              <w:jc w:val="center"/>
            </w:pPr>
            <w:r>
              <w:rPr>
                <w:rFonts w:ascii="Calibri" w:hAnsi="Calibri"/>
                <w:sz w:val="19"/>
              </w:rPr>
              <w:t>layer4[-1]</w:t>
            </w:r>
          </w:p>
        </w:tc>
      </w:tr>
      <w:tr>
        <w:tc>
          <w:tcPr>
            <w:tcW w:type="dxa" w:w="2200"/>
            <w:shd w:fill="F2F4F7"/>
          </w:tcPr>
          <w:p>
            <w:pPr>
              <w:spacing w:after="0"/>
              <w:jc w:val="left"/>
            </w:pPr>
            <w:r>
              <w:rPr>
                <w:rFonts w:ascii="Calibri" w:hAnsi="Calibri"/>
                <w:sz w:val="19"/>
              </w:rPr>
              <w:t>EfficientNet-B0</w:t>
            </w:r>
          </w:p>
        </w:tc>
        <w:tc>
          <w:tcPr>
            <w:tcW w:type="dxa" w:w="2200"/>
            <w:shd w:fill="F2F4F7"/>
          </w:tcPr>
          <w:p>
            <w:pPr>
              <w:spacing w:after="0"/>
              <w:jc w:val="center"/>
            </w:pPr>
            <w:r>
              <w:rPr>
                <w:rFonts w:ascii="Calibri" w:hAnsi="Calibri"/>
                <w:sz w:val="19"/>
              </w:rPr>
              <w:t>IMAGENET1K_V1</w:t>
            </w:r>
          </w:p>
        </w:tc>
        <w:tc>
          <w:tcPr>
            <w:tcW w:type="dxa" w:w="2760"/>
            <w:shd w:fill="F2F4F7"/>
          </w:tcPr>
          <w:p>
            <w:pPr>
              <w:spacing w:after="0"/>
              <w:jc w:val="left"/>
            </w:pPr>
            <w:r>
              <w:rPr>
                <w:rFonts w:ascii="Calibri" w:hAnsi="Calibri"/>
                <w:sz w:val="19"/>
              </w:rPr>
              <w:t>Five-class replacement head</w:t>
            </w:r>
          </w:p>
        </w:tc>
        <w:tc>
          <w:tcPr>
            <w:tcW w:type="dxa" w:w="2200"/>
            <w:shd w:fill="F2F4F7"/>
          </w:tcPr>
          <w:p>
            <w:pPr>
              <w:spacing w:after="0"/>
              <w:jc w:val="center"/>
            </w:pPr>
            <w:r>
              <w:rPr>
                <w:rFonts w:ascii="Calibri" w:hAnsi="Calibri"/>
                <w:sz w:val="19"/>
              </w:rPr>
              <w:t>features[-1]</w:t>
            </w:r>
          </w:p>
        </w:tc>
      </w:tr>
    </w:tbl>
    <w:p>
      <w:pPr>
        <w:spacing w:after="0"/>
      </w:pPr>
    </w:p>
    <w:p>
      <w:pPr>
        <w:pStyle w:val="Heading2"/>
        <w:keepNext w:val="1"/>
        <w:keepLines w:val="1"/>
      </w:pPr>
      <w:r>
        <w:t>6.1 Training Policy</w:t>
      </w:r>
    </w:p>
    <w:p>
      <w:pPr>
        <w:numPr>
          <w:ilvl w:val="0"/>
          <w:numId w:val="10"/>
        </w:numPr>
      </w:pPr>
      <w:r>
        <w:rPr>
          <w:rFonts w:ascii="Calibri" w:hAnsi="Calibri"/>
          <w:sz w:val="22"/>
        </w:rPr>
        <w:t>Full-model fine-tuning with cross-entropy, AdamW, weight decay 0.0001, and cosine scheduling.</w:t>
      </w:r>
    </w:p>
    <w:p>
      <w:pPr>
        <w:numPr>
          <w:ilvl w:val="0"/>
          <w:numId w:val="10"/>
        </w:numPr>
      </w:pPr>
      <w:r>
        <w:rPr>
          <w:rFonts w:ascii="Calibri" w:hAnsi="Calibri"/>
          <w:sz w:val="22"/>
        </w:rPr>
        <w:t>Batch size 32, maximum 50 epochs, validation macro-F1 selection, and patience 8.</w:t>
      </w:r>
    </w:p>
    <w:p>
      <w:pPr>
        <w:numPr>
          <w:ilvl w:val="0"/>
          <w:numId w:val="10"/>
        </w:numPr>
      </w:pPr>
      <w:r>
        <w:rPr>
          <w:rFonts w:ascii="Calibri" w:hAnsi="Calibri"/>
          <w:sz w:val="22"/>
        </w:rPr>
        <w:t>Seed 42, deterministic algorithms, deterministic cuDNN behavior, and mixed precision on CUDA.</w:t>
      </w:r>
    </w:p>
    <w:p>
      <w:pPr>
        <w:numPr>
          <w:ilvl w:val="0"/>
          <w:numId w:val="10"/>
        </w:numPr>
      </w:pPr>
      <w:r>
        <w:rPr>
          <w:rFonts w:ascii="Calibri" w:hAnsi="Calibri"/>
          <w:sz w:val="22"/>
        </w:rPr>
        <w:t>No class weighting and no official-test loader accepted by the training API.</w:t>
      </w:r>
    </w:p>
    <w:p>
      <w:pPr>
        <w:numPr>
          <w:ilvl w:val="0"/>
          <w:numId w:val="10"/>
        </w:numPr>
      </w:pPr>
      <w:r>
        <w:rPr>
          <w:rFonts w:ascii="Calibri" w:hAnsi="Calibri"/>
          <w:sz w:val="22"/>
        </w:rPr>
        <w:t>Atomic latest training state and best validation-selected checkpoint at each completed epoch.</w:t>
      </w:r>
    </w:p>
    <w:p>
      <w:pPr>
        <w:pStyle w:val="Heading2"/>
        <w:keepNext w:val="1"/>
        <w:keepLines w:val="1"/>
      </w:pPr>
      <w:r>
        <w:t>6.2 Resume Contract</w:t>
      </w:r>
    </w:p>
    <w:p>
      <w:r>
        <w:rPr>
          <w:rFonts w:ascii="Calibri" w:hAnsi="Calibri"/>
          <w:sz w:val="22"/>
        </w:rPr>
        <w:t>A resumable checkpoint stores model, optimizer, scheduler, GradScaler, epoch, best score, stale-epoch count, history, CPU/CUDA/NumPy/Python RNG state, and DataLoader generator state. Resume verifies model ID, class count, protocol hash, manifest hash, and the complete training configuration. Any mismatch blocks continuation.</w:t>
      </w:r>
    </w:p>
    <w:p>
      <w:pPr>
        <w:pStyle w:val="Heading2"/>
        <w:keepNext w:val="1"/>
        <w:keepLines w:val="1"/>
      </w:pPr>
      <w:r>
        <w:t>6.3 Validation Audit and G1</w:t>
      </w:r>
    </w:p>
    <w:p>
      <w:r>
        <w:rPr>
          <w:rFonts w:ascii="Calibri" w:hAnsi="Calibri"/>
          <w:sz w:val="22"/>
        </w:rPr>
        <w:t>The validation audit loads only validation pixels, reproduces the selected macro-F1, verifies exact identity coverage, and writes per-sample probabilities, per-class precision/recall/F1, confusion matrix, NLL, Brier score, and artifact hashes. G1 approval registers both checkpoints without using official-test outcomes.</w:t>
      </w:r>
    </w:p>
    <w:p>
      <w:r>
        <w:br w:type="page"/>
      </w:r>
    </w:p>
    <w:p>
      <w:pPr>
        <w:pStyle w:val="Heading1"/>
        <w:keepNext w:val="1"/>
        <w:keepLines w:val="1"/>
      </w:pPr>
      <w:r>
        <w:t>7. Transformation Architecture</w:t>
      </w:r>
    </w:p>
    <w:p>
      <w:r>
        <w:rPr>
          <w:rFonts w:ascii="Calibri" w:hAnsi="Calibri"/>
          <w:sz w:val="22"/>
        </w:rPr>
        <w:t>TransformationPipeline implements four deterministic image-domain operators at mild, moderate, and severe levels, producing twelve scenarios. A seed is derived from the global seed, sample identity, and transformation family. Shared randomization keeps rotation/brightness direction and the Gaussian base-noise field consistent across severity levels for the same sample.</w:t>
      </w:r>
    </w:p>
    <w:tbl>
      <w:tblPr>
        <w:tblStyle w:val="TableGrid"/>
        <w:tblW w:type="dxa" w:w="9360"/>
        <w:jc w:val="left"/>
        <w:tblLayout w:type="fixed"/>
        <w:tblLook w:firstColumn="1" w:firstRow="1" w:lastColumn="0" w:lastRow="0" w:noHBand="0" w:noVBand="1" w:val="04A0"/>
        <w:tblInd w:w="120" w:type="dxa"/>
      </w:tblPr>
      <w:tblGrid>
        <w:gridCol w:w="2000"/>
        <w:gridCol w:w="1300"/>
        <w:gridCol w:w="1500"/>
        <w:gridCol w:w="1400"/>
        <w:gridCol w:w="3160"/>
      </w:tblGrid>
      <w:tr>
        <w:trPr>
          <w:tblHeader w:val="true"/>
        </w:trPr>
        <w:tc>
          <w:tcPr>
            <w:tcW w:type="dxa" w:w="2000"/>
            <w:tcMar>
              <w:top w:w="80" w:type="dxa"/>
              <w:bottom w:w="80" w:type="dxa"/>
              <w:start w:w="120" w:type="dxa"/>
              <w:end w:w="120" w:type="dxa"/>
            </w:tcMar>
            <w:vAlign w:val="center"/>
            <w:shd w:fill="E8EEF5"/>
          </w:tcPr>
          <w:p>
            <w:pPr>
              <w:spacing w:after="0"/>
              <w:jc w:val="center"/>
            </w:pPr>
            <w:r>
              <w:rPr>
                <w:rFonts w:ascii="Calibri" w:hAnsi="Calibri"/>
                <w:b/>
                <w:color w:val="0B2545"/>
                <w:sz w:val="18"/>
              </w:rPr>
              <w:t>Transformation</w:t>
            </w:r>
          </w:p>
        </w:tc>
        <w:tc>
          <w:tcPr>
            <w:tcW w:type="dxa" w:w="1300"/>
            <w:tcMar>
              <w:top w:w="80" w:type="dxa"/>
              <w:bottom w:w="80" w:type="dxa"/>
              <w:start w:w="120" w:type="dxa"/>
              <w:end w:w="120" w:type="dxa"/>
            </w:tcMar>
            <w:vAlign w:val="center"/>
            <w:shd w:fill="E8EEF5"/>
          </w:tcPr>
          <w:p>
            <w:pPr>
              <w:spacing w:after="0"/>
              <w:jc w:val="center"/>
            </w:pPr>
            <w:r>
              <w:rPr>
                <w:rFonts w:ascii="Calibri" w:hAnsi="Calibri"/>
                <w:b/>
                <w:color w:val="0B2545"/>
                <w:sz w:val="18"/>
              </w:rPr>
              <w:t>Mild</w:t>
            </w:r>
          </w:p>
        </w:tc>
        <w:tc>
          <w:tcPr>
            <w:tcW w:type="dxa" w:w="1500"/>
            <w:tcMar>
              <w:top w:w="80" w:type="dxa"/>
              <w:bottom w:w="80" w:type="dxa"/>
              <w:start w:w="120" w:type="dxa"/>
              <w:end w:w="120" w:type="dxa"/>
            </w:tcMar>
            <w:vAlign w:val="center"/>
            <w:shd w:fill="E8EEF5"/>
          </w:tcPr>
          <w:p>
            <w:pPr>
              <w:spacing w:after="0"/>
              <w:jc w:val="center"/>
            </w:pPr>
            <w:r>
              <w:rPr>
                <w:rFonts w:ascii="Calibri" w:hAnsi="Calibri"/>
                <w:b/>
                <w:color w:val="0B2545"/>
                <w:sz w:val="18"/>
              </w:rPr>
              <w:t>Moderate</w:t>
            </w:r>
          </w:p>
        </w:tc>
        <w:tc>
          <w:tcPr>
            <w:tcW w:type="dxa" w:w="1400"/>
            <w:tcMar>
              <w:top w:w="80" w:type="dxa"/>
              <w:bottom w:w="80" w:type="dxa"/>
              <w:start w:w="120" w:type="dxa"/>
              <w:end w:w="120" w:type="dxa"/>
            </w:tcMar>
            <w:vAlign w:val="center"/>
            <w:shd w:fill="E8EEF5"/>
          </w:tcPr>
          <w:p>
            <w:pPr>
              <w:spacing w:after="0"/>
              <w:jc w:val="center"/>
            </w:pPr>
            <w:r>
              <w:rPr>
                <w:rFonts w:ascii="Calibri" w:hAnsi="Calibri"/>
                <w:b/>
                <w:color w:val="0B2545"/>
                <w:sz w:val="18"/>
              </w:rPr>
              <w:t>Severe</w:t>
            </w:r>
          </w:p>
        </w:tc>
        <w:tc>
          <w:tcPr>
            <w:tcW w:type="dxa" w:w="3160"/>
            <w:tcMar>
              <w:top w:w="80" w:type="dxa"/>
              <w:bottom w:w="80" w:type="dxa"/>
              <w:start w:w="120" w:type="dxa"/>
              <w:end w:w="120" w:type="dxa"/>
            </w:tcMar>
            <w:vAlign w:val="center"/>
            <w:shd w:fill="E8EEF5"/>
          </w:tcPr>
          <w:p>
            <w:pPr>
              <w:spacing w:after="0"/>
              <w:jc w:val="center"/>
            </w:pPr>
            <w:r>
              <w:rPr>
                <w:rFonts w:ascii="Calibri" w:hAnsi="Calibri"/>
                <w:b/>
                <w:color w:val="0B2545"/>
                <w:sz w:val="18"/>
              </w:rPr>
              <w:t>Key policy</w:t>
            </w:r>
          </w:p>
        </w:tc>
      </w:tr>
      <w:tr>
        <w:tc>
          <w:tcPr>
            <w:tcW w:type="dxa" w:w="2000"/>
          </w:tcPr>
          <w:p>
            <w:pPr>
              <w:spacing w:after="0"/>
              <w:jc w:val="left"/>
            </w:pPr>
            <w:r>
              <w:rPr>
                <w:rFonts w:ascii="Calibri" w:hAnsi="Calibri"/>
                <w:sz w:val="18"/>
              </w:rPr>
              <w:t>Rotation</w:t>
            </w:r>
          </w:p>
        </w:tc>
        <w:tc>
          <w:tcPr>
            <w:tcW w:type="dxa" w:w="1300"/>
          </w:tcPr>
          <w:p>
            <w:pPr>
              <w:spacing w:after="0"/>
              <w:jc w:val="center"/>
            </w:pPr>
            <w:r>
              <w:rPr>
                <w:rFonts w:ascii="Calibri" w:hAnsi="Calibri"/>
                <w:sz w:val="18"/>
              </w:rPr>
              <w:t>10 deg</w:t>
            </w:r>
          </w:p>
        </w:tc>
        <w:tc>
          <w:tcPr>
            <w:tcW w:type="dxa" w:w="1500"/>
          </w:tcPr>
          <w:p>
            <w:pPr>
              <w:spacing w:after="0"/>
              <w:jc w:val="center"/>
            </w:pPr>
            <w:r>
              <w:rPr>
                <w:rFonts w:ascii="Calibri" w:hAnsi="Calibri"/>
                <w:sz w:val="18"/>
              </w:rPr>
              <w:t>25 deg</w:t>
            </w:r>
          </w:p>
        </w:tc>
        <w:tc>
          <w:tcPr>
            <w:tcW w:type="dxa" w:w="1400"/>
          </w:tcPr>
          <w:p>
            <w:pPr>
              <w:spacing w:after="0"/>
              <w:jc w:val="center"/>
            </w:pPr>
            <w:r>
              <w:rPr>
                <w:rFonts w:ascii="Calibri" w:hAnsi="Calibri"/>
                <w:sz w:val="18"/>
              </w:rPr>
              <w:t>45 deg</w:t>
            </w:r>
          </w:p>
        </w:tc>
        <w:tc>
          <w:tcPr>
            <w:tcW w:type="dxa" w:w="3160"/>
          </w:tcPr>
          <w:p>
            <w:pPr>
              <w:spacing w:after="0"/>
              <w:jc w:val="left"/>
            </w:pPr>
            <w:r>
              <w:rPr>
                <w:rFonts w:ascii="Calibri" w:hAnsi="Calibri"/>
                <w:sz w:val="18"/>
              </w:rPr>
              <w:t>Bilinear, constant-zero fill, geometric valid-region mask.</w:t>
            </w:r>
          </w:p>
        </w:tc>
      </w:tr>
      <w:tr>
        <w:tc>
          <w:tcPr>
            <w:tcW w:type="dxa" w:w="2000"/>
            <w:shd w:fill="F2F4F7"/>
          </w:tcPr>
          <w:p>
            <w:pPr>
              <w:spacing w:after="0"/>
              <w:jc w:val="left"/>
            </w:pPr>
            <w:r>
              <w:rPr>
                <w:rFonts w:ascii="Calibri" w:hAnsi="Calibri"/>
                <w:sz w:val="18"/>
              </w:rPr>
              <w:t>Brightness</w:t>
            </w:r>
          </w:p>
        </w:tc>
        <w:tc>
          <w:tcPr>
            <w:tcW w:type="dxa" w:w="1300"/>
            <w:shd w:fill="F2F4F7"/>
          </w:tcPr>
          <w:p>
            <w:pPr>
              <w:spacing w:after="0"/>
              <w:jc w:val="center"/>
            </w:pPr>
            <w:r>
              <w:rPr>
                <w:rFonts w:ascii="Calibri" w:hAnsi="Calibri"/>
                <w:sz w:val="18"/>
              </w:rPr>
              <w:t>0.10</w:t>
            </w:r>
          </w:p>
        </w:tc>
        <w:tc>
          <w:tcPr>
            <w:tcW w:type="dxa" w:w="1500"/>
            <w:shd w:fill="F2F4F7"/>
          </w:tcPr>
          <w:p>
            <w:pPr>
              <w:spacing w:after="0"/>
              <w:jc w:val="center"/>
            </w:pPr>
            <w:r>
              <w:rPr>
                <w:rFonts w:ascii="Calibri" w:hAnsi="Calibri"/>
                <w:sz w:val="18"/>
              </w:rPr>
              <w:t>0.30</w:t>
            </w:r>
          </w:p>
        </w:tc>
        <w:tc>
          <w:tcPr>
            <w:tcW w:type="dxa" w:w="1400"/>
            <w:shd w:fill="F2F4F7"/>
          </w:tcPr>
          <w:p>
            <w:pPr>
              <w:spacing w:after="0"/>
              <w:jc w:val="center"/>
            </w:pPr>
            <w:r>
              <w:rPr>
                <w:rFonts w:ascii="Calibri" w:hAnsi="Calibri"/>
                <w:sz w:val="18"/>
              </w:rPr>
              <w:t>0.50</w:t>
            </w:r>
          </w:p>
        </w:tc>
        <w:tc>
          <w:tcPr>
            <w:tcW w:type="dxa" w:w="3160"/>
            <w:shd w:fill="F2F4F7"/>
          </w:tcPr>
          <w:p>
            <w:pPr>
              <w:spacing w:after="0"/>
              <w:jc w:val="left"/>
            </w:pPr>
            <w:r>
              <w:rPr>
                <w:rFonts w:ascii="Calibri" w:hAnsi="Calibri"/>
                <w:sz w:val="18"/>
              </w:rPr>
              <w:t>Shared sign/direction across severity.</w:t>
            </w:r>
          </w:p>
        </w:tc>
      </w:tr>
      <w:tr>
        <w:tc>
          <w:tcPr>
            <w:tcW w:type="dxa" w:w="2000"/>
          </w:tcPr>
          <w:p>
            <w:pPr>
              <w:spacing w:after="0"/>
              <w:jc w:val="left"/>
            </w:pPr>
            <w:r>
              <w:rPr>
                <w:rFonts w:ascii="Calibri" w:hAnsi="Calibri"/>
                <w:sz w:val="18"/>
              </w:rPr>
              <w:t>Gaussian noise</w:t>
            </w:r>
          </w:p>
        </w:tc>
        <w:tc>
          <w:tcPr>
            <w:tcW w:type="dxa" w:w="1300"/>
          </w:tcPr>
          <w:p>
            <w:pPr>
              <w:spacing w:after="0"/>
              <w:jc w:val="center"/>
            </w:pPr>
            <w:r>
              <w:rPr>
                <w:rFonts w:ascii="Calibri" w:hAnsi="Calibri"/>
                <w:sz w:val="18"/>
              </w:rPr>
              <w:t>sigma 0.01</w:t>
            </w:r>
          </w:p>
        </w:tc>
        <w:tc>
          <w:tcPr>
            <w:tcW w:type="dxa" w:w="1500"/>
          </w:tcPr>
          <w:p>
            <w:pPr>
              <w:spacing w:after="0"/>
              <w:jc w:val="center"/>
            </w:pPr>
            <w:r>
              <w:rPr>
                <w:rFonts w:ascii="Calibri" w:hAnsi="Calibri"/>
                <w:sz w:val="18"/>
              </w:rPr>
              <w:t>sigma 0.05</w:t>
            </w:r>
          </w:p>
        </w:tc>
        <w:tc>
          <w:tcPr>
            <w:tcW w:type="dxa" w:w="1400"/>
          </w:tcPr>
          <w:p>
            <w:pPr>
              <w:spacing w:after="0"/>
              <w:jc w:val="center"/>
            </w:pPr>
            <w:r>
              <w:rPr>
                <w:rFonts w:ascii="Calibri" w:hAnsi="Calibri"/>
                <w:sz w:val="18"/>
              </w:rPr>
              <w:t>sigma 0.10</w:t>
            </w:r>
          </w:p>
        </w:tc>
        <w:tc>
          <w:tcPr>
            <w:tcW w:type="dxa" w:w="3160"/>
          </w:tcPr>
          <w:p>
            <w:pPr>
              <w:spacing w:after="0"/>
              <w:jc w:val="left"/>
            </w:pPr>
            <w:r>
              <w:rPr>
                <w:rFonts w:ascii="Calibri" w:hAnsi="Calibri"/>
                <w:sz w:val="18"/>
              </w:rPr>
              <w:t>Shared deterministic base-noise field.</w:t>
            </w:r>
          </w:p>
        </w:tc>
      </w:tr>
      <w:tr>
        <w:tc>
          <w:tcPr>
            <w:tcW w:type="dxa" w:w="2000"/>
            <w:shd w:fill="F2F4F7"/>
          </w:tcPr>
          <w:p>
            <w:pPr>
              <w:spacing w:after="0"/>
              <w:jc w:val="left"/>
            </w:pPr>
            <w:r>
              <w:rPr>
                <w:rFonts w:ascii="Calibri" w:hAnsi="Calibri"/>
                <w:sz w:val="18"/>
              </w:rPr>
              <w:t>Gaussian blur</w:t>
            </w:r>
          </w:p>
        </w:tc>
        <w:tc>
          <w:tcPr>
            <w:tcW w:type="dxa" w:w="1300"/>
            <w:shd w:fill="F2F4F7"/>
          </w:tcPr>
          <w:p>
            <w:pPr>
              <w:spacing w:after="0"/>
              <w:jc w:val="center"/>
            </w:pPr>
            <w:r>
              <w:rPr>
                <w:rFonts w:ascii="Calibri" w:hAnsi="Calibri"/>
                <w:sz w:val="18"/>
              </w:rPr>
              <w:t>3 / 0.8</w:t>
            </w:r>
          </w:p>
        </w:tc>
        <w:tc>
          <w:tcPr>
            <w:tcW w:type="dxa" w:w="1500"/>
            <w:shd w:fill="F2F4F7"/>
          </w:tcPr>
          <w:p>
            <w:pPr>
              <w:spacing w:after="0"/>
              <w:jc w:val="center"/>
            </w:pPr>
            <w:r>
              <w:rPr>
                <w:rFonts w:ascii="Calibri" w:hAnsi="Calibri"/>
                <w:sz w:val="18"/>
              </w:rPr>
              <w:t>5 / 1.5</w:t>
            </w:r>
          </w:p>
        </w:tc>
        <w:tc>
          <w:tcPr>
            <w:tcW w:type="dxa" w:w="1400"/>
            <w:shd w:fill="F2F4F7"/>
          </w:tcPr>
          <w:p>
            <w:pPr>
              <w:spacing w:after="0"/>
              <w:jc w:val="center"/>
            </w:pPr>
            <w:r>
              <w:rPr>
                <w:rFonts w:ascii="Calibri" w:hAnsi="Calibri"/>
                <w:sz w:val="18"/>
              </w:rPr>
              <w:t>9 / 3.0</w:t>
            </w:r>
          </w:p>
        </w:tc>
        <w:tc>
          <w:tcPr>
            <w:tcW w:type="dxa" w:w="3160"/>
            <w:shd w:fill="F2F4F7"/>
          </w:tcPr>
          <w:p>
            <w:pPr>
              <w:spacing w:after="0"/>
              <w:jc w:val="left"/>
            </w:pPr>
            <w:r>
              <w:rPr>
                <w:rFonts w:ascii="Calibri" w:hAnsi="Calibri"/>
                <w:sz w:val="18"/>
              </w:rPr>
              <w:t>Kernel size / sigma, deterministic OpenCV operator.</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pPr>
            <w:r>
              <w:rPr>
                <w:rFonts w:ascii="Calibri" w:hAnsi="Calibri"/>
                <w:b/>
                <w:color w:val="1F4D78"/>
                <w:sz w:val="22"/>
              </w:rPr>
              <w:t xml:space="preserve">Rotation claim boundary: </w:t>
            </w:r>
            <w:r>
              <w:rPr>
                <w:rFonts w:ascii="Calibri" w:hAnsi="Calibri"/>
                <w:sz w:val="22"/>
              </w:rPr>
              <w:t>Prediction robustness is specific to the declared zero-filled rotation operator. Explanation comparisons forward-align the original CAM and exclude invalid geometric support M_T.</w:t>
            </w:r>
          </w:p>
        </w:tc>
      </w:tr>
    </w:tbl>
    <w:p>
      <w:pPr>
        <w:spacing w:after="0"/>
      </w:pPr>
    </w:p>
    <w:p>
      <w:pPr>
        <w:pStyle w:val="Heading1"/>
        <w:keepNext w:val="1"/>
        <w:keepLines w:val="1"/>
      </w:pPr>
      <w:r>
        <w:t>8. Prediction and XAI Architecture</w:t>
      </w:r>
    </w:p>
    <w:p>
      <w:pPr>
        <w:pStyle w:val="Heading2"/>
        <w:keepNext w:val="1"/>
        <w:keepLines w:val="1"/>
      </w:pPr>
      <w:r>
        <w:t>8.1 Paired Prediction</w:t>
      </w:r>
    </w:p>
    <w:p>
      <w:r>
        <w:rPr>
          <w:rFonts w:ascii="Calibri" w:hAnsi="Calibri"/>
          <w:sz w:val="22"/>
        </w:rPr>
        <w:t>For each authorized test sample, the runner caches original inference and evaluates all twelve transformed scenarios. Each transformed prediction is paired with the original using the same sample, model, checkpoint, run, and scenario identity. RQ1 records correctness, prediction consistency, confidence, confidence drop, and related descriptive fields.</w:t>
      </w:r>
    </w:p>
    <w:p>
      <w:pPr>
        <w:pStyle w:val="Heading2"/>
        <w:keepNext w:val="1"/>
        <w:keepLines w:val="1"/>
      </w:pPr>
      <w:r>
        <w:t>8.2 Same-Target CAM Generation</w:t>
      </w:r>
    </w:p>
    <w:p>
      <w:r>
        <w:rPr>
          <w:rFonts w:ascii="Calibri" w:hAnsi="Calibri"/>
          <w:sz w:val="22"/>
        </w:rPr>
        <w:t>Grad-CAM, Grad-CAM++, and Score-CAM are generated for the original predicted class. The same target class is held fixed for the transformed image. Original CAMs are cached once per method, normalized through a heatmap quality gate, and paired only when prediction consistency and heatmap quality requirements pass.</w:t>
      </w:r>
    </w:p>
    <w:p>
      <w:pPr>
        <w:pStyle w:val="Heading2"/>
        <w:keepNext w:val="1"/>
        <w:keepLines w:val="1"/>
      </w:pPr>
      <w:r>
        <w:t>8.3 Spatial Alignment and Metrics</w:t>
      </w:r>
    </w:p>
    <w:tbl>
      <w:tblPr>
        <w:tblStyle w:val="TableGrid"/>
        <w:tblW w:type="dxa" w:w="9360"/>
        <w:jc w:val="left"/>
        <w:tblLayout w:type="fixed"/>
        <w:tblLook w:firstColumn="1" w:firstRow="1" w:lastColumn="0" w:lastRow="0" w:noHBand="0" w:noVBand="1" w:val="04A0"/>
        <w:tblInd w:w="120" w:type="dxa"/>
      </w:tblPr>
      <w:tblGrid>
        <w:gridCol w:w="1800"/>
        <w:gridCol w:w="3500"/>
        <w:gridCol w:w="4060"/>
      </w:tblGrid>
      <w:tr>
        <w:trPr>
          <w:tblHeader w:val="true"/>
        </w:trPr>
        <w:tc>
          <w:tcPr>
            <w:tcW w:type="dxa" w:w="1800"/>
            <w:tcMar>
              <w:top w:w="80" w:type="dxa"/>
              <w:bottom w:w="80" w:type="dxa"/>
              <w:start w:w="120" w:type="dxa"/>
              <w:end w:w="120" w:type="dxa"/>
            </w:tcMar>
            <w:vAlign w:val="center"/>
            <w:shd w:fill="E8EEF5"/>
          </w:tcPr>
          <w:p>
            <w:pPr>
              <w:spacing w:after="0"/>
              <w:jc w:val="center"/>
            </w:pPr>
            <w:r>
              <w:rPr>
                <w:rFonts w:ascii="Calibri" w:hAnsi="Calibri"/>
                <w:b/>
                <w:color w:val="0B2545"/>
                <w:sz w:val="18"/>
              </w:rPr>
              <w:t>Metric</w:t>
            </w:r>
          </w:p>
        </w:tc>
        <w:tc>
          <w:tcPr>
            <w:tcW w:type="dxa" w:w="3500"/>
            <w:tcMar>
              <w:top w:w="80" w:type="dxa"/>
              <w:bottom w:w="80" w:type="dxa"/>
              <w:start w:w="120" w:type="dxa"/>
              <w:end w:w="120" w:type="dxa"/>
            </w:tcMar>
            <w:vAlign w:val="center"/>
            <w:shd w:fill="E8EEF5"/>
          </w:tcPr>
          <w:p>
            <w:pPr>
              <w:spacing w:after="0"/>
              <w:jc w:val="center"/>
            </w:pPr>
            <w:r>
              <w:rPr>
                <w:rFonts w:ascii="Calibri" w:hAnsi="Calibri"/>
                <w:b/>
                <w:color w:val="0B2545"/>
                <w:sz w:val="18"/>
              </w:rPr>
              <w:t>Role</w:t>
            </w:r>
          </w:p>
        </w:tc>
        <w:tc>
          <w:tcPr>
            <w:tcW w:type="dxa" w:w="4060"/>
            <w:tcMar>
              <w:top w:w="80" w:type="dxa"/>
              <w:bottom w:w="80" w:type="dxa"/>
              <w:start w:w="120" w:type="dxa"/>
              <w:end w:w="120" w:type="dxa"/>
            </w:tcMar>
            <w:vAlign w:val="center"/>
            <w:shd w:fill="E8EEF5"/>
          </w:tcPr>
          <w:p>
            <w:pPr>
              <w:spacing w:after="0"/>
              <w:jc w:val="center"/>
            </w:pPr>
            <w:r>
              <w:rPr>
                <w:rFonts w:ascii="Calibri" w:hAnsi="Calibri"/>
                <w:b/>
                <w:color w:val="0B2545"/>
                <w:sz w:val="18"/>
              </w:rPr>
              <w:t>Validity rule</w:t>
            </w:r>
          </w:p>
        </w:tc>
      </w:tr>
      <w:tr>
        <w:tc>
          <w:tcPr>
            <w:tcW w:type="dxa" w:w="1800"/>
          </w:tcPr>
          <w:p>
            <w:pPr>
              <w:spacing w:after="0"/>
              <w:jc w:val="left"/>
            </w:pPr>
            <w:r>
              <w:rPr>
                <w:rFonts w:ascii="Calibri" w:hAnsi="Calibri"/>
                <w:sz w:val="18"/>
              </w:rPr>
              <w:t>Pearson</w:t>
            </w:r>
          </w:p>
        </w:tc>
        <w:tc>
          <w:tcPr>
            <w:tcW w:type="dxa" w:w="3500"/>
          </w:tcPr>
          <w:p>
            <w:pPr>
              <w:spacing w:after="0"/>
              <w:jc w:val="left"/>
            </w:pPr>
            <w:r>
              <w:rPr>
                <w:rFonts w:ascii="Calibri" w:hAnsi="Calibri"/>
                <w:sz w:val="18"/>
              </w:rPr>
              <w:t>Primary spatial association of heatmap intensity.</w:t>
            </w:r>
          </w:p>
        </w:tc>
        <w:tc>
          <w:tcPr>
            <w:tcW w:type="dxa" w:w="4060"/>
          </w:tcPr>
          <w:p>
            <w:pPr>
              <w:spacing w:after="0"/>
              <w:jc w:val="left"/>
            </w:pPr>
            <w:r>
              <w:rPr>
                <w:rFonts w:ascii="Calibri" w:hAnsi="Calibri"/>
                <w:sz w:val="18"/>
              </w:rPr>
              <w:t>Computed on valid support; NaN heatmaps are excluded.</w:t>
            </w:r>
          </w:p>
        </w:tc>
      </w:tr>
      <w:tr>
        <w:tc>
          <w:tcPr>
            <w:tcW w:type="dxa" w:w="1800"/>
            <w:shd w:fill="F2F4F7"/>
          </w:tcPr>
          <w:p>
            <w:pPr>
              <w:spacing w:after="0"/>
              <w:jc w:val="left"/>
            </w:pPr>
            <w:r>
              <w:rPr>
                <w:rFonts w:ascii="Calibri" w:hAnsi="Calibri"/>
                <w:sz w:val="18"/>
              </w:rPr>
              <w:t>Masked SSIM</w:t>
            </w:r>
          </w:p>
        </w:tc>
        <w:tc>
          <w:tcPr>
            <w:tcW w:type="dxa" w:w="3500"/>
            <w:shd w:fill="F2F4F7"/>
          </w:tcPr>
          <w:p>
            <w:pPr>
              <w:spacing w:after="0"/>
              <w:jc w:val="left"/>
            </w:pPr>
            <w:r>
              <w:rPr>
                <w:rFonts w:ascii="Calibri" w:hAnsi="Calibri"/>
                <w:sz w:val="18"/>
              </w:rPr>
              <w:t>Primary structural similarity.</w:t>
            </w:r>
          </w:p>
        </w:tc>
        <w:tc>
          <w:tcPr>
            <w:tcW w:type="dxa" w:w="4060"/>
            <w:shd w:fill="F2F4F7"/>
          </w:tcPr>
          <w:p>
            <w:pPr>
              <w:spacing w:after="0"/>
              <w:jc w:val="left"/>
            </w:pPr>
            <w:r>
              <w:rPr>
                <w:rFonts w:ascii="Calibri" w:hAnsi="Calibri"/>
                <w:sz w:val="18"/>
              </w:rPr>
              <w:t>Uses declared window and geometric valid-region mask.</w:t>
            </w:r>
          </w:p>
        </w:tc>
      </w:tr>
      <w:tr>
        <w:tc>
          <w:tcPr>
            <w:tcW w:type="dxa" w:w="1800"/>
          </w:tcPr>
          <w:p>
            <w:pPr>
              <w:spacing w:after="0"/>
              <w:jc w:val="left"/>
            </w:pPr>
            <w:r>
              <w:rPr>
                <w:rFonts w:ascii="Calibri" w:hAnsi="Calibri"/>
                <w:sz w:val="18"/>
              </w:rPr>
              <w:t>Top-20% IoU</w:t>
            </w:r>
          </w:p>
        </w:tc>
        <w:tc>
          <w:tcPr>
            <w:tcW w:type="dxa" w:w="3500"/>
          </w:tcPr>
          <w:p>
            <w:pPr>
              <w:spacing w:after="0"/>
              <w:jc w:val="left"/>
            </w:pPr>
            <w:r>
              <w:rPr>
                <w:rFonts w:ascii="Calibri" w:hAnsi="Calibri"/>
                <w:sz w:val="18"/>
              </w:rPr>
              <w:t>Primary salient-region overlap.</w:t>
            </w:r>
          </w:p>
        </w:tc>
        <w:tc>
          <w:tcPr>
            <w:tcW w:type="dxa" w:w="4060"/>
          </w:tcPr>
          <w:p>
            <w:pPr>
              <w:spacing w:after="0"/>
              <w:jc w:val="left"/>
            </w:pPr>
            <w:r>
              <w:rPr>
                <w:rFonts w:ascii="Calibri" w:hAnsi="Calibri"/>
                <w:sz w:val="18"/>
              </w:rPr>
              <w:t>Thresholded independently on valid support.</w:t>
            </w:r>
          </w:p>
        </w:tc>
      </w:tr>
      <w:tr>
        <w:tc>
          <w:tcPr>
            <w:tcW w:type="dxa" w:w="1800"/>
            <w:shd w:fill="F2F4F7"/>
          </w:tcPr>
          <w:p>
            <w:pPr>
              <w:spacing w:after="0"/>
              <w:jc w:val="left"/>
            </w:pPr>
            <w:r>
              <w:rPr>
                <w:rFonts w:ascii="Calibri" w:hAnsi="Calibri"/>
                <w:sz w:val="18"/>
              </w:rPr>
              <w:t>Top-10% / Top-30% IoU</w:t>
            </w:r>
          </w:p>
        </w:tc>
        <w:tc>
          <w:tcPr>
            <w:tcW w:type="dxa" w:w="3500"/>
            <w:shd w:fill="F2F4F7"/>
          </w:tcPr>
          <w:p>
            <w:pPr>
              <w:spacing w:after="0"/>
              <w:jc w:val="left"/>
            </w:pPr>
            <w:r>
              <w:rPr>
                <w:rFonts w:ascii="Calibri" w:hAnsi="Calibri"/>
                <w:sz w:val="18"/>
              </w:rPr>
              <w:t>Sensitivity analysis.</w:t>
            </w:r>
          </w:p>
        </w:tc>
        <w:tc>
          <w:tcPr>
            <w:tcW w:type="dxa" w:w="4060"/>
            <w:shd w:fill="F2F4F7"/>
          </w:tcPr>
          <w:p>
            <w:pPr>
              <w:spacing w:after="0"/>
              <w:jc w:val="left"/>
            </w:pPr>
            <w:r>
              <w:rPr>
                <w:rFonts w:ascii="Calibri" w:hAnsi="Calibri"/>
                <w:sz w:val="18"/>
              </w:rPr>
              <w:t>Same alignment and masking as primary IoU.</w:t>
            </w:r>
          </w:p>
        </w:tc>
      </w:tr>
      <w:tr>
        <w:tc>
          <w:tcPr>
            <w:tcW w:type="dxa" w:w="1800"/>
          </w:tcPr>
          <w:p>
            <w:pPr>
              <w:spacing w:after="0"/>
              <w:jc w:val="left"/>
            </w:pPr>
            <w:r>
              <w:rPr>
                <w:rFonts w:ascii="Calibri" w:hAnsi="Calibri"/>
                <w:sz w:val="18"/>
              </w:rPr>
              <w:t>Cosine similarity</w:t>
            </w:r>
          </w:p>
        </w:tc>
        <w:tc>
          <w:tcPr>
            <w:tcW w:type="dxa" w:w="3500"/>
          </w:tcPr>
          <w:p>
            <w:pPr>
              <w:spacing w:after="0"/>
              <w:jc w:val="left"/>
            </w:pPr>
            <w:r>
              <w:rPr>
                <w:rFonts w:ascii="Calibri" w:hAnsi="Calibri"/>
                <w:sz w:val="18"/>
              </w:rPr>
              <w:t>Secondary global similarity.</w:t>
            </w:r>
          </w:p>
        </w:tc>
        <w:tc>
          <w:tcPr>
            <w:tcW w:type="dxa" w:w="4060"/>
          </w:tcPr>
          <w:p>
            <w:pPr>
              <w:spacing w:after="0"/>
              <w:jc w:val="left"/>
            </w:pPr>
            <w:r>
              <w:rPr>
                <w:rFonts w:ascii="Calibri" w:hAnsi="Calibri"/>
                <w:sz w:val="18"/>
              </w:rPr>
              <w:t>Reported descriptively for valid pairs.</w:t>
            </w:r>
          </w:p>
        </w:tc>
      </w:tr>
    </w:tbl>
    <w:p>
      <w:pPr>
        <w:spacing w:after="0"/>
      </w:pPr>
    </w:p>
    <w:p>
      <w:r>
        <w:rPr>
          <w:rFonts w:ascii="Calibri" w:hAnsi="Calibri"/>
          <w:sz w:val="22"/>
        </w:rPr>
        <w:t>An invalid pair is not removed from the result population. A JointRecord is written with the exact exclusion reason, allowing downstream reconciliation of valid metrics, exclusions, and complete factorial coverage.</w:t>
      </w:r>
    </w:p>
    <w:p>
      <w:pPr>
        <w:pStyle w:val="Heading1"/>
        <w:keepNext w:val="1"/>
        <w:keepLines w:val="1"/>
      </w:pPr>
      <w:r>
        <w:t>9. Transactional Joint Evaluation</w:t>
      </w:r>
    </w:p>
    <w:p>
      <w:r>
        <w:rPr>
          <w:rFonts w:ascii="Calibri" w:hAnsi="Calibri"/>
          <w:sz w:val="22"/>
        </w:rPr>
        <w:t>The official joint campaign is partitioned into six model-method parts. JointProgressStore persists each part in SQLite and commits one complete sample transaction containing all twelve scenarios. The run identity binds protocol, checkpoint, manifest, code, scenarios, XAI method, alignment policy, and recovery lineage where applicable.</w:t>
      </w:r>
    </w:p>
    <w:p>
      <w:pPr>
        <w:numPr>
          <w:ilvl w:val="0"/>
          <w:numId w:val="11"/>
        </w:numPr>
      </w:pPr>
      <w:r>
        <w:rPr>
          <w:rFonts w:ascii="Calibri" w:hAnsi="Calibri"/>
          <w:sz w:val="22"/>
        </w:rPr>
        <w:t>Validate G2 authorization and exact official-test identities before decoding a test image.</w:t>
      </w:r>
    </w:p>
    <w:p>
      <w:pPr>
        <w:numPr>
          <w:ilvl w:val="0"/>
          <w:numId w:val="11"/>
        </w:numPr>
      </w:pPr>
      <w:r>
        <w:rPr>
          <w:rFonts w:ascii="Calibri" w:hAnsi="Calibri"/>
          <w:sz w:val="22"/>
        </w:rPr>
        <w:t>Create or validate the immutable run identity and SQLite progress store.</w:t>
      </w:r>
    </w:p>
    <w:p>
      <w:pPr>
        <w:numPr>
          <w:ilvl w:val="0"/>
          <w:numId w:val="11"/>
        </w:numPr>
      </w:pPr>
      <w:r>
        <w:rPr>
          <w:rFonts w:ascii="Calibri" w:hAnsi="Calibri"/>
          <w:sz w:val="22"/>
        </w:rPr>
        <w:t>Skip already committed sample IDs; never selectively rerun based on observed metrics.</w:t>
      </w:r>
    </w:p>
    <w:p>
      <w:pPr>
        <w:numPr>
          <w:ilvl w:val="0"/>
          <w:numId w:val="11"/>
        </w:numPr>
      </w:pPr>
      <w:r>
        <w:rPr>
          <w:rFonts w:ascii="Calibri" w:hAnsi="Calibri"/>
          <w:sz w:val="22"/>
        </w:rPr>
        <w:t>Compute original prediction and original method-specific CAM once for the sample.</w:t>
      </w:r>
    </w:p>
    <w:p>
      <w:pPr>
        <w:numPr>
          <w:ilvl w:val="0"/>
          <w:numId w:val="11"/>
        </w:numPr>
      </w:pPr>
      <w:r>
        <w:rPr>
          <w:rFonts w:ascii="Calibri" w:hAnsi="Calibri"/>
          <w:sz w:val="22"/>
        </w:rPr>
        <w:t>Evaluate twelve transformations and write prediction plus joint records in one transaction.</w:t>
      </w:r>
    </w:p>
    <w:p>
      <w:pPr>
        <w:numPr>
          <w:ilvl w:val="0"/>
          <w:numId w:val="11"/>
        </w:numPr>
      </w:pPr>
      <w:r>
        <w:rPr>
          <w:rFonts w:ascii="Calibri" w:hAnsi="Calibri"/>
          <w:sz w:val="22"/>
        </w:rPr>
        <w:t>On completion, materialize CSV outputs, validate exact coverage, write the report, and mark run_state complete.</w:t>
      </w:r>
    </w:p>
    <w:p>
      <w:pPr>
        <w:numPr>
          <w:ilvl w:val="0"/>
          <w:numId w:val="11"/>
        </w:numPr>
      </w:pPr>
      <w:r>
        <w:rPr>
          <w:rFonts w:ascii="Calibri" w:hAnsi="Calibri"/>
          <w:sz w:val="22"/>
        </w:rPr>
        <w:t>Merge the three method parts per model only after prediction rows agree exactly across parts.</w:t>
      </w:r>
    </w:p>
    <w:tbl>
      <w:tblPr>
        <w:tblStyle w:val="TableGrid"/>
        <w:tblW w:type="dxa" w:w="9360"/>
        <w:jc w:val="left"/>
        <w:tblLayout w:type="fixed"/>
        <w:tblLook w:firstColumn="1" w:firstRow="1" w:lastColumn="0" w:lastRow="0" w:noHBand="0" w:noVBand="1" w:val="04A0"/>
        <w:tblInd w:w="120" w:type="dxa"/>
      </w:tblPr>
      <w:tblGrid>
        <w:gridCol w:w="3200"/>
        <w:gridCol w:w="1800"/>
        <w:gridCol w:w="4360"/>
      </w:tblGrid>
      <w:tr>
        <w:trPr>
          <w:tblHeader w:val="true"/>
        </w:trPr>
        <w:tc>
          <w:tcPr>
            <w:tcW w:type="dxa" w:w="3200"/>
            <w:tcMar>
              <w:top w:w="80" w:type="dxa"/>
              <w:bottom w:w="80" w:type="dxa"/>
              <w:start w:w="120" w:type="dxa"/>
              <w:end w:w="120" w:type="dxa"/>
            </w:tcMar>
            <w:vAlign w:val="center"/>
            <w:shd w:fill="E8EEF5"/>
          </w:tcPr>
          <w:p>
            <w:pPr>
              <w:spacing w:after="0"/>
              <w:jc w:val="center"/>
            </w:pPr>
            <w:r>
              <w:rPr>
                <w:rFonts w:ascii="Calibri" w:hAnsi="Calibri"/>
                <w:b/>
                <w:color w:val="0B2545"/>
                <w:sz w:val="19"/>
              </w:rPr>
              <w:t>Merged model output</w:t>
            </w:r>
          </w:p>
        </w:tc>
        <w:tc>
          <w:tcPr>
            <w:tcW w:type="dxa" w:w="1800"/>
            <w:tcMar>
              <w:top w:w="80" w:type="dxa"/>
              <w:bottom w:w="80" w:type="dxa"/>
              <w:start w:w="120" w:type="dxa"/>
              <w:end w:w="120" w:type="dxa"/>
            </w:tcMar>
            <w:vAlign w:val="center"/>
            <w:shd w:fill="E8EEF5"/>
          </w:tcPr>
          <w:p>
            <w:pPr>
              <w:spacing w:after="0"/>
              <w:jc w:val="center"/>
            </w:pPr>
            <w:r>
              <w:rPr>
                <w:rFonts w:ascii="Calibri" w:hAnsi="Calibri"/>
                <w:b/>
                <w:color w:val="0B2545"/>
                <w:sz w:val="19"/>
              </w:rPr>
              <w:t>Expected rows</w:t>
            </w:r>
          </w:p>
        </w:tc>
        <w:tc>
          <w:tcPr>
            <w:tcW w:type="dxa" w:w="4360"/>
            <w:tcMar>
              <w:top w:w="80" w:type="dxa"/>
              <w:bottom w:w="80" w:type="dxa"/>
              <w:start w:w="120" w:type="dxa"/>
              <w:end w:w="120" w:type="dxa"/>
            </w:tcMar>
            <w:vAlign w:val="center"/>
            <w:shd w:fill="E8EEF5"/>
          </w:tcPr>
          <w:p>
            <w:pPr>
              <w:spacing w:after="0"/>
              <w:jc w:val="center"/>
            </w:pPr>
            <w:r>
              <w:rPr>
                <w:rFonts w:ascii="Calibri" w:hAnsi="Calibri"/>
                <w:b/>
                <w:color w:val="0B2545"/>
                <w:sz w:val="19"/>
              </w:rPr>
              <w:t>Meaning</w:t>
            </w:r>
          </w:p>
        </w:tc>
      </w:tr>
      <w:tr>
        <w:tc>
          <w:tcPr>
            <w:tcW w:type="dxa" w:w="3200"/>
          </w:tcPr>
          <w:p>
            <w:pPr>
              <w:spacing w:after="0"/>
              <w:jc w:val="left"/>
            </w:pPr>
            <w:r>
              <w:rPr>
                <w:rFonts w:ascii="Calibri" w:hAnsi="Calibri"/>
                <w:sz w:val="19"/>
              </w:rPr>
              <w:t>prediction_results.csv</w:t>
            </w:r>
          </w:p>
        </w:tc>
        <w:tc>
          <w:tcPr>
            <w:tcW w:type="dxa" w:w="1800"/>
          </w:tcPr>
          <w:p>
            <w:pPr>
              <w:spacing w:after="0"/>
              <w:jc w:val="center"/>
            </w:pPr>
            <w:r>
              <w:rPr>
                <w:rFonts w:ascii="Calibri" w:hAnsi="Calibri"/>
                <w:sz w:val="19"/>
              </w:rPr>
              <w:t>20,316</w:t>
            </w:r>
          </w:p>
        </w:tc>
        <w:tc>
          <w:tcPr>
            <w:tcW w:type="dxa" w:w="4360"/>
          </w:tcPr>
          <w:p>
            <w:pPr>
              <w:spacing w:after="0"/>
              <w:jc w:val="left"/>
            </w:pPr>
            <w:r>
              <w:rPr>
                <w:rFonts w:ascii="Calibri" w:hAnsi="Calibri"/>
                <w:sz w:val="19"/>
              </w:rPr>
              <w:t>1,693 samples x 12 scenarios.</w:t>
            </w:r>
          </w:p>
        </w:tc>
      </w:tr>
      <w:tr>
        <w:tc>
          <w:tcPr>
            <w:tcW w:type="dxa" w:w="3200"/>
            <w:shd w:fill="F2F4F7"/>
          </w:tcPr>
          <w:p>
            <w:pPr>
              <w:spacing w:after="0"/>
              <w:jc w:val="left"/>
            </w:pPr>
            <w:r>
              <w:rPr>
                <w:rFonts w:ascii="Calibri" w:hAnsi="Calibri"/>
                <w:sz w:val="19"/>
              </w:rPr>
              <w:t>joint_results.csv</w:t>
            </w:r>
          </w:p>
        </w:tc>
        <w:tc>
          <w:tcPr>
            <w:tcW w:type="dxa" w:w="1800"/>
            <w:shd w:fill="F2F4F7"/>
          </w:tcPr>
          <w:p>
            <w:pPr>
              <w:spacing w:after="0"/>
              <w:jc w:val="center"/>
            </w:pPr>
            <w:r>
              <w:rPr>
                <w:rFonts w:ascii="Calibri" w:hAnsi="Calibri"/>
                <w:sz w:val="19"/>
              </w:rPr>
              <w:t>60,948</w:t>
            </w:r>
          </w:p>
        </w:tc>
        <w:tc>
          <w:tcPr>
            <w:tcW w:type="dxa" w:w="4360"/>
            <w:shd w:fill="F2F4F7"/>
          </w:tcPr>
          <w:p>
            <w:pPr>
              <w:spacing w:after="0"/>
              <w:jc w:val="left"/>
            </w:pPr>
            <w:r>
              <w:rPr>
                <w:rFonts w:ascii="Calibri" w:hAnsi="Calibri"/>
                <w:sz w:val="19"/>
              </w:rPr>
              <w:t>1,693 samples x 12 scenarios x 3 CAM methods.</w:t>
            </w:r>
          </w:p>
        </w:tc>
      </w:tr>
      <w:tr>
        <w:tc>
          <w:tcPr>
            <w:tcW w:type="dxa" w:w="3200"/>
          </w:tcPr>
          <w:p>
            <w:pPr>
              <w:spacing w:after="0"/>
              <w:jc w:val="left"/>
            </w:pPr>
            <w:r>
              <w:rPr>
                <w:rFonts w:ascii="Calibri" w:hAnsi="Calibri"/>
                <w:sz w:val="19"/>
              </w:rPr>
              <w:t>joint_merge_report.json</w:t>
            </w:r>
          </w:p>
        </w:tc>
        <w:tc>
          <w:tcPr>
            <w:tcW w:type="dxa" w:w="1800"/>
          </w:tcPr>
          <w:p>
            <w:pPr>
              <w:spacing w:after="0"/>
              <w:jc w:val="center"/>
            </w:pPr>
            <w:r>
              <w:rPr>
                <w:rFonts w:ascii="Calibri" w:hAnsi="Calibri"/>
                <w:sz w:val="19"/>
              </w:rPr>
              <w:t>1 report</w:t>
            </w:r>
          </w:p>
        </w:tc>
        <w:tc>
          <w:tcPr>
            <w:tcW w:type="dxa" w:w="4360"/>
          </w:tcPr>
          <w:p>
            <w:pPr>
              <w:spacing w:after="0"/>
              <w:jc w:val="left"/>
            </w:pPr>
            <w:r>
              <w:rPr>
                <w:rFonts w:ascii="Calibri" w:hAnsi="Calibri"/>
                <w:sz w:val="19"/>
              </w:rPr>
              <w:t>Lineage, child hashes, coverage, exclusions, acceptance criteria.</w:t>
            </w:r>
          </w:p>
        </w:tc>
      </w:tr>
    </w:tbl>
    <w:p>
      <w:pPr>
        <w:spacing w:after="0"/>
      </w:pPr>
    </w:p>
    <w:p>
      <w:r>
        <w:br w:type="page"/>
      </w:r>
    </w:p>
    <w:p>
      <w:pPr>
        <w:pStyle w:val="Heading1"/>
        <w:keepNext w:val="1"/>
        <w:keepLines w:val="1"/>
      </w:pPr>
      <w:r>
        <w:t>10. Governance and Authorization Architecture</w:t>
      </w:r>
    </w:p>
    <w:tbl>
      <w:tblPr>
        <w:tblStyle w:val="TableGrid"/>
        <w:tblW w:type="dxa" w:w="9360"/>
        <w:jc w:val="left"/>
        <w:tblLayout w:type="fixed"/>
        <w:tblLook w:firstColumn="1" w:firstRow="1" w:lastColumn="0" w:lastRow="0" w:noHBand="0" w:noVBand="1" w:val="04A0"/>
        <w:tblInd w:w="120" w:type="dxa"/>
      </w:tblPr>
      <w:tblGrid>
        <w:gridCol w:w="1300"/>
        <w:gridCol w:w="3850"/>
        <w:gridCol w:w="4210"/>
      </w:tblGrid>
      <w:tr>
        <w:trPr>
          <w:tblHeader w:val="true"/>
        </w:trPr>
        <w:tc>
          <w:tcPr>
            <w:tcW w:type="dxa" w:w="1300"/>
            <w:tcMar>
              <w:top w:w="80" w:type="dxa"/>
              <w:bottom w:w="80" w:type="dxa"/>
              <w:start w:w="120" w:type="dxa"/>
              <w:end w:w="120" w:type="dxa"/>
            </w:tcMar>
            <w:vAlign w:val="center"/>
            <w:shd w:fill="E8EEF5"/>
          </w:tcPr>
          <w:p>
            <w:pPr>
              <w:spacing w:after="0"/>
              <w:jc w:val="center"/>
            </w:pPr>
            <w:r>
              <w:rPr>
                <w:rFonts w:ascii="Calibri" w:hAnsi="Calibri"/>
                <w:b/>
                <w:color w:val="0B2545"/>
                <w:sz w:val="18"/>
              </w:rPr>
              <w:t>Gate</w:t>
            </w:r>
          </w:p>
        </w:tc>
        <w:tc>
          <w:tcPr>
            <w:tcW w:type="dxa" w:w="3850"/>
            <w:tcMar>
              <w:top w:w="80" w:type="dxa"/>
              <w:bottom w:w="80" w:type="dxa"/>
              <w:start w:w="120" w:type="dxa"/>
              <w:end w:w="120" w:type="dxa"/>
            </w:tcMar>
            <w:vAlign w:val="center"/>
            <w:shd w:fill="E8EEF5"/>
          </w:tcPr>
          <w:p>
            <w:pPr>
              <w:spacing w:after="0"/>
              <w:jc w:val="center"/>
            </w:pPr>
            <w:r>
              <w:rPr>
                <w:rFonts w:ascii="Calibri" w:hAnsi="Calibri"/>
                <w:b/>
                <w:color w:val="0B2545"/>
                <w:sz w:val="18"/>
              </w:rPr>
              <w:t>Purpose</w:t>
            </w:r>
          </w:p>
        </w:tc>
        <w:tc>
          <w:tcPr>
            <w:tcW w:type="dxa" w:w="4210"/>
            <w:tcMar>
              <w:top w:w="80" w:type="dxa"/>
              <w:bottom w:w="80" w:type="dxa"/>
              <w:start w:w="120" w:type="dxa"/>
              <w:end w:w="120" w:type="dxa"/>
            </w:tcMar>
            <w:vAlign w:val="center"/>
            <w:shd w:fill="E8EEF5"/>
          </w:tcPr>
          <w:p>
            <w:pPr>
              <w:spacing w:after="0"/>
              <w:jc w:val="center"/>
            </w:pPr>
            <w:r>
              <w:rPr>
                <w:rFonts w:ascii="Calibri" w:hAnsi="Calibri"/>
                <w:b/>
                <w:color w:val="0B2545"/>
                <w:sz w:val="18"/>
              </w:rPr>
              <w:t>Protected boundary</w:t>
            </w:r>
          </w:p>
        </w:tc>
      </w:tr>
      <w:tr>
        <w:tc>
          <w:tcPr>
            <w:tcW w:type="dxa" w:w="1300"/>
          </w:tcPr>
          <w:p>
            <w:pPr>
              <w:spacing w:after="0"/>
              <w:jc w:val="left"/>
            </w:pPr>
            <w:r>
              <w:rPr>
                <w:rFonts w:ascii="Calibri" w:hAnsi="Calibri"/>
                <w:sz w:val="18"/>
              </w:rPr>
              <w:t>G0A</w:t>
            </w:r>
          </w:p>
        </w:tc>
        <w:tc>
          <w:tcPr>
            <w:tcW w:type="dxa" w:w="3850"/>
          </w:tcPr>
          <w:p>
            <w:pPr>
              <w:spacing w:after="0"/>
              <w:jc w:val="left"/>
            </w:pPr>
            <w:r>
              <w:rPr>
                <w:rFonts w:ascii="Calibri" w:hAnsi="Calibri"/>
                <w:sz w:val="18"/>
              </w:rPr>
              <w:t>Bootstrap readiness and unresolved scientific decisions.</w:t>
            </w:r>
          </w:p>
        </w:tc>
        <w:tc>
          <w:tcPr>
            <w:tcW w:type="dxa" w:w="4210"/>
          </w:tcPr>
          <w:p>
            <w:pPr>
              <w:spacing w:after="0"/>
              <w:jc w:val="left"/>
            </w:pPr>
            <w:r>
              <w:rPr>
                <w:rFonts w:ascii="Calibri" w:hAnsi="Calibri"/>
                <w:sz w:val="18"/>
              </w:rPr>
              <w:t>No official experiment while blockers remain.</w:t>
            </w:r>
          </w:p>
        </w:tc>
      </w:tr>
      <w:tr>
        <w:tc>
          <w:tcPr>
            <w:tcW w:type="dxa" w:w="1300"/>
            <w:shd w:fill="F2F4F7"/>
          </w:tcPr>
          <w:p>
            <w:pPr>
              <w:spacing w:after="0"/>
              <w:jc w:val="left"/>
            </w:pPr>
            <w:r>
              <w:rPr>
                <w:rFonts w:ascii="Calibri" w:hAnsi="Calibri"/>
                <w:sz w:val="18"/>
              </w:rPr>
              <w:t>G0B</w:t>
            </w:r>
          </w:p>
        </w:tc>
        <w:tc>
          <w:tcPr>
            <w:tcW w:type="dxa" w:w="3850"/>
            <w:shd w:fill="F2F4F7"/>
          </w:tcPr>
          <w:p>
            <w:pPr>
              <w:spacing w:after="0"/>
              <w:jc w:val="left"/>
            </w:pPr>
            <w:r>
              <w:rPr>
                <w:rFonts w:ascii="Calibri" w:hAnsi="Calibri"/>
                <w:sz w:val="18"/>
              </w:rPr>
              <w:t>Freeze protocol, severities, data lineage, and official training authorization.</w:t>
            </w:r>
          </w:p>
        </w:tc>
        <w:tc>
          <w:tcPr>
            <w:tcW w:type="dxa" w:w="4210"/>
            <w:shd w:fill="F2F4F7"/>
          </w:tcPr>
          <w:p>
            <w:pPr>
              <w:spacing w:after="0"/>
              <w:jc w:val="left"/>
            </w:pPr>
            <w:r>
              <w:rPr>
                <w:rFonts w:ascii="Calibri" w:hAnsi="Calibri"/>
                <w:sz w:val="18"/>
              </w:rPr>
              <w:t>Training requires matching protocol and freeze hashes.</w:t>
            </w:r>
          </w:p>
        </w:tc>
      </w:tr>
      <w:tr>
        <w:tc>
          <w:tcPr>
            <w:tcW w:type="dxa" w:w="1300"/>
          </w:tcPr>
          <w:p>
            <w:pPr>
              <w:spacing w:after="0"/>
              <w:jc w:val="left"/>
            </w:pPr>
            <w:r>
              <w:rPr>
                <w:rFonts w:ascii="Calibri" w:hAnsi="Calibri"/>
                <w:sz w:val="18"/>
              </w:rPr>
              <w:t>G1</w:t>
            </w:r>
          </w:p>
        </w:tc>
        <w:tc>
          <w:tcPr>
            <w:tcW w:type="dxa" w:w="3850"/>
          </w:tcPr>
          <w:p>
            <w:pPr>
              <w:spacing w:after="0"/>
              <w:jc w:val="left"/>
            </w:pPr>
            <w:r>
              <w:rPr>
                <w:rFonts w:ascii="Calibri" w:hAnsi="Calibri"/>
                <w:sz w:val="18"/>
              </w:rPr>
              <w:t>Approve validation-selected checkpoints and validation-audit evidence.</w:t>
            </w:r>
          </w:p>
        </w:tc>
        <w:tc>
          <w:tcPr>
            <w:tcW w:type="dxa" w:w="4210"/>
          </w:tcPr>
          <w:p>
            <w:pPr>
              <w:spacing w:after="0"/>
              <w:jc w:val="left"/>
            </w:pPr>
            <w:r>
              <w:rPr>
                <w:rFonts w:ascii="Calibri" w:hAnsi="Calibri"/>
                <w:sz w:val="18"/>
              </w:rPr>
              <w:t>No official-test access or model ranking from test.</w:t>
            </w:r>
          </w:p>
        </w:tc>
      </w:tr>
      <w:tr>
        <w:tc>
          <w:tcPr>
            <w:tcW w:type="dxa" w:w="1300"/>
            <w:shd w:fill="F2F4F7"/>
          </w:tcPr>
          <w:p>
            <w:pPr>
              <w:spacing w:after="0"/>
              <w:jc w:val="left"/>
            </w:pPr>
            <w:r>
              <w:rPr>
                <w:rFonts w:ascii="Calibri" w:hAnsi="Calibri"/>
                <w:sz w:val="18"/>
              </w:rPr>
              <w:t>G2</w:t>
            </w:r>
          </w:p>
        </w:tc>
        <w:tc>
          <w:tcPr>
            <w:tcW w:type="dxa" w:w="3850"/>
            <w:shd w:fill="F2F4F7"/>
          </w:tcPr>
          <w:p>
            <w:pPr>
              <w:spacing w:after="0"/>
              <w:jc w:val="left"/>
            </w:pPr>
            <w:r>
              <w:rPr>
                <w:rFonts w:ascii="Calibri" w:hAnsi="Calibri"/>
                <w:sz w:val="18"/>
              </w:rPr>
              <w:t>Authorize one registered official-test campaign.</w:t>
            </w:r>
          </w:p>
        </w:tc>
        <w:tc>
          <w:tcPr>
            <w:tcW w:type="dxa" w:w="4210"/>
            <w:shd w:fill="F2F4F7"/>
          </w:tcPr>
          <w:p>
            <w:pPr>
              <w:spacing w:after="0"/>
              <w:jc w:val="left"/>
            </w:pPr>
            <w:r>
              <w:rPr>
                <w:rFonts w:ascii="Calibri" w:hAnsi="Calibri"/>
                <w:sz w:val="18"/>
              </w:rPr>
              <w:t>Every runner recomputes the full chain before test-pixel access.</w:t>
            </w:r>
          </w:p>
        </w:tc>
      </w:tr>
      <w:tr>
        <w:tc>
          <w:tcPr>
            <w:tcW w:type="dxa" w:w="1300"/>
          </w:tcPr>
          <w:p>
            <w:pPr>
              <w:spacing w:after="0"/>
              <w:jc w:val="left"/>
            </w:pPr>
            <w:r>
              <w:rPr>
                <w:rFonts w:ascii="Calibri" w:hAnsi="Calibri"/>
                <w:sz w:val="18"/>
              </w:rPr>
              <w:t>Analysis</w:t>
            </w:r>
          </w:p>
        </w:tc>
        <w:tc>
          <w:tcPr>
            <w:tcW w:type="dxa" w:w="3850"/>
          </w:tcPr>
          <w:p>
            <w:pPr>
              <w:spacing w:after="0"/>
              <w:jc w:val="left"/>
            </w:pPr>
            <w:r>
              <w:rPr>
                <w:rFonts w:ascii="Calibri" w:hAnsi="Calibri"/>
                <w:sz w:val="18"/>
              </w:rPr>
              <w:t>Bind exact model merge reports and predeclare inference.</w:t>
            </w:r>
          </w:p>
        </w:tc>
        <w:tc>
          <w:tcPr>
            <w:tcW w:type="dxa" w:w="4210"/>
          </w:tcPr>
          <w:p>
            <w:pPr>
              <w:spacing w:after="0"/>
              <w:jc w:val="left"/>
            </w:pPr>
            <w:r>
              <w:rPr>
                <w:rFonts w:ascii="Calibri" w:hAnsi="Calibri"/>
                <w:sz w:val="18"/>
              </w:rPr>
              <w:t>No image access, retuning, endpoint changes, or selective exclusions.</w:t>
            </w:r>
          </w:p>
        </w:tc>
      </w:tr>
      <w:tr>
        <w:tc>
          <w:tcPr>
            <w:tcW w:type="dxa" w:w="1300"/>
            <w:shd w:fill="F2F4F7"/>
          </w:tcPr>
          <w:p>
            <w:pPr>
              <w:spacing w:after="0"/>
              <w:jc w:val="left"/>
            </w:pPr>
            <w:r>
              <w:rPr>
                <w:rFonts w:ascii="Calibri" w:hAnsi="Calibri"/>
                <w:sz w:val="18"/>
              </w:rPr>
              <w:t>Results freeze</w:t>
            </w:r>
          </w:p>
        </w:tc>
        <w:tc>
          <w:tcPr>
            <w:tcW w:type="dxa" w:w="3850"/>
            <w:shd w:fill="F2F4F7"/>
          </w:tcPr>
          <w:p>
            <w:pPr>
              <w:spacing w:after="0"/>
              <w:jc w:val="left"/>
            </w:pPr>
            <w:r>
              <w:rPr>
                <w:rFonts w:ascii="Calibri" w:hAnsi="Calibri"/>
                <w:sz w:val="18"/>
              </w:rPr>
              <w:t>Bind the official analysis report and six child CSVs.</w:t>
            </w:r>
          </w:p>
        </w:tc>
        <w:tc>
          <w:tcPr>
            <w:tcW w:type="dxa" w:w="4210"/>
            <w:shd w:fill="F2F4F7"/>
          </w:tcPr>
          <w:p>
            <w:pPr>
              <w:spacing w:after="0"/>
              <w:jc w:val="left"/>
            </w:pPr>
            <w:r>
              <w:rPr>
                <w:rFonts w:ascii="Calibri" w:hAnsi="Calibri"/>
                <w:sz w:val="18"/>
              </w:rPr>
              <w:t>Reporting is read-only and cannot recompute predictions, CAMs, or tests.</w:t>
            </w:r>
          </w:p>
        </w:tc>
      </w:tr>
    </w:tbl>
    <w:p>
      <w:pPr>
        <w:spacing w:after="0"/>
      </w:pPr>
    </w:p>
    <w:p>
      <w:pPr>
        <w:pStyle w:val="Heading2"/>
        <w:keepNext w:val="1"/>
        <w:keepLines w:val="1"/>
      </w:pPr>
      <w:r>
        <w:t>10.1 Metadata-Only G2 Readiness</w:t>
      </w:r>
    </w:p>
    <w:p>
      <w:r>
        <w:rPr>
          <w:rFonts w:ascii="Calibri" w:hAnsi="Calibri"/>
          <w:sz w:val="22"/>
        </w:rPr>
        <w:t>The readiness stage hashes checkpoints, training evidence, validation audits, the frozen manifest, split summary, and official-test sample/leaf identity lists. It does not construct a test Dataset, decode a test image, execute inference, or calculate a test metric. Human approval then creates the test Decision Record for the registered campaign.</w:t>
      </w:r>
    </w:p>
    <w:p>
      <w:pPr>
        <w:pStyle w:val="Heading2"/>
        <w:keepNext w:val="1"/>
        <w:keepLines w:val="1"/>
      </w:pPr>
      <w:r>
        <w:t>10.2 Runtime Authorization</w:t>
      </w:r>
    </w:p>
    <w:p>
      <w:r>
        <w:rPr>
          <w:rFonts w:ascii="Calibri" w:hAnsi="Calibri"/>
          <w:sz w:val="22"/>
        </w:rPr>
        <w:t>authorize_official_test_run validates current governance state, protocol hash, checkpoint registry, checkpoint bytes, readiness-report hash, manifest and freeze lineage, source test membership, sample and leaf identity hashes, declared models, scenarios, methods, and execution policy. Only after every comparison passes are test SampleRecords returned to the caller.</w:t>
      </w:r>
    </w:p>
    <w:p>
      <w:pPr>
        <w:pStyle w:val="Heading1"/>
        <w:keepNext w:val="1"/>
        <w:keepLines w:val="1"/>
      </w:pPr>
      <w:r>
        <w:t>11. Statistical Analysis Architecture</w:t>
      </w:r>
    </w:p>
    <w:p>
      <w:pPr>
        <w:pStyle w:val="Heading2"/>
        <w:keepNext w:val="1"/>
        <w:keepLines w:val="1"/>
      </w:pPr>
      <w:r>
        <w:t>11.1 Support Preflight</w:t>
      </w:r>
    </w:p>
    <w:p>
      <w:r>
        <w:rPr>
          <w:rFonts w:ascii="Calibri" w:hAnsi="Calibri"/>
          <w:sz w:val="22"/>
        </w:rPr>
        <w:t>The support audit reads only identity and exclusion columns from the merged results. It enumerates all 192 planned support contrasts without reading endpoint metric values or computing hypothesis tests. The registered 20-leaf minimum remains fixed.</w:t>
      </w:r>
    </w:p>
    <w:p>
      <w:pPr>
        <w:pStyle w:val="Heading2"/>
        <w:keepNext w:val="1"/>
        <w:keepLines w:val="1"/>
      </w:pPr>
      <w:r>
        <w:t>11.2 Official Analysis</w:t>
      </w:r>
    </w:p>
    <w:p>
      <w:pPr>
        <w:numPr>
          <w:ilvl w:val="0"/>
          <w:numId w:val="10"/>
        </w:numPr>
      </w:pPr>
      <w:r>
        <w:rPr>
          <w:rFonts w:ascii="Calibri" w:hAnsi="Calibri"/>
          <w:sz w:val="22"/>
        </w:rPr>
        <w:t>Requires exact ResNet50 and EfficientNet-B0 merge report hashes and child artifacts.</w:t>
      </w:r>
    </w:p>
    <w:p>
      <w:pPr>
        <w:numPr>
          <w:ilvl w:val="0"/>
          <w:numId w:val="10"/>
        </w:numPr>
      </w:pPr>
      <w:r>
        <w:rPr>
          <w:rFonts w:ascii="Calibri" w:hAnsi="Calibri"/>
          <w:sz w:val="22"/>
        </w:rPr>
        <w:t>Validates complete prediction and joint factorial coverage before summary computation.</w:t>
      </w:r>
    </w:p>
    <w:p>
      <w:pPr>
        <w:numPr>
          <w:ilvl w:val="0"/>
          <w:numId w:val="10"/>
        </w:numPr>
      </w:pPr>
      <w:r>
        <w:rPr>
          <w:rFonts w:ascii="Calibri" w:hAnsi="Calibri"/>
          <w:sz w:val="22"/>
        </w:rPr>
        <w:t>Uses 10,000 deterministic leaf-cluster bootstrap replicates for confidence intervals.</w:t>
      </w:r>
    </w:p>
    <w:p>
      <w:pPr>
        <w:numPr>
          <w:ilvl w:val="0"/>
          <w:numId w:val="10"/>
        </w:numPr>
      </w:pPr>
      <w:r>
        <w:rPr>
          <w:rFonts w:ascii="Calibri" w:hAnsi="Calibri"/>
          <w:sz w:val="22"/>
        </w:rPr>
        <w:t>Intersects paired sample identities before arithmetic aggregation to leaf means.</w:t>
      </w:r>
    </w:p>
    <w:p>
      <w:pPr>
        <w:numPr>
          <w:ilvl w:val="0"/>
          <w:numId w:val="10"/>
        </w:numPr>
      </w:pPr>
      <w:r>
        <w:rPr>
          <w:rFonts w:ascii="Calibri" w:hAnsi="Calibri"/>
          <w:sz w:val="22"/>
        </w:rPr>
        <w:t>Applies two-sided paired Wilcoxon tests with Pratt zero handling and rank-biserial effect size.</w:t>
      </w:r>
    </w:p>
    <w:p>
      <w:pPr>
        <w:numPr>
          <w:ilvl w:val="0"/>
          <w:numId w:val="10"/>
        </w:numPr>
      </w:pPr>
      <w:r>
        <w:rPr>
          <w:rFonts w:ascii="Calibri" w:hAnsi="Calibri"/>
          <w:sz w:val="22"/>
        </w:rPr>
        <w:t>Applies only the predeclared Holm families; no post-result family redesign is permitted.</w:t>
      </w:r>
    </w:p>
    <w:p>
      <w:pPr>
        <w:numPr>
          <w:ilvl w:val="0"/>
          <w:numId w:val="10"/>
        </w:numPr>
      </w:pPr>
      <w:r>
        <w:rPr>
          <w:rFonts w:ascii="Calibri" w:hAnsi="Calibri"/>
          <w:sz w:val="22"/>
        </w:rPr>
        <w:t>Retains three insufficient-support endpoints as non-estimable, with empty inferential fields.</w:t>
      </w:r>
    </w:p>
    <w:tbl>
      <w:tblPr>
        <w:tblStyle w:val="TableGrid"/>
        <w:tblW w:type="dxa" w:w="9360"/>
        <w:jc w:val="left"/>
        <w:tblLayout w:type="fixed"/>
        <w:tblLook w:firstColumn="1" w:firstRow="1" w:lastColumn="0" w:lastRow="0" w:noHBand="0" w:noVBand="1" w:val="04A0"/>
        <w:tblInd w:w="120" w:type="dxa"/>
      </w:tblPr>
      <w:tblGrid>
        <w:gridCol w:w="3700"/>
        <w:gridCol w:w="1000"/>
        <w:gridCol w:w="4660"/>
      </w:tblGrid>
      <w:tr>
        <w:trPr>
          <w:tblHeader w:val="true"/>
        </w:trPr>
        <w:tc>
          <w:tcPr>
            <w:tcW w:type="dxa" w:w="3700"/>
            <w:tcMar>
              <w:top w:w="80" w:type="dxa"/>
              <w:bottom w:w="80" w:type="dxa"/>
              <w:start w:w="120" w:type="dxa"/>
              <w:end w:w="120" w:type="dxa"/>
            </w:tcMar>
            <w:vAlign w:val="center"/>
            <w:shd w:fill="E8EEF5"/>
          </w:tcPr>
          <w:p>
            <w:pPr>
              <w:spacing w:after="0"/>
              <w:jc w:val="center"/>
            </w:pPr>
            <w:r>
              <w:rPr>
                <w:rFonts w:ascii="Calibri" w:hAnsi="Calibri"/>
                <w:b/>
                <w:color w:val="0B2545"/>
                <w:sz w:val="19"/>
              </w:rPr>
              <w:t>Output</w:t>
            </w:r>
          </w:p>
        </w:tc>
        <w:tc>
          <w:tcPr>
            <w:tcW w:type="dxa" w:w="1000"/>
            <w:tcMar>
              <w:top w:w="80" w:type="dxa"/>
              <w:bottom w:w="80" w:type="dxa"/>
              <w:start w:w="120" w:type="dxa"/>
              <w:end w:w="120" w:type="dxa"/>
            </w:tcMar>
            <w:vAlign w:val="center"/>
            <w:shd w:fill="E8EEF5"/>
          </w:tcPr>
          <w:p>
            <w:pPr>
              <w:spacing w:after="0"/>
              <w:jc w:val="center"/>
            </w:pPr>
            <w:r>
              <w:rPr>
                <w:rFonts w:ascii="Calibri" w:hAnsi="Calibri"/>
                <w:b/>
                <w:color w:val="0B2545"/>
                <w:sz w:val="19"/>
              </w:rPr>
              <w:t>Rows</w:t>
            </w:r>
          </w:p>
        </w:tc>
        <w:tc>
          <w:tcPr>
            <w:tcW w:type="dxa" w:w="4660"/>
            <w:tcMar>
              <w:top w:w="80" w:type="dxa"/>
              <w:bottom w:w="80" w:type="dxa"/>
              <w:start w:w="120" w:type="dxa"/>
              <w:end w:w="120" w:type="dxa"/>
            </w:tcMar>
            <w:vAlign w:val="center"/>
            <w:shd w:fill="E8EEF5"/>
          </w:tcPr>
          <w:p>
            <w:pPr>
              <w:spacing w:after="0"/>
              <w:jc w:val="center"/>
            </w:pPr>
            <w:r>
              <w:rPr>
                <w:rFonts w:ascii="Calibri" w:hAnsi="Calibri"/>
                <w:b/>
                <w:color w:val="0B2545"/>
                <w:sz w:val="19"/>
              </w:rPr>
              <w:t>Purpose</w:t>
            </w:r>
          </w:p>
        </w:tc>
      </w:tr>
      <w:tr>
        <w:tc>
          <w:tcPr>
            <w:tcW w:type="dxa" w:w="3700"/>
          </w:tcPr>
          <w:p>
            <w:pPr>
              <w:spacing w:after="0"/>
              <w:jc w:val="left"/>
            </w:pPr>
            <w:r>
              <w:rPr>
                <w:rFonts w:ascii="Calibri" w:hAnsi="Calibri"/>
                <w:sz w:val="19"/>
              </w:rPr>
              <w:t>prediction_summary.csv</w:t>
            </w:r>
          </w:p>
        </w:tc>
        <w:tc>
          <w:tcPr>
            <w:tcW w:type="dxa" w:w="1000"/>
          </w:tcPr>
          <w:p>
            <w:pPr>
              <w:spacing w:after="0"/>
              <w:jc w:val="center"/>
            </w:pPr>
            <w:r>
              <w:rPr>
                <w:rFonts w:ascii="Calibri" w:hAnsi="Calibri"/>
                <w:sz w:val="19"/>
              </w:rPr>
              <w:t>96</w:t>
            </w:r>
          </w:p>
        </w:tc>
        <w:tc>
          <w:tcPr>
            <w:tcW w:type="dxa" w:w="4660"/>
          </w:tcPr>
          <w:p>
            <w:pPr>
              <w:spacing w:after="0"/>
              <w:jc w:val="left"/>
            </w:pPr>
            <w:r>
              <w:rPr>
                <w:rFonts w:ascii="Calibri" w:hAnsi="Calibri"/>
                <w:sz w:val="19"/>
              </w:rPr>
              <w:t>RQ1 model-by-scenario bootstrap summaries.</w:t>
            </w:r>
          </w:p>
        </w:tc>
      </w:tr>
      <w:tr>
        <w:tc>
          <w:tcPr>
            <w:tcW w:type="dxa" w:w="3700"/>
            <w:shd w:fill="F2F4F7"/>
          </w:tcPr>
          <w:p>
            <w:pPr>
              <w:spacing w:after="0"/>
              <w:jc w:val="left"/>
            </w:pPr>
            <w:r>
              <w:rPr>
                <w:rFonts w:ascii="Calibri" w:hAnsi="Calibri"/>
                <w:sz w:val="19"/>
              </w:rPr>
              <w:t>prediction_class_summary.csv</w:t>
            </w:r>
          </w:p>
        </w:tc>
        <w:tc>
          <w:tcPr>
            <w:tcW w:type="dxa" w:w="1000"/>
            <w:shd w:fill="F2F4F7"/>
          </w:tcPr>
          <w:p>
            <w:pPr>
              <w:spacing w:after="0"/>
              <w:jc w:val="center"/>
            </w:pPr>
            <w:r>
              <w:rPr>
                <w:rFonts w:ascii="Calibri" w:hAnsi="Calibri"/>
                <w:sz w:val="19"/>
              </w:rPr>
              <w:t>480</w:t>
            </w:r>
          </w:p>
        </w:tc>
        <w:tc>
          <w:tcPr>
            <w:tcW w:type="dxa" w:w="4660"/>
            <w:shd w:fill="F2F4F7"/>
          </w:tcPr>
          <w:p>
            <w:pPr>
              <w:spacing w:after="0"/>
              <w:jc w:val="left"/>
            </w:pPr>
            <w:r>
              <w:rPr>
                <w:rFonts w:ascii="Calibri" w:hAnsi="Calibri"/>
                <w:sz w:val="19"/>
              </w:rPr>
              <w:t>Class-stratified descriptive RQ1 summaries.</w:t>
            </w:r>
          </w:p>
        </w:tc>
      </w:tr>
      <w:tr>
        <w:tc>
          <w:tcPr>
            <w:tcW w:type="dxa" w:w="3700"/>
          </w:tcPr>
          <w:p>
            <w:pPr>
              <w:spacing w:after="0"/>
              <w:jc w:val="left"/>
            </w:pPr>
            <w:r>
              <w:rPr>
                <w:rFonts w:ascii="Calibri" w:hAnsi="Calibri"/>
                <w:sz w:val="19"/>
              </w:rPr>
              <w:t>xai_summary.csv</w:t>
            </w:r>
          </w:p>
        </w:tc>
        <w:tc>
          <w:tcPr>
            <w:tcW w:type="dxa" w:w="1000"/>
          </w:tcPr>
          <w:p>
            <w:pPr>
              <w:spacing w:after="0"/>
              <w:jc w:val="center"/>
            </w:pPr>
            <w:r>
              <w:rPr>
                <w:rFonts w:ascii="Calibri" w:hAnsi="Calibri"/>
                <w:sz w:val="19"/>
              </w:rPr>
              <w:t>432</w:t>
            </w:r>
          </w:p>
        </w:tc>
        <w:tc>
          <w:tcPr>
            <w:tcW w:type="dxa" w:w="4660"/>
          </w:tcPr>
          <w:p>
            <w:pPr>
              <w:spacing w:after="0"/>
              <w:jc w:val="left"/>
            </w:pPr>
            <w:r>
              <w:rPr>
                <w:rFonts w:ascii="Calibri" w:hAnsi="Calibri"/>
                <w:sz w:val="19"/>
              </w:rPr>
              <w:t>RQ2 model-method-scenario stability summaries.</w:t>
            </w:r>
          </w:p>
        </w:tc>
      </w:tr>
      <w:tr>
        <w:tc>
          <w:tcPr>
            <w:tcW w:type="dxa" w:w="3700"/>
            <w:shd w:fill="F2F4F7"/>
          </w:tcPr>
          <w:p>
            <w:pPr>
              <w:spacing w:after="0"/>
              <w:jc w:val="left"/>
            </w:pPr>
            <w:r>
              <w:rPr>
                <w:rFonts w:ascii="Calibri" w:hAnsi="Calibri"/>
                <w:sz w:val="19"/>
              </w:rPr>
              <w:t>xai_exclusion_audit.csv</w:t>
            </w:r>
          </w:p>
        </w:tc>
        <w:tc>
          <w:tcPr>
            <w:tcW w:type="dxa" w:w="1000"/>
            <w:shd w:fill="F2F4F7"/>
          </w:tcPr>
          <w:p>
            <w:pPr>
              <w:spacing w:after="0"/>
              <w:jc w:val="center"/>
            </w:pPr>
            <w:r>
              <w:rPr>
                <w:rFonts w:ascii="Calibri" w:hAnsi="Calibri"/>
                <w:sz w:val="19"/>
              </w:rPr>
              <w:t>167</w:t>
            </w:r>
          </w:p>
        </w:tc>
        <w:tc>
          <w:tcPr>
            <w:tcW w:type="dxa" w:w="4660"/>
            <w:shd w:fill="F2F4F7"/>
          </w:tcPr>
          <w:p>
            <w:pPr>
              <w:spacing w:after="0"/>
              <w:jc w:val="left"/>
            </w:pPr>
            <w:r>
              <w:rPr>
                <w:rFonts w:ascii="Calibri" w:hAnsi="Calibri"/>
                <w:sz w:val="19"/>
              </w:rPr>
              <w:t>Explicit exclusion reconciliation.</w:t>
            </w:r>
          </w:p>
        </w:tc>
      </w:tr>
      <w:tr>
        <w:tc>
          <w:tcPr>
            <w:tcW w:type="dxa" w:w="3700"/>
          </w:tcPr>
          <w:p>
            <w:pPr>
              <w:spacing w:after="0"/>
              <w:jc w:val="left"/>
            </w:pPr>
            <w:r>
              <w:rPr>
                <w:rFonts w:ascii="Calibri" w:hAnsi="Calibri"/>
                <w:sz w:val="19"/>
              </w:rPr>
              <w:t>paired_comparisons.csv</w:t>
            </w:r>
          </w:p>
        </w:tc>
        <w:tc>
          <w:tcPr>
            <w:tcW w:type="dxa" w:w="1000"/>
          </w:tcPr>
          <w:p>
            <w:pPr>
              <w:spacing w:after="0"/>
              <w:jc w:val="center"/>
            </w:pPr>
            <w:r>
              <w:rPr>
                <w:rFonts w:ascii="Calibri" w:hAnsi="Calibri"/>
                <w:sz w:val="19"/>
              </w:rPr>
              <w:t>576</w:t>
            </w:r>
          </w:p>
        </w:tc>
        <w:tc>
          <w:tcPr>
            <w:tcW w:type="dxa" w:w="4660"/>
          </w:tcPr>
          <w:p>
            <w:pPr>
              <w:spacing w:after="0"/>
              <w:jc w:val="left"/>
            </w:pPr>
            <w:r>
              <w:rPr>
                <w:rFonts w:ascii="Calibri" w:hAnsi="Calibri"/>
                <w:sz w:val="19"/>
              </w:rPr>
              <w:t>573 estimable and 3 registered non-estimable contrasts.</w:t>
            </w:r>
          </w:p>
        </w:tc>
      </w:tr>
      <w:tr>
        <w:tc>
          <w:tcPr>
            <w:tcW w:type="dxa" w:w="3700"/>
            <w:shd w:fill="F2F4F7"/>
          </w:tcPr>
          <w:p>
            <w:pPr>
              <w:spacing w:after="0"/>
              <w:jc w:val="left"/>
            </w:pPr>
            <w:r>
              <w:rPr>
                <w:rFonts w:ascii="Calibri" w:hAnsi="Calibri"/>
                <w:sz w:val="19"/>
              </w:rPr>
              <w:t>rq3_association_summary.csv</w:t>
            </w:r>
          </w:p>
        </w:tc>
        <w:tc>
          <w:tcPr>
            <w:tcW w:type="dxa" w:w="1000"/>
            <w:shd w:fill="F2F4F7"/>
          </w:tcPr>
          <w:p>
            <w:pPr>
              <w:spacing w:after="0"/>
              <w:jc w:val="center"/>
            </w:pPr>
            <w:r>
              <w:rPr>
                <w:rFonts w:ascii="Calibri" w:hAnsi="Calibri"/>
                <w:sz w:val="19"/>
              </w:rPr>
              <w:t>72</w:t>
            </w:r>
          </w:p>
        </w:tc>
        <w:tc>
          <w:tcPr>
            <w:tcW w:type="dxa" w:w="4660"/>
            <w:shd w:fill="F2F4F7"/>
          </w:tcPr>
          <w:p>
            <w:pPr>
              <w:spacing w:after="0"/>
              <w:jc w:val="left"/>
            </w:pPr>
            <w:r>
              <w:rPr>
                <w:rFonts w:ascii="Calibri" w:hAnsi="Calibri"/>
                <w:sz w:val="19"/>
              </w:rPr>
              <w:t>Exploratory leaf-level associations.</w:t>
            </w:r>
          </w:p>
        </w:tc>
      </w:tr>
    </w:tbl>
    <w:p>
      <w:pPr>
        <w:spacing w:after="0"/>
      </w:pPr>
    </w:p>
    <w:p>
      <w:pPr>
        <w:pStyle w:val="Heading1"/>
        <w:keepNext w:val="1"/>
        <w:keepLines w:val="1"/>
      </w:pPr>
      <w:r>
        <w:t>12. Frozen Reporting Architecture</w:t>
      </w:r>
    </w:p>
    <w:p>
      <w:r>
        <w:rPr>
          <w:rFonts w:ascii="Calibri" w:hAnsi="Calibri"/>
          <w:sz w:val="22"/>
        </w:rPr>
        <w:t>The reporting runner accepts only DR-RESULTS-001 and the exact frozen statistical-analysis directory. It verifies the source report, six child hashes, fixed row counts, acceptance criteria, and non-estimable contract before reading rows. It produces an allowlisted artifact set and records every generated child hash.</w:t>
      </w:r>
    </w:p>
    <w:tbl>
      <w:tblPr>
        <w:tblStyle w:val="TableGrid"/>
        <w:tblW w:type="dxa" w:w="9360"/>
        <w:jc w:val="left"/>
        <w:tblLayout w:type="fixed"/>
        <w:tblLook w:firstColumn="1" w:firstRow="1" w:lastColumn="0" w:lastRow="0" w:noHBand="0" w:noVBand="1" w:val="04A0"/>
        <w:tblInd w:w="120" w:type="dxa"/>
      </w:tblPr>
      <w:tblGrid>
        <w:gridCol w:w="2400"/>
        <w:gridCol w:w="1100"/>
        <w:gridCol w:w="5860"/>
      </w:tblGrid>
      <w:tr>
        <w:trPr>
          <w:tblHeader w:val="true"/>
        </w:trPr>
        <w:tc>
          <w:tcPr>
            <w:tcW w:type="dxa" w:w="2400"/>
            <w:tcMar>
              <w:top w:w="80" w:type="dxa"/>
              <w:bottom w:w="80" w:type="dxa"/>
              <w:start w:w="120" w:type="dxa"/>
              <w:end w:w="120" w:type="dxa"/>
            </w:tcMar>
            <w:vAlign w:val="center"/>
            <w:shd w:fill="E8EEF5"/>
          </w:tcPr>
          <w:p>
            <w:pPr>
              <w:spacing w:after="0"/>
              <w:jc w:val="center"/>
            </w:pPr>
            <w:r>
              <w:rPr>
                <w:rFonts w:ascii="Calibri" w:hAnsi="Calibri"/>
                <w:b/>
                <w:color w:val="0B2545"/>
                <w:sz w:val="19"/>
              </w:rPr>
              <w:t>Artifact class</w:t>
            </w:r>
          </w:p>
        </w:tc>
        <w:tc>
          <w:tcPr>
            <w:tcW w:type="dxa" w:w="1100"/>
            <w:tcMar>
              <w:top w:w="80" w:type="dxa"/>
              <w:bottom w:w="80" w:type="dxa"/>
              <w:start w:w="120" w:type="dxa"/>
              <w:end w:w="120" w:type="dxa"/>
            </w:tcMar>
            <w:vAlign w:val="center"/>
            <w:shd w:fill="E8EEF5"/>
          </w:tcPr>
          <w:p>
            <w:pPr>
              <w:spacing w:after="0"/>
              <w:jc w:val="center"/>
            </w:pPr>
            <w:r>
              <w:rPr>
                <w:rFonts w:ascii="Calibri" w:hAnsi="Calibri"/>
                <w:b/>
                <w:color w:val="0B2545"/>
                <w:sz w:val="19"/>
              </w:rPr>
              <w:t>Count</w:t>
            </w:r>
          </w:p>
        </w:tc>
        <w:tc>
          <w:tcPr>
            <w:tcW w:type="dxa" w:w="5860"/>
            <w:tcMar>
              <w:top w:w="80" w:type="dxa"/>
              <w:bottom w:w="80" w:type="dxa"/>
              <w:start w:w="120" w:type="dxa"/>
              <w:end w:w="120" w:type="dxa"/>
            </w:tcMar>
            <w:vAlign w:val="center"/>
            <w:shd w:fill="E8EEF5"/>
          </w:tcPr>
          <w:p>
            <w:pPr>
              <w:spacing w:after="0"/>
              <w:jc w:val="center"/>
            </w:pPr>
            <w:r>
              <w:rPr>
                <w:rFonts w:ascii="Calibri" w:hAnsi="Calibri"/>
                <w:b/>
                <w:color w:val="0B2545"/>
                <w:sz w:val="19"/>
              </w:rPr>
              <w:t>Examples</w:t>
            </w:r>
          </w:p>
        </w:tc>
      </w:tr>
      <w:tr>
        <w:tc>
          <w:tcPr>
            <w:tcW w:type="dxa" w:w="2400"/>
          </w:tcPr>
          <w:p>
            <w:pPr>
              <w:spacing w:after="0"/>
              <w:jc w:val="left"/>
            </w:pPr>
            <w:r>
              <w:rPr>
                <w:rFonts w:ascii="Calibri" w:hAnsi="Calibri"/>
                <w:sz w:val="19"/>
              </w:rPr>
              <w:t>Tables</w:t>
            </w:r>
          </w:p>
        </w:tc>
        <w:tc>
          <w:tcPr>
            <w:tcW w:type="dxa" w:w="1100"/>
          </w:tcPr>
          <w:p>
            <w:pPr>
              <w:spacing w:after="0"/>
              <w:jc w:val="center"/>
            </w:pPr>
            <w:r>
              <w:rPr>
                <w:rFonts w:ascii="Calibri" w:hAnsi="Calibri"/>
                <w:sz w:val="19"/>
              </w:rPr>
              <w:t>8</w:t>
            </w:r>
          </w:p>
        </w:tc>
        <w:tc>
          <w:tcPr>
            <w:tcW w:type="dxa" w:w="5860"/>
          </w:tcPr>
          <w:p>
            <w:pPr>
              <w:spacing w:after="0"/>
              <w:jc w:val="left"/>
            </w:pPr>
            <w:r>
              <w:rPr>
                <w:rFonts w:ascii="Calibri" w:hAnsi="Calibri"/>
                <w:sz w:val="19"/>
              </w:rPr>
              <w:t>RQ1/RQ2 summaries, paired comparisons, inferential overview, exclusions, RQ3.</w:t>
            </w:r>
          </w:p>
        </w:tc>
      </w:tr>
      <w:tr>
        <w:tc>
          <w:tcPr>
            <w:tcW w:type="dxa" w:w="2400"/>
            <w:shd w:fill="F2F4F7"/>
          </w:tcPr>
          <w:p>
            <w:pPr>
              <w:spacing w:after="0"/>
              <w:jc w:val="left"/>
            </w:pPr>
            <w:r>
              <w:rPr>
                <w:rFonts w:ascii="Calibri" w:hAnsi="Calibri"/>
                <w:sz w:val="19"/>
              </w:rPr>
              <w:t>Figures</w:t>
            </w:r>
          </w:p>
        </w:tc>
        <w:tc>
          <w:tcPr>
            <w:tcW w:type="dxa" w:w="1100"/>
            <w:shd w:fill="F2F4F7"/>
          </w:tcPr>
          <w:p>
            <w:pPr>
              <w:spacing w:after="0"/>
              <w:jc w:val="center"/>
            </w:pPr>
            <w:r>
              <w:rPr>
                <w:rFonts w:ascii="Calibri" w:hAnsi="Calibri"/>
                <w:sz w:val="19"/>
              </w:rPr>
              <w:t>6</w:t>
            </w:r>
          </w:p>
        </w:tc>
        <w:tc>
          <w:tcPr>
            <w:tcW w:type="dxa" w:w="5860"/>
            <w:shd w:fill="F2F4F7"/>
          </w:tcPr>
          <w:p>
            <w:pPr>
              <w:spacing w:after="0"/>
              <w:jc w:val="left"/>
            </w:pPr>
            <w:r>
              <w:rPr>
                <w:rFonts w:ascii="Calibri" w:hAnsi="Calibri"/>
                <w:sz w:val="19"/>
              </w:rPr>
              <w:t>Prediction consistency/correctness/confidence drop and three primary XAI endpoints.</w:t>
            </w:r>
          </w:p>
        </w:tc>
      </w:tr>
      <w:tr>
        <w:tc>
          <w:tcPr>
            <w:tcW w:type="dxa" w:w="2400"/>
          </w:tcPr>
          <w:p>
            <w:pPr>
              <w:spacing w:after="0"/>
              <w:jc w:val="left"/>
            </w:pPr>
            <w:r>
              <w:rPr>
                <w:rFonts w:ascii="Calibri" w:hAnsi="Calibri"/>
                <w:sz w:val="19"/>
              </w:rPr>
              <w:t>Summaries</w:t>
            </w:r>
          </w:p>
        </w:tc>
        <w:tc>
          <w:tcPr>
            <w:tcW w:type="dxa" w:w="1100"/>
          </w:tcPr>
          <w:p>
            <w:pPr>
              <w:spacing w:after="0"/>
              <w:jc w:val="center"/>
            </w:pPr>
            <w:r>
              <w:rPr>
                <w:rFonts w:ascii="Calibri" w:hAnsi="Calibri"/>
                <w:sz w:val="19"/>
              </w:rPr>
              <w:t>2</w:t>
            </w:r>
          </w:p>
        </w:tc>
        <w:tc>
          <w:tcPr>
            <w:tcW w:type="dxa" w:w="5860"/>
          </w:tcPr>
          <w:p>
            <w:pPr>
              <w:spacing w:after="0"/>
              <w:jc w:val="left"/>
            </w:pPr>
            <w:r>
              <w:rPr>
                <w:rFonts w:ascii="Calibri" w:hAnsi="Calibri"/>
                <w:sz w:val="19"/>
              </w:rPr>
              <w:t>Machine-readable JSON and human-readable Markdown.</w:t>
            </w:r>
          </w:p>
        </w:tc>
      </w:tr>
      <w:tr>
        <w:tc>
          <w:tcPr>
            <w:tcW w:type="dxa" w:w="2400"/>
            <w:shd w:fill="F2F4F7"/>
          </w:tcPr>
          <w:p>
            <w:pPr>
              <w:spacing w:after="0"/>
              <w:jc w:val="left"/>
            </w:pPr>
            <w:r>
              <w:rPr>
                <w:rFonts w:ascii="Calibri" w:hAnsi="Calibri"/>
                <w:sz w:val="19"/>
              </w:rPr>
              <w:t>Verification report</w:t>
            </w:r>
          </w:p>
        </w:tc>
        <w:tc>
          <w:tcPr>
            <w:tcW w:type="dxa" w:w="1100"/>
            <w:shd w:fill="F2F4F7"/>
          </w:tcPr>
          <w:p>
            <w:pPr>
              <w:spacing w:after="0"/>
              <w:jc w:val="center"/>
            </w:pPr>
            <w:r>
              <w:rPr>
                <w:rFonts w:ascii="Calibri" w:hAnsi="Calibri"/>
                <w:sz w:val="19"/>
              </w:rPr>
              <w:t>1</w:t>
            </w:r>
          </w:p>
        </w:tc>
        <w:tc>
          <w:tcPr>
            <w:tcW w:type="dxa" w:w="5860"/>
            <w:shd w:fill="F2F4F7"/>
          </w:tcPr>
          <w:p>
            <w:pPr>
              <w:spacing w:after="0"/>
              <w:jc w:val="left"/>
            </w:pPr>
            <w:r>
              <w:rPr>
                <w:rFonts w:ascii="Calibri" w:hAnsi="Calibri"/>
                <w:sz w:val="19"/>
              </w:rPr>
              <w:t>Results lineage, generated hashes, row counts, and acceptance criteria.</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pPr>
            <w:r>
              <w:rPr>
                <w:rFonts w:ascii="Calibri" w:hAnsi="Calibri"/>
                <w:b/>
                <w:color w:val="1F4D78"/>
                <w:sz w:val="22"/>
              </w:rPr>
              <w:t xml:space="preserve">Reporting restriction: </w:t>
            </w:r>
            <w:r>
              <w:rPr>
                <w:rFonts w:ascii="Calibri" w:hAnsi="Calibri"/>
                <w:sz w:val="22"/>
              </w:rPr>
              <w:t>The reporting layer does not accept an image root, checkpoint, GPU device, or mutable statistical policy.</w:t>
            </w:r>
          </w:p>
        </w:tc>
      </w:tr>
    </w:tbl>
    <w:p>
      <w:pPr>
        <w:spacing w:after="0"/>
      </w:pPr>
    </w:p>
    <w:p>
      <w:r>
        <w:br w:type="page"/>
      </w:r>
    </w:p>
    <w:p>
      <w:pPr>
        <w:pStyle w:val="Heading1"/>
        <w:keepNext w:val="1"/>
        <w:keepLines w:val="1"/>
      </w:pPr>
      <w:r>
        <w:t>13. End-to-End Operational Workflow</w:t>
      </w:r>
    </w:p>
    <w:p>
      <w:pPr>
        <w:spacing w:before="80" w:after="40"/>
        <w:jc w:val="center"/>
      </w:pPr>
      <w:r>
        <w:drawing>
          <wp:inline xmlns:a="http://schemas.openxmlformats.org/drawingml/2006/main" xmlns:pic="http://schemas.openxmlformats.org/drawingml/2006/picture">
            <wp:extent cx="5943600" cy="2847975"/>
            <wp:docPr id="2" name="Picture 2" descr="Figure 2. End-to-end experimental pipeline and traceable identity chain."/>
            <wp:cNvGraphicFramePr>
              <a:graphicFrameLocks noChangeAspect="1"/>
            </wp:cNvGraphicFramePr>
            <a:graphic>
              <a:graphicData uri="http://schemas.openxmlformats.org/drawingml/2006/picture">
                <pic:pic>
                  <pic:nvPicPr>
                    <pic:cNvPr id="0" name="plantxai_stability_pipeline.png"/>
                    <pic:cNvPicPr/>
                  </pic:nvPicPr>
                  <pic:blipFill>
                    <a:blip r:embed="rId10"/>
                    <a:stretch>
                      <a:fillRect/>
                    </a:stretch>
                  </pic:blipFill>
                  <pic:spPr>
                    <a:xfrm>
                      <a:off x="0" y="0"/>
                      <a:ext cx="5943600" cy="2847975"/>
                    </a:xfrm>
                    <a:prstGeom prst="rect"/>
                  </pic:spPr>
                </pic:pic>
              </a:graphicData>
            </a:graphic>
          </wp:inline>
        </w:drawing>
      </w:r>
    </w:p>
    <w:p>
      <w:pPr>
        <w:pStyle w:val="Caption"/>
        <w:keepLines w:val="1"/>
      </w:pPr>
      <w:r>
        <w:t>Figure 2. End-to-end experimental pipeline and traceable identity chain.</w:t>
      </w:r>
    </w:p>
    <w:p>
      <w:pPr>
        <w:pStyle w:val="Heading2"/>
        <w:keepNext w:val="1"/>
        <w:keepLines w:val="1"/>
      </w:pPr>
      <w:r>
        <w:t>13.1 Phase A - Data Foundation</w:t>
      </w:r>
    </w:p>
    <w:p>
      <w:pPr>
        <w:numPr>
          <w:ilvl w:val="0"/>
          <w:numId w:val="11"/>
        </w:numPr>
      </w:pPr>
      <w:r>
        <w:rPr>
          <w:rFonts w:ascii="Calibri" w:hAnsi="Calibri"/>
          <w:sz w:val="22"/>
        </w:rPr>
        <w:t>Inspect the pinned source schema and retain a dataset receipt.</w:t>
      </w:r>
    </w:p>
    <w:p>
      <w:pPr>
        <w:numPr>
          <w:ilvl w:val="0"/>
          <w:numId w:val="11"/>
        </w:numPr>
      </w:pPr>
      <w:r>
        <w:rPr>
          <w:rFonts w:ascii="Calibri" w:hAnsi="Calibri"/>
          <w:sz w:val="22"/>
        </w:rPr>
        <w:t>Audit filename-derived leaf identity, coverage, collision, and train-test overlap.</w:t>
      </w:r>
    </w:p>
    <w:p>
      <w:pPr>
        <w:numPr>
          <w:ilvl w:val="0"/>
          <w:numId w:val="11"/>
        </w:numPr>
      </w:pPr>
      <w:r>
        <w:rPr>
          <w:rFonts w:ascii="Calibri" w:hAnsi="Calibri"/>
          <w:sz w:val="22"/>
        </w:rPr>
        <w:t>Apply approved source-train quarantine while preserving all official-test samples.</w:t>
      </w:r>
    </w:p>
    <w:p>
      <w:pPr>
        <w:numPr>
          <w:ilvl w:val="0"/>
          <w:numId w:val="11"/>
        </w:numPr>
      </w:pPr>
      <w:r>
        <w:rPr>
          <w:rFonts w:ascii="Calibri" w:hAnsi="Calibri"/>
          <w:sz w:val="22"/>
        </w:rPr>
        <w:t>Materialize canonical RGB images and the all-sample lineage manifest.</w:t>
      </w:r>
    </w:p>
    <w:p>
      <w:pPr>
        <w:numPr>
          <w:ilvl w:val="0"/>
          <w:numId w:val="11"/>
        </w:numPr>
      </w:pPr>
      <w:r>
        <w:rPr>
          <w:rFonts w:ascii="Calibri" w:hAnsi="Calibri"/>
          <w:sz w:val="22"/>
        </w:rPr>
        <w:t>Adjudicate redundant same-class, same-leaf exact train duplicates.</w:t>
      </w:r>
    </w:p>
    <w:p>
      <w:pPr>
        <w:numPr>
          <w:ilvl w:val="0"/>
          <w:numId w:val="11"/>
        </w:numPr>
      </w:pPr>
      <w:r>
        <w:rPr>
          <w:rFonts w:ascii="Calibri" w:hAnsi="Calibri"/>
          <w:sz w:val="22"/>
        </w:rPr>
        <w:t>Freeze the eligible manifest, leaf-safe splits, summaries, leakage report, and artifact hashes.</w:t>
      </w:r>
    </w:p>
    <w:p>
      <w:pPr>
        <w:numPr>
          <w:ilvl w:val="0"/>
          <w:numId w:val="11"/>
        </w:numPr>
      </w:pPr>
      <w:r>
        <w:rPr>
          <w:rFonts w:ascii="Calibri" w:hAnsi="Calibri"/>
          <w:sz w:val="22"/>
        </w:rPr>
        <w:t>Pilot transformation severities on validation only and approve the declared operator limitations.</w:t>
      </w:r>
    </w:p>
    <w:p>
      <w:pPr>
        <w:pStyle w:val="Heading2"/>
        <w:keepNext w:val="1"/>
        <w:keepLines w:val="1"/>
      </w:pPr>
      <w:r>
        <w:t>13.2 Phase B - Training and G1</w:t>
      </w:r>
    </w:p>
    <w:p>
      <w:pPr>
        <w:numPr>
          <w:ilvl w:val="0"/>
          <w:numId w:val="11"/>
        </w:numPr>
      </w:pPr>
      <w:r>
        <w:rPr>
          <w:rFonts w:ascii="Calibri" w:hAnsi="Calibri"/>
          <w:sz w:val="22"/>
        </w:rPr>
        <w:t>Train each declared backbone from the exact G0B freeze and protocol.</w:t>
      </w:r>
    </w:p>
    <w:p>
      <w:pPr>
        <w:numPr>
          <w:ilvl w:val="0"/>
          <w:numId w:val="11"/>
        </w:numPr>
      </w:pPr>
      <w:r>
        <w:rPr>
          <w:rFonts w:ascii="Calibri" w:hAnsi="Calibri"/>
          <w:sz w:val="22"/>
        </w:rPr>
        <w:t>Persist atomic epoch state and resume only under an identical training identity.</w:t>
      </w:r>
    </w:p>
    <w:p>
      <w:pPr>
        <w:numPr>
          <w:ilvl w:val="0"/>
          <w:numId w:val="11"/>
        </w:numPr>
      </w:pPr>
      <w:r>
        <w:rPr>
          <w:rFonts w:ascii="Calibri" w:hAnsi="Calibri"/>
          <w:sz w:val="22"/>
        </w:rPr>
        <w:t>Select the best checkpoint by validation macro-F1.</w:t>
      </w:r>
    </w:p>
    <w:p>
      <w:pPr>
        <w:numPr>
          <w:ilvl w:val="0"/>
          <w:numId w:val="11"/>
        </w:numPr>
      </w:pPr>
      <w:r>
        <w:rPr>
          <w:rFonts w:ascii="Calibri" w:hAnsi="Calibri"/>
          <w:sz w:val="22"/>
        </w:rPr>
        <w:t>Audit each selected checkpoint on validation only.</w:t>
      </w:r>
    </w:p>
    <w:p>
      <w:pPr>
        <w:numPr>
          <w:ilvl w:val="0"/>
          <w:numId w:val="11"/>
        </w:numPr>
      </w:pPr>
      <w:r>
        <w:rPr>
          <w:rFonts w:ascii="Calibri" w:hAnsi="Calibri"/>
          <w:sz w:val="22"/>
        </w:rPr>
        <w:t>Approve both checkpoint trees and register their immutable hashes in G1.</w:t>
      </w:r>
    </w:p>
    <w:p>
      <w:pPr>
        <w:pStyle w:val="Heading2"/>
        <w:keepNext w:val="1"/>
        <w:keepLines w:val="1"/>
      </w:pPr>
      <w:r>
        <w:t>13.3 Phase C - G2 and Official Evaluation</w:t>
      </w:r>
    </w:p>
    <w:p>
      <w:pPr>
        <w:numPr>
          <w:ilvl w:val="0"/>
          <w:numId w:val="11"/>
        </w:numPr>
      </w:pPr>
      <w:r>
        <w:rPr>
          <w:rFonts w:ascii="Calibri" w:hAnsi="Calibri"/>
          <w:sz w:val="22"/>
        </w:rPr>
        <w:t>Create the metadata-only G2 readiness report while official test remains locked.</w:t>
      </w:r>
    </w:p>
    <w:p>
      <w:pPr>
        <w:numPr>
          <w:ilvl w:val="0"/>
          <w:numId w:val="11"/>
        </w:numPr>
      </w:pPr>
      <w:r>
        <w:rPr>
          <w:rFonts w:ascii="Calibri" w:hAnsi="Calibri"/>
          <w:sz w:val="22"/>
        </w:rPr>
        <w:t>Approve the single campaign and verify the authorization chain without reading test pixels.</w:t>
      </w:r>
    </w:p>
    <w:p>
      <w:pPr>
        <w:numPr>
          <w:ilvl w:val="0"/>
          <w:numId w:val="11"/>
        </w:numPr>
      </w:pPr>
      <w:r>
        <w:rPr>
          <w:rFonts w:ascii="Calibri" w:hAnsi="Calibri"/>
          <w:sz w:val="22"/>
        </w:rPr>
        <w:t>Preserve the two official baseline reports.</w:t>
      </w:r>
    </w:p>
    <w:p>
      <w:pPr>
        <w:numPr>
          <w:ilvl w:val="0"/>
          <w:numId w:val="11"/>
        </w:numPr>
      </w:pPr>
      <w:r>
        <w:rPr>
          <w:rFonts w:ascii="Calibri" w:hAnsi="Calibri"/>
          <w:sz w:val="22"/>
        </w:rPr>
        <w:t>Execute or resume six model-method joint parts transactionally.</w:t>
      </w:r>
    </w:p>
    <w:p>
      <w:pPr>
        <w:numPr>
          <w:ilvl w:val="0"/>
          <w:numId w:val="11"/>
        </w:numPr>
      </w:pPr>
      <w:r>
        <w:rPr>
          <w:rFonts w:ascii="Calibri" w:hAnsi="Calibri"/>
          <w:sz w:val="22"/>
        </w:rPr>
        <w:t>Merge three method parts for each model after exact prediction agreement.</w:t>
      </w:r>
    </w:p>
    <w:p>
      <w:pPr>
        <w:pStyle w:val="Heading2"/>
        <w:keepNext w:val="1"/>
        <w:keepLines w:val="1"/>
      </w:pPr>
      <w:r>
        <w:t>13.4 Phase D - Analysis and Reporting</w:t>
      </w:r>
    </w:p>
    <w:p>
      <w:pPr>
        <w:numPr>
          <w:ilvl w:val="0"/>
          <w:numId w:val="11"/>
        </w:numPr>
      </w:pPr>
      <w:r>
        <w:rPr>
          <w:rFonts w:ascii="Calibri" w:hAnsi="Calibri"/>
          <w:sz w:val="22"/>
        </w:rPr>
        <w:t>Audit planned contrast support from identity and exclusion metadata.</w:t>
      </w:r>
    </w:p>
    <w:p>
      <w:pPr>
        <w:numPr>
          <w:ilvl w:val="0"/>
          <w:numId w:val="11"/>
        </w:numPr>
      </w:pPr>
      <w:r>
        <w:rPr>
          <w:rFonts w:ascii="Calibri" w:hAnsi="Calibri"/>
          <w:sz w:val="22"/>
        </w:rPr>
        <w:t>Apply the registered non-estimable adjudication without lowering the support threshold.</w:t>
      </w:r>
    </w:p>
    <w:p>
      <w:pPr>
        <w:numPr>
          <w:ilvl w:val="0"/>
          <w:numId w:val="11"/>
        </w:numPr>
      </w:pPr>
      <w:r>
        <w:rPr>
          <w:rFonts w:ascii="Calibri" w:hAnsi="Calibri"/>
          <w:sz w:val="22"/>
        </w:rPr>
        <w:t>Run CPU-only statistical analysis on the two exact merged result trees.</w:t>
      </w:r>
    </w:p>
    <w:p>
      <w:pPr>
        <w:numPr>
          <w:ilvl w:val="0"/>
          <w:numId w:val="11"/>
        </w:numPr>
      </w:pPr>
      <w:r>
        <w:rPr>
          <w:rFonts w:ascii="Calibri" w:hAnsi="Calibri"/>
          <w:sz w:val="22"/>
        </w:rPr>
        <w:t>Freeze the official analysis report and six child CSV hashes.</w:t>
      </w:r>
    </w:p>
    <w:p>
      <w:pPr>
        <w:numPr>
          <w:ilvl w:val="0"/>
          <w:numId w:val="11"/>
        </w:numPr>
      </w:pPr>
      <w:r>
        <w:rPr>
          <w:rFonts w:ascii="Calibri" w:hAnsi="Calibri"/>
          <w:sz w:val="22"/>
        </w:rPr>
        <w:t>Generate the allowlisted tables, figures, and summaries without reopening images.</w:t>
      </w:r>
    </w:p>
    <w:p>
      <w:pPr>
        <w:pStyle w:val="Heading1"/>
        <w:keepNext w:val="1"/>
        <w:keepLines w:val="1"/>
      </w:pPr>
      <w:r>
        <w:t>14. Artifact and Storage Design</w:t>
      </w:r>
    </w:p>
    <w:tbl>
      <w:tblPr>
        <w:tblStyle w:val="TableGrid"/>
        <w:tblW w:type="dxa" w:w="9360"/>
        <w:jc w:val="left"/>
        <w:tblLayout w:type="fixed"/>
        <w:tblLook w:firstColumn="1" w:firstRow="1" w:lastColumn="0" w:lastRow="0" w:noHBand="0" w:noVBand="1" w:val="04A0"/>
        <w:tblInd w:w="120" w:type="dxa"/>
      </w:tblPr>
      <w:tblGrid>
        <w:gridCol w:w="1700"/>
        <w:gridCol w:w="4700"/>
        <w:gridCol w:w="2960"/>
      </w:tblGrid>
      <w:tr>
        <w:trPr>
          <w:tblHeader w:val="true"/>
        </w:trPr>
        <w:tc>
          <w:tcPr>
            <w:tcW w:type="dxa" w:w="1700"/>
            <w:tcMar>
              <w:top w:w="80" w:type="dxa"/>
              <w:bottom w:w="80" w:type="dxa"/>
              <w:start w:w="120" w:type="dxa"/>
              <w:end w:w="120" w:type="dxa"/>
            </w:tcMar>
            <w:vAlign w:val="center"/>
            <w:shd w:fill="E8EEF5"/>
          </w:tcPr>
          <w:p>
            <w:pPr>
              <w:spacing w:after="0"/>
              <w:jc w:val="center"/>
            </w:pPr>
            <w:r>
              <w:rPr>
                <w:rFonts w:ascii="Calibri" w:hAnsi="Calibri"/>
                <w:b/>
                <w:color w:val="0B2545"/>
                <w:sz w:val="17"/>
              </w:rPr>
              <w:t>Stage</w:t>
            </w:r>
          </w:p>
        </w:tc>
        <w:tc>
          <w:tcPr>
            <w:tcW w:type="dxa" w:w="4700"/>
            <w:tcMar>
              <w:top w:w="80" w:type="dxa"/>
              <w:bottom w:w="80" w:type="dxa"/>
              <w:start w:w="120" w:type="dxa"/>
              <w:end w:w="120" w:type="dxa"/>
            </w:tcMar>
            <w:vAlign w:val="center"/>
            <w:shd w:fill="E8EEF5"/>
          </w:tcPr>
          <w:p>
            <w:pPr>
              <w:spacing w:after="0"/>
              <w:jc w:val="center"/>
            </w:pPr>
            <w:r>
              <w:rPr>
                <w:rFonts w:ascii="Calibri" w:hAnsi="Calibri"/>
                <w:b/>
                <w:color w:val="0B2545"/>
                <w:sz w:val="17"/>
              </w:rPr>
              <w:t>Primary durable artifacts</w:t>
            </w:r>
          </w:p>
        </w:tc>
        <w:tc>
          <w:tcPr>
            <w:tcW w:type="dxa" w:w="2960"/>
            <w:tcMar>
              <w:top w:w="80" w:type="dxa"/>
              <w:bottom w:w="80" w:type="dxa"/>
              <w:start w:w="120" w:type="dxa"/>
              <w:end w:w="120" w:type="dxa"/>
            </w:tcMar>
            <w:vAlign w:val="center"/>
            <w:shd w:fill="E8EEF5"/>
          </w:tcPr>
          <w:p>
            <w:pPr>
              <w:spacing w:after="0"/>
              <w:jc w:val="center"/>
            </w:pPr>
            <w:r>
              <w:rPr>
                <w:rFonts w:ascii="Calibri" w:hAnsi="Calibri"/>
                <w:b/>
                <w:color w:val="0B2545"/>
                <w:sz w:val="17"/>
              </w:rPr>
              <w:t>Storage behavior</w:t>
            </w:r>
          </w:p>
        </w:tc>
      </w:tr>
      <w:tr>
        <w:tc>
          <w:tcPr>
            <w:tcW w:type="dxa" w:w="1700"/>
          </w:tcPr>
          <w:p>
            <w:pPr>
              <w:spacing w:after="0"/>
              <w:jc w:val="left"/>
            </w:pPr>
            <w:r>
              <w:rPr>
                <w:rFonts w:ascii="Calibri" w:hAnsi="Calibri"/>
                <w:sz w:val="17"/>
              </w:rPr>
              <w:t>Data freeze</w:t>
            </w:r>
          </w:p>
        </w:tc>
        <w:tc>
          <w:tcPr>
            <w:tcW w:type="dxa" w:w="4700"/>
          </w:tcPr>
          <w:p>
            <w:pPr>
              <w:spacing w:after="0"/>
              <w:jc w:val="left"/>
            </w:pPr>
            <w:r>
              <w:rPr>
                <w:rFonts w:ascii="Calibri" w:hAnsi="Calibri"/>
                <w:sz w:val="17"/>
              </w:rPr>
              <w:t>Manifest CSV/parquet, split CSVs, summary, leakage report, freeze record</w:t>
            </w:r>
          </w:p>
        </w:tc>
        <w:tc>
          <w:tcPr>
            <w:tcW w:type="dxa" w:w="2960"/>
          </w:tcPr>
          <w:p>
            <w:pPr>
              <w:spacing w:after="0"/>
              <w:jc w:val="left"/>
            </w:pPr>
            <w:r>
              <w:rPr>
                <w:rFonts w:ascii="Calibri" w:hAnsi="Calibri"/>
                <w:sz w:val="17"/>
              </w:rPr>
              <w:t>Immutable sibling tree; consumed by manifest path.</w:t>
            </w:r>
          </w:p>
        </w:tc>
      </w:tr>
      <w:tr>
        <w:tc>
          <w:tcPr>
            <w:tcW w:type="dxa" w:w="1700"/>
            <w:shd w:fill="F2F4F7"/>
          </w:tcPr>
          <w:p>
            <w:pPr>
              <w:spacing w:after="0"/>
              <w:jc w:val="left"/>
            </w:pPr>
            <w:r>
              <w:rPr>
                <w:rFonts w:ascii="Calibri" w:hAnsi="Calibri"/>
                <w:sz w:val="17"/>
              </w:rPr>
              <w:t>Training</w:t>
            </w:r>
          </w:p>
        </w:tc>
        <w:tc>
          <w:tcPr>
            <w:tcW w:type="dxa" w:w="4700"/>
            <w:shd w:fill="F2F4F7"/>
          </w:tcPr>
          <w:p>
            <w:pPr>
              <w:spacing w:after="0"/>
              <w:jc w:val="left"/>
            </w:pPr>
            <w:r>
              <w:rPr>
                <w:rFonts w:ascii="Calibri" w:hAnsi="Calibri"/>
                <w:sz w:val="17"/>
              </w:rPr>
              <w:t>latest.pt, best.pt, history JSON, checkpoint evidence</w:t>
            </w:r>
          </w:p>
        </w:tc>
        <w:tc>
          <w:tcPr>
            <w:tcW w:type="dxa" w:w="2960"/>
            <w:shd w:fill="F2F4F7"/>
          </w:tcPr>
          <w:p>
            <w:pPr>
              <w:spacing w:after="0"/>
              <w:jc w:val="left"/>
            </w:pPr>
            <w:r>
              <w:rPr>
                <w:rFonts w:ascii="Calibri" w:hAnsi="Calibri"/>
                <w:sz w:val="17"/>
              </w:rPr>
              <w:t>Atomic writes; durable GPU-run directory.</w:t>
            </w:r>
          </w:p>
        </w:tc>
      </w:tr>
      <w:tr>
        <w:tc>
          <w:tcPr>
            <w:tcW w:type="dxa" w:w="1700"/>
          </w:tcPr>
          <w:p>
            <w:pPr>
              <w:spacing w:after="0"/>
              <w:jc w:val="left"/>
            </w:pPr>
            <w:r>
              <w:rPr>
                <w:rFonts w:ascii="Calibri" w:hAnsi="Calibri"/>
                <w:sz w:val="17"/>
              </w:rPr>
              <w:t>Validation audit</w:t>
            </w:r>
          </w:p>
        </w:tc>
        <w:tc>
          <w:tcPr>
            <w:tcW w:type="dxa" w:w="4700"/>
          </w:tcPr>
          <w:p>
            <w:pPr>
              <w:spacing w:after="0"/>
              <w:jc w:val="left"/>
            </w:pPr>
            <w:r>
              <w:rPr>
                <w:rFonts w:ascii="Calibri" w:hAnsi="Calibri"/>
                <w:sz w:val="17"/>
              </w:rPr>
              <w:t>Predictions CSV/parquet, per-class metrics, confusion matrix, report</w:t>
            </w:r>
          </w:p>
        </w:tc>
        <w:tc>
          <w:tcPr>
            <w:tcW w:type="dxa" w:w="2960"/>
          </w:tcPr>
          <w:p>
            <w:pPr>
              <w:spacing w:after="0"/>
              <w:jc w:val="left"/>
            </w:pPr>
            <w:r>
              <w:rPr>
                <w:rFonts w:ascii="Calibri" w:hAnsi="Calibri"/>
                <w:sz w:val="17"/>
              </w:rPr>
              <w:t>New versioned directory; no overwrite.</w:t>
            </w:r>
          </w:p>
        </w:tc>
      </w:tr>
      <w:tr>
        <w:tc>
          <w:tcPr>
            <w:tcW w:type="dxa" w:w="1700"/>
            <w:shd w:fill="F2F4F7"/>
          </w:tcPr>
          <w:p>
            <w:pPr>
              <w:spacing w:after="0"/>
              <w:jc w:val="left"/>
            </w:pPr>
            <w:r>
              <w:rPr>
                <w:rFonts w:ascii="Calibri" w:hAnsi="Calibri"/>
                <w:sz w:val="17"/>
              </w:rPr>
              <w:t>G2 readiness</w:t>
            </w:r>
          </w:p>
        </w:tc>
        <w:tc>
          <w:tcPr>
            <w:tcW w:type="dxa" w:w="4700"/>
            <w:shd w:fill="F2F4F7"/>
          </w:tcPr>
          <w:p>
            <w:pPr>
              <w:spacing w:after="0"/>
              <w:jc w:val="left"/>
            </w:pPr>
            <w:r>
              <w:rPr>
                <w:rFonts w:ascii="Calibri" w:hAnsi="Calibri"/>
                <w:sz w:val="17"/>
              </w:rPr>
              <w:t>Metadata-only report and child identities/hashes</w:t>
            </w:r>
          </w:p>
        </w:tc>
        <w:tc>
          <w:tcPr>
            <w:tcW w:type="dxa" w:w="2960"/>
            <w:shd w:fill="F2F4F7"/>
          </w:tcPr>
          <w:p>
            <w:pPr>
              <w:spacing w:after="0"/>
              <w:jc w:val="left"/>
            </w:pPr>
            <w:r>
              <w:rPr>
                <w:rFonts w:ascii="Calibri" w:hAnsi="Calibri"/>
                <w:sz w:val="17"/>
              </w:rPr>
              <w:t>Preserved for human approval and runtime authorization.</w:t>
            </w:r>
          </w:p>
        </w:tc>
      </w:tr>
      <w:tr>
        <w:tc>
          <w:tcPr>
            <w:tcW w:type="dxa" w:w="1700"/>
          </w:tcPr>
          <w:p>
            <w:pPr>
              <w:spacing w:after="0"/>
              <w:jc w:val="left"/>
            </w:pPr>
            <w:r>
              <w:rPr>
                <w:rFonts w:ascii="Calibri" w:hAnsi="Calibri"/>
                <w:sz w:val="17"/>
              </w:rPr>
              <w:t>Joint part</w:t>
            </w:r>
          </w:p>
        </w:tc>
        <w:tc>
          <w:tcPr>
            <w:tcW w:type="dxa" w:w="4700"/>
          </w:tcPr>
          <w:p>
            <w:pPr>
              <w:spacing w:after="0"/>
              <w:jc w:val="left"/>
            </w:pPr>
            <w:r>
              <w:rPr>
                <w:rFonts w:ascii="Calibri" w:hAnsi="Calibri"/>
                <w:sz w:val="17"/>
              </w:rPr>
              <w:t>SQLite progress, run state, prediction/joint CSVs, part report</w:t>
            </w:r>
          </w:p>
        </w:tc>
        <w:tc>
          <w:tcPr>
            <w:tcW w:type="dxa" w:w="2960"/>
          </w:tcPr>
          <w:p>
            <w:pPr>
              <w:spacing w:after="0"/>
              <w:jc w:val="left"/>
            </w:pPr>
            <w:r>
              <w:rPr>
                <w:rFonts w:ascii="Calibri" w:hAnsi="Calibri"/>
                <w:sz w:val="17"/>
              </w:rPr>
              <w:t>Transactional resume; code and scientific identity bound.</w:t>
            </w:r>
          </w:p>
        </w:tc>
      </w:tr>
      <w:tr>
        <w:tc>
          <w:tcPr>
            <w:tcW w:type="dxa" w:w="1700"/>
            <w:shd w:fill="F2F4F7"/>
          </w:tcPr>
          <w:p>
            <w:pPr>
              <w:spacing w:after="0"/>
              <w:jc w:val="left"/>
            </w:pPr>
            <w:r>
              <w:rPr>
                <w:rFonts w:ascii="Calibri" w:hAnsi="Calibri"/>
                <w:sz w:val="17"/>
              </w:rPr>
              <w:t>Merge</w:t>
            </w:r>
          </w:p>
        </w:tc>
        <w:tc>
          <w:tcPr>
            <w:tcW w:type="dxa" w:w="4700"/>
            <w:shd w:fill="F2F4F7"/>
          </w:tcPr>
          <w:p>
            <w:pPr>
              <w:spacing w:after="0"/>
              <w:jc w:val="left"/>
            </w:pPr>
            <w:r>
              <w:rPr>
                <w:rFonts w:ascii="Calibri" w:hAnsi="Calibri"/>
                <w:sz w:val="17"/>
              </w:rPr>
              <w:t>Prediction results, joint results, merge report</w:t>
            </w:r>
          </w:p>
        </w:tc>
        <w:tc>
          <w:tcPr>
            <w:tcW w:type="dxa" w:w="2960"/>
            <w:shd w:fill="F2F4F7"/>
          </w:tcPr>
          <w:p>
            <w:pPr>
              <w:spacing w:after="0"/>
              <w:jc w:val="left"/>
            </w:pPr>
            <w:r>
              <w:rPr>
                <w:rFonts w:ascii="Calibri" w:hAnsi="Calibri"/>
                <w:sz w:val="17"/>
              </w:rPr>
              <w:t>Exact model-level reconciliation of three parts.</w:t>
            </w:r>
          </w:p>
        </w:tc>
      </w:tr>
      <w:tr>
        <w:tc>
          <w:tcPr>
            <w:tcW w:type="dxa" w:w="1700"/>
          </w:tcPr>
          <w:p>
            <w:pPr>
              <w:spacing w:after="0"/>
              <w:jc w:val="left"/>
            </w:pPr>
            <w:r>
              <w:rPr>
                <w:rFonts w:ascii="Calibri" w:hAnsi="Calibri"/>
                <w:sz w:val="17"/>
              </w:rPr>
              <w:t>Analysis</w:t>
            </w:r>
          </w:p>
        </w:tc>
        <w:tc>
          <w:tcPr>
            <w:tcW w:type="dxa" w:w="4700"/>
          </w:tcPr>
          <w:p>
            <w:pPr>
              <w:spacing w:after="0"/>
              <w:jc w:val="left"/>
            </w:pPr>
            <w:r>
              <w:rPr>
                <w:rFonts w:ascii="Calibri" w:hAnsi="Calibri"/>
                <w:sz w:val="17"/>
              </w:rPr>
              <w:t>Six CSVs and official analysis report</w:t>
            </w:r>
          </w:p>
        </w:tc>
        <w:tc>
          <w:tcPr>
            <w:tcW w:type="dxa" w:w="2960"/>
          </w:tcPr>
          <w:p>
            <w:pPr>
              <w:spacing w:after="0"/>
              <w:jc w:val="left"/>
            </w:pPr>
            <w:r>
              <w:rPr>
                <w:rFonts w:ascii="Calibri" w:hAnsi="Calibri"/>
                <w:sz w:val="17"/>
              </w:rPr>
              <w:t>CPU-only immutable output.</w:t>
            </w:r>
          </w:p>
        </w:tc>
      </w:tr>
      <w:tr>
        <w:tc>
          <w:tcPr>
            <w:tcW w:type="dxa" w:w="1700"/>
            <w:shd w:fill="F2F4F7"/>
          </w:tcPr>
          <w:p>
            <w:pPr>
              <w:spacing w:after="0"/>
              <w:jc w:val="left"/>
            </w:pPr>
            <w:r>
              <w:rPr>
                <w:rFonts w:ascii="Calibri" w:hAnsi="Calibri"/>
                <w:sz w:val="17"/>
              </w:rPr>
              <w:t>Reporting</w:t>
            </w:r>
          </w:p>
        </w:tc>
        <w:tc>
          <w:tcPr>
            <w:tcW w:type="dxa" w:w="4700"/>
            <w:shd w:fill="F2F4F7"/>
          </w:tcPr>
          <w:p>
            <w:pPr>
              <w:spacing w:after="0"/>
              <w:jc w:val="left"/>
            </w:pPr>
            <w:r>
              <w:rPr>
                <w:rFonts w:ascii="Calibri" w:hAnsi="Calibri"/>
                <w:sz w:val="17"/>
              </w:rPr>
              <w:t>Eight tables, six figures, two summaries, report</w:t>
            </w:r>
          </w:p>
        </w:tc>
        <w:tc>
          <w:tcPr>
            <w:tcW w:type="dxa" w:w="2960"/>
            <w:shd w:fill="F2F4F7"/>
          </w:tcPr>
          <w:p>
            <w:pPr>
              <w:spacing w:after="0"/>
              <w:jc w:val="left"/>
            </w:pPr>
            <w:r>
              <w:rPr>
                <w:rFonts w:ascii="Calibri" w:hAnsi="Calibri"/>
                <w:sz w:val="17"/>
              </w:rPr>
              <w:t>Temporary staging followed by atomic final-directory rename.</w:t>
            </w:r>
          </w:p>
        </w:tc>
      </w:tr>
    </w:tbl>
    <w:p>
      <w:pPr>
        <w:spacing w:after="0"/>
      </w:pPr>
    </w:p>
    <w:p>
      <w:pPr>
        <w:pStyle w:val="Heading2"/>
        <w:keepNext w:val="1"/>
        <w:keepLines w:val="1"/>
      </w:pPr>
      <w:r>
        <w:t>14.1 Hash and Lineage Rules</w:t>
      </w:r>
    </w:p>
    <w:p>
      <w:pPr>
        <w:numPr>
          <w:ilvl w:val="0"/>
          <w:numId w:val="10"/>
        </w:numPr>
      </w:pPr>
      <w:r>
        <w:rPr>
          <w:rFonts w:ascii="Calibri" w:hAnsi="Calibri"/>
          <w:sz w:val="22"/>
        </w:rPr>
        <w:t>Paths locate artifacts; SHA-256 values establish identity.</w:t>
      </w:r>
    </w:p>
    <w:p>
      <w:pPr>
        <w:numPr>
          <w:ilvl w:val="0"/>
          <w:numId w:val="10"/>
        </w:numPr>
      </w:pPr>
      <w:r>
        <w:rPr>
          <w:rFonts w:ascii="Calibri" w:hAnsi="Calibri"/>
          <w:sz w:val="22"/>
        </w:rPr>
        <w:t>Parent reports enumerate child artifact hashes and acceptance criteria.</w:t>
      </w:r>
    </w:p>
    <w:p>
      <w:pPr>
        <w:numPr>
          <w:ilvl w:val="0"/>
          <w:numId w:val="10"/>
        </w:numPr>
      </w:pPr>
      <w:r>
        <w:rPr>
          <w:rFonts w:ascii="Calibri" w:hAnsi="Calibri"/>
          <w:sz w:val="22"/>
        </w:rPr>
        <w:t>Protocol hashes distinguish training-time G0B lineage from later governance states.</w:t>
      </w:r>
    </w:p>
    <w:p>
      <w:pPr>
        <w:numPr>
          <w:ilvl w:val="0"/>
          <w:numId w:val="10"/>
        </w:numPr>
      </w:pPr>
      <w:r>
        <w:rPr>
          <w:rFonts w:ascii="Calibri" w:hAnsi="Calibri"/>
          <w:sz w:val="22"/>
        </w:rPr>
        <w:t>Checkpoint bytes are never rewritten to reflect a later approval state.</w:t>
      </w:r>
    </w:p>
    <w:p>
      <w:pPr>
        <w:numPr>
          <w:ilvl w:val="0"/>
          <w:numId w:val="10"/>
        </w:numPr>
      </w:pPr>
      <w:r>
        <w:rPr>
          <w:rFonts w:ascii="Calibri" w:hAnsi="Calibri"/>
          <w:sz w:val="22"/>
        </w:rPr>
        <w:t>Physical recovery records preserve historical logical lineage while recording a distinct physical freeze hash.</w:t>
      </w:r>
    </w:p>
    <w:p>
      <w:pPr>
        <w:numPr>
          <w:ilvl w:val="0"/>
          <w:numId w:val="10"/>
        </w:numPr>
      </w:pPr>
      <w:r>
        <w:rPr>
          <w:rFonts w:ascii="Calibri" w:hAnsi="Calibri"/>
          <w:sz w:val="22"/>
        </w:rPr>
        <w:t>Output directories are versioned and non-overwriting unless a runner explicitly implements safe resume.</w:t>
      </w:r>
    </w:p>
    <w:p>
      <w:pPr>
        <w:pStyle w:val="Heading1"/>
        <w:keepNext w:val="1"/>
        <w:keepLines w:val="1"/>
      </w:pPr>
      <w:r>
        <w:t>15. Failure Handling and Recovery</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80" w:type="dxa"/>
              <w:bottom w:w="80" w:type="dxa"/>
              <w:start w:w="120" w:type="dxa"/>
              <w:end w:w="120" w:type="dxa"/>
            </w:tcMar>
            <w:vAlign w:val="center"/>
            <w:shd w:fill="E8EEF5"/>
          </w:tcPr>
          <w:p>
            <w:pPr>
              <w:spacing w:after="0"/>
              <w:jc w:val="center"/>
            </w:pPr>
            <w:r>
              <w:rPr>
                <w:rFonts w:ascii="Calibri" w:hAnsi="Calibri"/>
                <w:b/>
                <w:color w:val="0B2545"/>
                <w:sz w:val="18"/>
              </w:rPr>
              <w:t>Failure mode</w:t>
            </w:r>
          </w:p>
        </w:tc>
        <w:tc>
          <w:tcPr>
            <w:tcW w:type="dxa" w:w="6560"/>
            <w:tcMar>
              <w:top w:w="80" w:type="dxa"/>
              <w:bottom w:w="80" w:type="dxa"/>
              <w:start w:w="120" w:type="dxa"/>
              <w:end w:w="120" w:type="dxa"/>
            </w:tcMar>
            <w:vAlign w:val="center"/>
            <w:shd w:fill="E8EEF5"/>
          </w:tcPr>
          <w:p>
            <w:pPr>
              <w:spacing w:after="0"/>
              <w:jc w:val="center"/>
            </w:pPr>
            <w:r>
              <w:rPr>
                <w:rFonts w:ascii="Calibri" w:hAnsi="Calibri"/>
                <w:b/>
                <w:color w:val="0B2545"/>
                <w:sz w:val="18"/>
              </w:rPr>
              <w:t>Designed response</w:t>
            </w:r>
          </w:p>
        </w:tc>
      </w:tr>
      <w:tr>
        <w:tc>
          <w:tcPr>
            <w:tcW w:type="dxa" w:w="2800"/>
          </w:tcPr>
          <w:p>
            <w:pPr>
              <w:spacing w:after="0"/>
              <w:jc w:val="left"/>
            </w:pPr>
            <w:r>
              <w:rPr>
                <w:rFonts w:ascii="Calibri" w:hAnsi="Calibri"/>
                <w:sz w:val="18"/>
              </w:rPr>
              <w:t>Colab interruption during training</w:t>
            </w:r>
          </w:p>
        </w:tc>
        <w:tc>
          <w:tcPr>
            <w:tcW w:type="dxa" w:w="6560"/>
          </w:tcPr>
          <w:p>
            <w:pPr>
              <w:spacing w:after="0"/>
              <w:jc w:val="left"/>
            </w:pPr>
            <w:r>
              <w:rPr>
                <w:rFonts w:ascii="Calibri" w:hAnsi="Calibri"/>
                <w:sz w:val="18"/>
              </w:rPr>
              <w:t>Resume from latest epoch state after exact identity validation.</w:t>
            </w:r>
          </w:p>
        </w:tc>
      </w:tr>
      <w:tr>
        <w:tc>
          <w:tcPr>
            <w:tcW w:type="dxa" w:w="2800"/>
            <w:shd w:fill="F2F4F7"/>
          </w:tcPr>
          <w:p>
            <w:pPr>
              <w:spacing w:after="0"/>
              <w:jc w:val="left"/>
            </w:pPr>
            <w:r>
              <w:rPr>
                <w:rFonts w:ascii="Calibri" w:hAnsi="Calibri"/>
                <w:sz w:val="18"/>
              </w:rPr>
              <w:t>Interruption during joint evaluation</w:t>
            </w:r>
          </w:p>
        </w:tc>
        <w:tc>
          <w:tcPr>
            <w:tcW w:type="dxa" w:w="6560"/>
            <w:shd w:fill="F2F4F7"/>
          </w:tcPr>
          <w:p>
            <w:pPr>
              <w:spacing w:after="0"/>
              <w:jc w:val="left"/>
            </w:pPr>
            <w:r>
              <w:rPr>
                <w:rFonts w:ascii="Calibri" w:hAnsi="Calibri"/>
                <w:sz w:val="18"/>
              </w:rPr>
              <w:t>Resume from committed SQLite sample transactions; complete samples are skipped.</w:t>
            </w:r>
          </w:p>
        </w:tc>
      </w:tr>
      <w:tr>
        <w:tc>
          <w:tcPr>
            <w:tcW w:type="dxa" w:w="2800"/>
          </w:tcPr>
          <w:p>
            <w:pPr>
              <w:spacing w:after="0"/>
              <w:jc w:val="left"/>
            </w:pPr>
            <w:r>
              <w:rPr>
                <w:rFonts w:ascii="Calibri" w:hAnsi="Calibri"/>
                <w:sz w:val="18"/>
              </w:rPr>
              <w:t>Output directory already contains unrelated data</w:t>
            </w:r>
          </w:p>
        </w:tc>
        <w:tc>
          <w:tcPr>
            <w:tcW w:type="dxa" w:w="6560"/>
          </w:tcPr>
          <w:p>
            <w:pPr>
              <w:spacing w:after="0"/>
              <w:jc w:val="left"/>
            </w:pPr>
            <w:r>
              <w:rPr>
                <w:rFonts w:ascii="Calibri" w:hAnsi="Calibri"/>
                <w:sz w:val="18"/>
              </w:rPr>
              <w:t>Fail and require a new versioned output directory.</w:t>
            </w:r>
          </w:p>
        </w:tc>
      </w:tr>
      <w:tr>
        <w:tc>
          <w:tcPr>
            <w:tcW w:type="dxa" w:w="2800"/>
            <w:shd w:fill="F2F4F7"/>
          </w:tcPr>
          <w:p>
            <w:pPr>
              <w:spacing w:after="0"/>
              <w:jc w:val="left"/>
            </w:pPr>
            <w:r>
              <w:rPr>
                <w:rFonts w:ascii="Calibri" w:hAnsi="Calibri"/>
                <w:sz w:val="18"/>
              </w:rPr>
              <w:t>Protocol, manifest, checkpoint, or code mismatch</w:t>
            </w:r>
          </w:p>
        </w:tc>
        <w:tc>
          <w:tcPr>
            <w:tcW w:type="dxa" w:w="6560"/>
            <w:shd w:fill="F2F4F7"/>
          </w:tcPr>
          <w:p>
            <w:pPr>
              <w:spacing w:after="0"/>
              <w:jc w:val="left"/>
            </w:pPr>
            <w:r>
              <w:rPr>
                <w:rFonts w:ascii="Calibri" w:hAnsi="Calibri"/>
                <w:sz w:val="18"/>
              </w:rPr>
              <w:t>Fail closed before protected execution or resume.</w:t>
            </w:r>
          </w:p>
        </w:tc>
      </w:tr>
      <w:tr>
        <w:tc>
          <w:tcPr>
            <w:tcW w:type="dxa" w:w="2800"/>
          </w:tcPr>
          <w:p>
            <w:pPr>
              <w:spacing w:after="0"/>
              <w:jc w:val="left"/>
            </w:pPr>
            <w:r>
              <w:rPr>
                <w:rFonts w:ascii="Calibri" w:hAnsi="Calibri"/>
                <w:sz w:val="18"/>
              </w:rPr>
              <w:t>Incomplete method part or factorial coverage</w:t>
            </w:r>
          </w:p>
        </w:tc>
        <w:tc>
          <w:tcPr>
            <w:tcW w:type="dxa" w:w="6560"/>
          </w:tcPr>
          <w:p>
            <w:pPr>
              <w:spacing w:after="0"/>
              <w:jc w:val="left"/>
            </w:pPr>
            <w:r>
              <w:rPr>
                <w:rFonts w:ascii="Calibri" w:hAnsi="Calibri"/>
                <w:sz w:val="18"/>
              </w:rPr>
              <w:t>Block merge and report the missing identity set.</w:t>
            </w:r>
          </w:p>
        </w:tc>
      </w:tr>
      <w:tr>
        <w:tc>
          <w:tcPr>
            <w:tcW w:type="dxa" w:w="2800"/>
            <w:shd w:fill="F2F4F7"/>
          </w:tcPr>
          <w:p>
            <w:pPr>
              <w:spacing w:after="0"/>
              <w:jc w:val="left"/>
            </w:pPr>
            <w:r>
              <w:rPr>
                <w:rFonts w:ascii="Calibri" w:hAnsi="Calibri"/>
                <w:sz w:val="18"/>
              </w:rPr>
              <w:t>Insufficient paired leaf support</w:t>
            </w:r>
          </w:p>
        </w:tc>
        <w:tc>
          <w:tcPr>
            <w:tcW w:type="dxa" w:w="6560"/>
            <w:shd w:fill="F2F4F7"/>
          </w:tcPr>
          <w:p>
            <w:pPr>
              <w:spacing w:after="0"/>
              <w:jc w:val="left"/>
            </w:pPr>
            <w:r>
              <w:rPr>
                <w:rFonts w:ascii="Calibri" w:hAnsi="Calibri"/>
                <w:sz w:val="18"/>
              </w:rPr>
              <w:t>Retain the planned row as non-estimable only when explicitly adjudicated.</w:t>
            </w:r>
          </w:p>
        </w:tc>
      </w:tr>
      <w:tr>
        <w:tc>
          <w:tcPr>
            <w:tcW w:type="dxa" w:w="2800"/>
          </w:tcPr>
          <w:p>
            <w:pPr>
              <w:spacing w:after="0"/>
              <w:jc w:val="left"/>
            </w:pPr>
            <w:r>
              <w:rPr>
                <w:rFonts w:ascii="Calibri" w:hAnsi="Calibri"/>
                <w:sz w:val="18"/>
              </w:rPr>
              <w:t>Loss of final physical freeze</w:t>
            </w:r>
          </w:p>
        </w:tc>
        <w:tc>
          <w:tcPr>
            <w:tcW w:type="dxa" w:w="6560"/>
          </w:tcPr>
          <w:p>
            <w:pPr>
              <w:spacing w:after="0"/>
              <w:jc w:val="left"/>
            </w:pPr>
            <w:r>
              <w:rPr>
                <w:rFonts w:ascii="Calibri" w:hAnsi="Calibri"/>
                <w:sz w:val="18"/>
              </w:rPr>
              <w:t>Use the approved recovery bridge, verify every image, preserve historical lineage, and prohibit completed-result recomputation.</w:t>
            </w:r>
          </w:p>
        </w:tc>
      </w:tr>
    </w:tbl>
    <w:p>
      <w:pPr>
        <w:spacing w:after="0"/>
      </w:pPr>
    </w:p>
    <w:p>
      <w:pPr>
        <w:pStyle w:val="Heading1"/>
        <w:keepNext w:val="1"/>
        <w:keepLines w:val="1"/>
      </w:pPr>
      <w:r>
        <w:t>16. Deployment and Runtime Topology</w:t>
      </w:r>
    </w:p>
    <w:p>
      <w:r>
        <w:rPr>
          <w:rFonts w:ascii="Calibri" w:hAnsi="Calibri"/>
          <w:sz w:val="22"/>
        </w:rPr>
        <w:t>The repository is installed as an editable Python package. GPU stages run in a local CUDA environment or Google Colab; checkpoints, SQLite progress, and official outputs are written to durable storage. Data inspection and materialization may require Hugging Face and PyArrow. Statistical analysis and reporting are intentionally CPU-only after merged results exist.</w:t>
      </w:r>
    </w:p>
    <w:tbl>
      <w:tblPr>
        <w:tblStyle w:val="TableGrid"/>
        <w:tblW w:type="dxa" w:w="9360"/>
        <w:jc w:val="left"/>
        <w:tblLayout w:type="fixed"/>
        <w:tblLook w:firstColumn="1" w:firstRow="1" w:lastColumn="0" w:lastRow="0" w:noHBand="0" w:noVBand="1" w:val="04A0"/>
        <w:tblInd w:w="120" w:type="dxa"/>
      </w:tblPr>
      <w:tblGrid>
        <w:gridCol w:w="2800"/>
        <w:gridCol w:w="1800"/>
        <w:gridCol w:w="4760"/>
      </w:tblGrid>
      <w:tr>
        <w:trPr>
          <w:tblHeader w:val="true"/>
        </w:trPr>
        <w:tc>
          <w:tcPr>
            <w:tcW w:type="dxa" w:w="2800"/>
            <w:tcMar>
              <w:top w:w="80" w:type="dxa"/>
              <w:bottom w:w="80" w:type="dxa"/>
              <w:start w:w="120" w:type="dxa"/>
              <w:end w:w="120" w:type="dxa"/>
            </w:tcMar>
            <w:vAlign w:val="center"/>
            <w:shd w:fill="E8EEF5"/>
          </w:tcPr>
          <w:p>
            <w:pPr>
              <w:spacing w:after="0"/>
              <w:jc w:val="center"/>
            </w:pPr>
            <w:r>
              <w:rPr>
                <w:rFonts w:ascii="Calibri" w:hAnsi="Calibri"/>
                <w:b/>
                <w:color w:val="0B2545"/>
                <w:sz w:val="19"/>
              </w:rPr>
              <w:t>Capability</w:t>
            </w:r>
          </w:p>
        </w:tc>
        <w:tc>
          <w:tcPr>
            <w:tcW w:type="dxa" w:w="1800"/>
            <w:tcMar>
              <w:top w:w="80" w:type="dxa"/>
              <w:bottom w:w="80" w:type="dxa"/>
              <w:start w:w="120" w:type="dxa"/>
              <w:end w:w="120" w:type="dxa"/>
            </w:tcMar>
            <w:vAlign w:val="center"/>
            <w:shd w:fill="E8EEF5"/>
          </w:tcPr>
          <w:p>
            <w:pPr>
              <w:spacing w:after="0"/>
              <w:jc w:val="center"/>
            </w:pPr>
            <w:r>
              <w:rPr>
                <w:rFonts w:ascii="Calibri" w:hAnsi="Calibri"/>
                <w:b/>
                <w:color w:val="0B2545"/>
                <w:sz w:val="19"/>
              </w:rPr>
              <w:t>Dependency group</w:t>
            </w:r>
          </w:p>
        </w:tc>
        <w:tc>
          <w:tcPr>
            <w:tcW w:type="dxa" w:w="4760"/>
            <w:tcMar>
              <w:top w:w="80" w:type="dxa"/>
              <w:bottom w:w="80" w:type="dxa"/>
              <w:start w:w="120" w:type="dxa"/>
              <w:end w:w="120" w:type="dxa"/>
            </w:tcMar>
            <w:vAlign w:val="center"/>
            <w:shd w:fill="E8EEF5"/>
          </w:tcPr>
          <w:p>
            <w:pPr>
              <w:spacing w:after="0"/>
              <w:jc w:val="center"/>
            </w:pPr>
            <w:r>
              <w:rPr>
                <w:rFonts w:ascii="Calibri" w:hAnsi="Calibri"/>
                <w:b/>
                <w:color w:val="0B2545"/>
                <w:sz w:val="19"/>
              </w:rPr>
              <w:t>Typical runtime</w:t>
            </w:r>
          </w:p>
        </w:tc>
      </w:tr>
      <w:tr>
        <w:tc>
          <w:tcPr>
            <w:tcW w:type="dxa" w:w="2800"/>
          </w:tcPr>
          <w:p>
            <w:pPr>
              <w:spacing w:after="0"/>
              <w:jc w:val="left"/>
            </w:pPr>
            <w:r>
              <w:rPr>
                <w:rFonts w:ascii="Calibri" w:hAnsi="Calibri"/>
                <w:sz w:val="19"/>
              </w:rPr>
              <w:t>Core protocol/data contracts</w:t>
            </w:r>
          </w:p>
        </w:tc>
        <w:tc>
          <w:tcPr>
            <w:tcW w:type="dxa" w:w="1800"/>
          </w:tcPr>
          <w:p>
            <w:pPr>
              <w:spacing w:after="0"/>
              <w:jc w:val="center"/>
            </w:pPr>
            <w:r>
              <w:rPr>
                <w:rFonts w:ascii="Calibri" w:hAnsi="Calibri"/>
                <w:sz w:val="19"/>
              </w:rPr>
              <w:t>base</w:t>
            </w:r>
          </w:p>
        </w:tc>
        <w:tc>
          <w:tcPr>
            <w:tcW w:type="dxa" w:w="4760"/>
          </w:tcPr>
          <w:p>
            <w:pPr>
              <w:spacing w:after="0"/>
              <w:jc w:val="center"/>
            </w:pPr>
            <w:r>
              <w:rPr>
                <w:rFonts w:ascii="Calibri" w:hAnsi="Calibri"/>
                <w:sz w:val="19"/>
              </w:rPr>
              <w:t>Python 3.10+ CPU</w:t>
            </w:r>
          </w:p>
        </w:tc>
      </w:tr>
      <w:tr>
        <w:tc>
          <w:tcPr>
            <w:tcW w:type="dxa" w:w="2800"/>
            <w:shd w:fill="F2F4F7"/>
          </w:tcPr>
          <w:p>
            <w:pPr>
              <w:spacing w:after="0"/>
              <w:jc w:val="left"/>
            </w:pPr>
            <w:r>
              <w:rPr>
                <w:rFonts w:ascii="Calibri" w:hAnsi="Calibri"/>
                <w:sz w:val="19"/>
              </w:rPr>
              <w:t>Hugging Face and parquet</w:t>
            </w:r>
          </w:p>
        </w:tc>
        <w:tc>
          <w:tcPr>
            <w:tcW w:type="dxa" w:w="1800"/>
            <w:shd w:fill="F2F4F7"/>
          </w:tcPr>
          <w:p>
            <w:pPr>
              <w:spacing w:after="0"/>
              <w:jc w:val="center"/>
            </w:pPr>
            <w:r>
              <w:rPr>
                <w:rFonts w:ascii="Calibri" w:hAnsi="Calibri"/>
                <w:sz w:val="19"/>
              </w:rPr>
              <w:t>hf</w:t>
            </w:r>
          </w:p>
        </w:tc>
        <w:tc>
          <w:tcPr>
            <w:tcW w:type="dxa" w:w="4760"/>
            <w:shd w:fill="F2F4F7"/>
          </w:tcPr>
          <w:p>
            <w:pPr>
              <w:spacing w:after="0"/>
              <w:jc w:val="left"/>
            </w:pPr>
            <w:r>
              <w:rPr>
                <w:rFonts w:ascii="Calibri" w:hAnsi="Calibri"/>
                <w:sz w:val="19"/>
              </w:rPr>
              <w:t>CPU plus network/cache for source access</w:t>
            </w:r>
          </w:p>
        </w:tc>
      </w:tr>
      <w:tr>
        <w:tc>
          <w:tcPr>
            <w:tcW w:type="dxa" w:w="2800"/>
          </w:tcPr>
          <w:p>
            <w:pPr>
              <w:spacing w:after="0"/>
              <w:jc w:val="left"/>
            </w:pPr>
            <w:r>
              <w:rPr>
                <w:rFonts w:ascii="Calibri" w:hAnsi="Calibri"/>
                <w:sz w:val="19"/>
              </w:rPr>
              <w:t>Training and inference</w:t>
            </w:r>
          </w:p>
        </w:tc>
        <w:tc>
          <w:tcPr>
            <w:tcW w:type="dxa" w:w="1800"/>
          </w:tcPr>
          <w:p>
            <w:pPr>
              <w:spacing w:after="0"/>
              <w:jc w:val="center"/>
            </w:pPr>
            <w:r>
              <w:rPr>
                <w:rFonts w:ascii="Calibri" w:hAnsi="Calibri"/>
                <w:sz w:val="19"/>
              </w:rPr>
              <w:t>ml</w:t>
            </w:r>
          </w:p>
        </w:tc>
        <w:tc>
          <w:tcPr>
            <w:tcW w:type="dxa" w:w="4760"/>
          </w:tcPr>
          <w:p>
            <w:pPr>
              <w:spacing w:after="0"/>
              <w:jc w:val="left"/>
            </w:pPr>
            <w:r>
              <w:rPr>
                <w:rFonts w:ascii="Calibri" w:hAnsi="Calibri"/>
                <w:sz w:val="19"/>
              </w:rPr>
              <w:t>CUDA GPU recommended</w:t>
            </w:r>
          </w:p>
        </w:tc>
      </w:tr>
      <w:tr>
        <w:tc>
          <w:tcPr>
            <w:tcW w:type="dxa" w:w="2800"/>
            <w:shd w:fill="F2F4F7"/>
          </w:tcPr>
          <w:p>
            <w:pPr>
              <w:spacing w:after="0"/>
              <w:jc w:val="left"/>
            </w:pPr>
            <w:r>
              <w:rPr>
                <w:rFonts w:ascii="Calibri" w:hAnsi="Calibri"/>
                <w:sz w:val="19"/>
              </w:rPr>
              <w:t>CAM and spatial metrics</w:t>
            </w:r>
          </w:p>
        </w:tc>
        <w:tc>
          <w:tcPr>
            <w:tcW w:type="dxa" w:w="1800"/>
            <w:shd w:fill="F2F4F7"/>
          </w:tcPr>
          <w:p>
            <w:pPr>
              <w:spacing w:after="0"/>
              <w:jc w:val="center"/>
            </w:pPr>
            <w:r>
              <w:rPr>
                <w:rFonts w:ascii="Calibri" w:hAnsi="Calibri"/>
                <w:sz w:val="19"/>
              </w:rPr>
              <w:t>xai</w:t>
            </w:r>
          </w:p>
        </w:tc>
        <w:tc>
          <w:tcPr>
            <w:tcW w:type="dxa" w:w="4760"/>
            <w:shd w:fill="F2F4F7"/>
          </w:tcPr>
          <w:p>
            <w:pPr>
              <w:spacing w:after="0"/>
              <w:jc w:val="left"/>
            </w:pPr>
            <w:r>
              <w:rPr>
                <w:rFonts w:ascii="Calibri" w:hAnsi="Calibri"/>
                <w:sz w:val="19"/>
              </w:rPr>
              <w:t>CUDA GPU for CAM generation; CPU libraries for metrics</w:t>
            </w:r>
          </w:p>
        </w:tc>
      </w:tr>
      <w:tr>
        <w:tc>
          <w:tcPr>
            <w:tcW w:type="dxa" w:w="2800"/>
          </w:tcPr>
          <w:p>
            <w:pPr>
              <w:spacing w:after="0"/>
              <w:jc w:val="left"/>
            </w:pPr>
            <w:r>
              <w:rPr>
                <w:rFonts w:ascii="Calibri" w:hAnsi="Calibri"/>
                <w:sz w:val="19"/>
              </w:rPr>
              <w:t>Frozen figures and tables</w:t>
            </w:r>
          </w:p>
        </w:tc>
        <w:tc>
          <w:tcPr>
            <w:tcW w:type="dxa" w:w="1800"/>
          </w:tcPr>
          <w:p>
            <w:pPr>
              <w:spacing w:after="0"/>
              <w:jc w:val="center"/>
            </w:pPr>
            <w:r>
              <w:rPr>
                <w:rFonts w:ascii="Calibri" w:hAnsi="Calibri"/>
                <w:sz w:val="19"/>
              </w:rPr>
              <w:t>report</w:t>
            </w:r>
          </w:p>
        </w:tc>
        <w:tc>
          <w:tcPr>
            <w:tcW w:type="dxa" w:w="4760"/>
          </w:tcPr>
          <w:p>
            <w:pPr>
              <w:spacing w:after="0"/>
              <w:jc w:val="center"/>
            </w:pPr>
            <w:r>
              <w:rPr>
                <w:rFonts w:ascii="Calibri" w:hAnsi="Calibri"/>
                <w:sz w:val="19"/>
              </w:rPr>
              <w:t>CPU only</w:t>
            </w:r>
          </w:p>
        </w:tc>
      </w:tr>
      <w:tr>
        <w:tc>
          <w:tcPr>
            <w:tcW w:type="dxa" w:w="2800"/>
            <w:shd w:fill="F2F4F7"/>
          </w:tcPr>
          <w:p>
            <w:pPr>
              <w:spacing w:after="0"/>
              <w:jc w:val="left"/>
            </w:pPr>
            <w:r>
              <w:rPr>
                <w:rFonts w:ascii="Calibri" w:hAnsi="Calibri"/>
                <w:sz w:val="19"/>
              </w:rPr>
              <w:t>Quality assurance</w:t>
            </w:r>
          </w:p>
        </w:tc>
        <w:tc>
          <w:tcPr>
            <w:tcW w:type="dxa" w:w="1800"/>
            <w:shd w:fill="F2F4F7"/>
          </w:tcPr>
          <w:p>
            <w:pPr>
              <w:spacing w:after="0"/>
              <w:jc w:val="center"/>
            </w:pPr>
            <w:r>
              <w:rPr>
                <w:rFonts w:ascii="Calibri" w:hAnsi="Calibri"/>
                <w:sz w:val="19"/>
              </w:rPr>
              <w:t>dev</w:t>
            </w:r>
          </w:p>
        </w:tc>
        <w:tc>
          <w:tcPr>
            <w:tcW w:type="dxa" w:w="4760"/>
            <w:shd w:fill="F2F4F7"/>
          </w:tcPr>
          <w:p>
            <w:pPr>
              <w:spacing w:after="0"/>
              <w:jc w:val="left"/>
            </w:pPr>
            <w:r>
              <w:rPr>
                <w:rFonts w:ascii="Calibri" w:hAnsi="Calibri"/>
                <w:sz w:val="19"/>
              </w:rPr>
              <w:t>CPU; PyTorch integration where installed</w:t>
            </w:r>
          </w:p>
        </w:tc>
      </w:tr>
    </w:tbl>
    <w:p>
      <w:pPr>
        <w:spacing w:after="0"/>
      </w:pPr>
    </w:p>
    <w:p>
      <w:pPr>
        <w:pStyle w:val="Heading1"/>
        <w:keepNext w:val="1"/>
        <w:keepLines w:val="1"/>
      </w:pPr>
      <w:r>
        <w:t>17. Verification Architecture</w:t>
      </w:r>
    </w:p>
    <w:p>
      <w:pPr>
        <w:numPr>
          <w:ilvl w:val="0"/>
          <w:numId w:val="10"/>
        </w:numPr>
      </w:pPr>
      <w:r>
        <w:rPr>
          <w:rFonts w:ascii="Calibri" w:hAnsi="Calibri"/>
          <w:sz w:val="22"/>
        </w:rPr>
        <w:t>Unit tests cover configuration, contracts, transforms, XAI alignment, statistics, governance, recovery, merging, analysis, and reporting.</w:t>
      </w:r>
    </w:p>
    <w:p>
      <w:pPr>
        <w:numPr>
          <w:ilvl w:val="0"/>
          <w:numId w:val="10"/>
        </w:numPr>
      </w:pPr>
      <w:r>
        <w:rPr>
          <w:rFonts w:ascii="Calibri" w:hAnsi="Calibri"/>
          <w:sz w:val="22"/>
        </w:rPr>
        <w:t>Integration tests exercise protocol CLI behavior and training-checkpoint persistence where PyTorch is available.</w:t>
      </w:r>
    </w:p>
    <w:p>
      <w:pPr>
        <w:numPr>
          <w:ilvl w:val="0"/>
          <w:numId w:val="10"/>
        </w:numPr>
      </w:pPr>
      <w:r>
        <w:rPr>
          <w:rFonts w:ascii="Calibri" w:hAnsi="Calibri"/>
          <w:sz w:val="22"/>
        </w:rPr>
        <w:t>Scientific tests enforce invariants such as deterministic scenarios, identity coverage, and claim-boundary behavior.</w:t>
      </w:r>
    </w:p>
    <w:p>
      <w:pPr>
        <w:numPr>
          <w:ilvl w:val="0"/>
          <w:numId w:val="10"/>
        </w:numPr>
      </w:pPr>
      <w:r>
        <w:rPr>
          <w:rFonts w:ascii="Calibri" w:hAnsi="Calibri"/>
          <w:sz w:val="22"/>
        </w:rPr>
        <w:t>Static checks use Ruff and mypy; compileall verifies importable source syntax.</w:t>
      </w:r>
    </w:p>
    <w:p>
      <w:pPr>
        <w:numPr>
          <w:ilvl w:val="0"/>
          <w:numId w:val="10"/>
        </w:numPr>
      </w:pPr>
      <w:r>
        <w:rPr>
          <w:rFonts w:ascii="Calibri" w:hAnsi="Calibri"/>
          <w:sz w:val="22"/>
        </w:rPr>
        <w:t>Protocol validation and scenario smoke tests are safe preflight commands.</w:t>
      </w:r>
    </w:p>
    <w:p>
      <w:pPr>
        <w:numPr>
          <w:ilvl w:val="0"/>
          <w:numId w:val="10"/>
        </w:numPr>
      </w:pPr>
      <w:r>
        <w:rPr>
          <w:rFonts w:ascii="Calibri" w:hAnsi="Calibri"/>
          <w:sz w:val="22"/>
        </w:rPr>
        <w:t>Every official runner adds runtime acceptance criteria beyond the general test suite.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pPr>
            <w:r>
              <w:rPr>
                <w:rFonts w:ascii="Calibri" w:hAnsi="Calibri"/>
                <w:b/>
                <w:color w:val="1F4D78"/>
                <w:sz w:val="22"/>
              </w:rPr>
              <w:t xml:space="preserve">Acceptance model: </w:t>
            </w:r>
            <w:r>
              <w:rPr>
                <w:rFonts w:ascii="Calibri" w:hAnsi="Calibri"/>
                <w:sz w:val="22"/>
              </w:rPr>
              <w:t>Software tests demonstrate implementation behavior; official reports additionally demonstrate exact scientific lineage, coverage, authorization, and artifact identity.</w:t>
            </w:r>
          </w:p>
        </w:tc>
      </w:tr>
    </w:tbl>
    <w:p>
      <w:pPr>
        <w:spacing w:after="0"/>
      </w:pPr>
    </w:p>
    <w:p>
      <w:r>
        <w:br w:type="page"/>
      </w:r>
    </w:p>
    <w:p>
      <w:pPr>
        <w:pStyle w:val="Heading1"/>
        <w:keepNext w:val="1"/>
        <w:keepLines w:val="1"/>
      </w:pPr>
      <w:r>
        <w:t>18. Operational Script Map</w:t>
      </w:r>
    </w:p>
    <w:tbl>
      <w:tblPr>
        <w:tblStyle w:val="TableGrid"/>
        <w:tblW w:type="dxa" w:w="9360"/>
        <w:jc w:val="left"/>
        <w:tblLayout w:type="fixed"/>
        <w:tblLook w:firstColumn="1" w:firstRow="1" w:lastColumn="0" w:lastRow="0" w:noHBand="0" w:noVBand="1" w:val="04A0"/>
        <w:tblInd w:w="120" w:type="dxa"/>
      </w:tblPr>
      <w:tblGrid>
        <w:gridCol w:w="3200"/>
        <w:gridCol w:w="4660"/>
        <w:gridCol w:w="1500"/>
      </w:tblGrid>
      <w:tr>
        <w:trPr>
          <w:tblHeader w:val="true"/>
        </w:trPr>
        <w:tc>
          <w:tcPr>
            <w:tcW w:type="dxa" w:w="3200"/>
            <w:tcMar>
              <w:top w:w="80" w:type="dxa"/>
              <w:bottom w:w="80" w:type="dxa"/>
              <w:start w:w="120" w:type="dxa"/>
              <w:end w:w="120" w:type="dxa"/>
            </w:tcMar>
            <w:vAlign w:val="center"/>
            <w:shd w:fill="E8EEF5"/>
          </w:tcPr>
          <w:p>
            <w:pPr>
              <w:spacing w:after="0"/>
              <w:jc w:val="center"/>
            </w:pPr>
            <w:r>
              <w:rPr>
                <w:rFonts w:ascii="Calibri" w:hAnsi="Calibri"/>
                <w:b/>
                <w:color w:val="0B2545"/>
                <w:sz w:val="17"/>
              </w:rPr>
              <w:t>Script</w:t>
            </w:r>
          </w:p>
        </w:tc>
        <w:tc>
          <w:tcPr>
            <w:tcW w:type="dxa" w:w="4660"/>
            <w:tcMar>
              <w:top w:w="80" w:type="dxa"/>
              <w:bottom w:w="80" w:type="dxa"/>
              <w:start w:w="120" w:type="dxa"/>
              <w:end w:w="120" w:type="dxa"/>
            </w:tcMar>
            <w:vAlign w:val="center"/>
            <w:shd w:fill="E8EEF5"/>
          </w:tcPr>
          <w:p>
            <w:pPr>
              <w:spacing w:after="0"/>
              <w:jc w:val="center"/>
            </w:pPr>
            <w:r>
              <w:rPr>
                <w:rFonts w:ascii="Calibri" w:hAnsi="Calibri"/>
                <w:b/>
                <w:color w:val="0B2545"/>
                <w:sz w:val="17"/>
              </w:rPr>
              <w:t>Function</w:t>
            </w:r>
          </w:p>
        </w:tc>
        <w:tc>
          <w:tcPr>
            <w:tcW w:type="dxa" w:w="1500"/>
            <w:tcMar>
              <w:top w:w="80" w:type="dxa"/>
              <w:bottom w:w="80" w:type="dxa"/>
              <w:start w:w="120" w:type="dxa"/>
              <w:end w:w="120" w:type="dxa"/>
            </w:tcMar>
            <w:vAlign w:val="center"/>
            <w:shd w:fill="E8EEF5"/>
          </w:tcPr>
          <w:p>
            <w:pPr>
              <w:spacing w:after="0"/>
              <w:jc w:val="center"/>
            </w:pPr>
            <w:r>
              <w:rPr>
                <w:rFonts w:ascii="Calibri" w:hAnsi="Calibri"/>
                <w:b/>
                <w:color w:val="0B2545"/>
                <w:sz w:val="17"/>
              </w:rPr>
              <w:t>Gate or phase</w:t>
            </w:r>
          </w:p>
        </w:tc>
      </w:tr>
      <w:tr>
        <w:tc>
          <w:tcPr>
            <w:tcW w:type="dxa" w:w="3200"/>
          </w:tcPr>
          <w:p>
            <w:pPr>
              <w:spacing w:after="0"/>
              <w:jc w:val="left"/>
            </w:pPr>
            <w:r>
              <w:rPr>
                <w:rFonts w:ascii="Calibri" w:hAnsi="Calibri"/>
                <w:sz w:val="17"/>
              </w:rPr>
              <w:t>inspect_hf_dataset.py</w:t>
            </w:r>
          </w:p>
        </w:tc>
        <w:tc>
          <w:tcPr>
            <w:tcW w:type="dxa" w:w="4660"/>
          </w:tcPr>
          <w:p>
            <w:pPr>
              <w:spacing w:after="0"/>
              <w:jc w:val="left"/>
            </w:pPr>
            <w:r>
              <w:rPr>
                <w:rFonts w:ascii="Calibri" w:hAnsi="Calibri"/>
                <w:sz w:val="17"/>
              </w:rPr>
              <w:t>Source schema/receipt and optional canonical manifest materialization.</w:t>
            </w:r>
          </w:p>
        </w:tc>
        <w:tc>
          <w:tcPr>
            <w:tcW w:type="dxa" w:w="1500"/>
          </w:tcPr>
          <w:p>
            <w:pPr>
              <w:spacing w:after="0"/>
              <w:jc w:val="center"/>
            </w:pPr>
            <w:r>
              <w:rPr>
                <w:rFonts w:ascii="Calibri" w:hAnsi="Calibri"/>
                <w:sz w:val="17"/>
              </w:rPr>
              <w:t>Data preparation</w:t>
            </w:r>
          </w:p>
        </w:tc>
      </w:tr>
      <w:tr>
        <w:tc>
          <w:tcPr>
            <w:tcW w:type="dxa" w:w="3200"/>
            <w:shd w:fill="F2F4F7"/>
          </w:tcPr>
          <w:p>
            <w:pPr>
              <w:spacing w:after="0"/>
              <w:jc w:val="left"/>
            </w:pPr>
            <w:r>
              <w:rPr>
                <w:rFonts w:ascii="Calibri" w:hAnsi="Calibri"/>
                <w:sz w:val="17"/>
              </w:rPr>
              <w:t>audit_leaf_identity.py</w:t>
            </w:r>
          </w:p>
        </w:tc>
        <w:tc>
          <w:tcPr>
            <w:tcW w:type="dxa" w:w="4660"/>
            <w:shd w:fill="F2F4F7"/>
          </w:tcPr>
          <w:p>
            <w:pPr>
              <w:spacing w:after="0"/>
              <w:jc w:val="left"/>
            </w:pPr>
            <w:r>
              <w:rPr>
                <w:rFonts w:ascii="Calibri" w:hAnsi="Calibri"/>
                <w:sz w:val="17"/>
              </w:rPr>
              <w:t>Leaf identity evidence and split-overlap gate.</w:t>
            </w:r>
          </w:p>
        </w:tc>
        <w:tc>
          <w:tcPr>
            <w:tcW w:type="dxa" w:w="1500"/>
            <w:shd w:fill="F2F4F7"/>
          </w:tcPr>
          <w:p>
            <w:pPr>
              <w:spacing w:after="0"/>
              <w:jc w:val="center"/>
            </w:pPr>
            <w:r>
              <w:rPr>
                <w:rFonts w:ascii="Calibri" w:hAnsi="Calibri"/>
                <w:sz w:val="17"/>
              </w:rPr>
              <w:t>Data preparation</w:t>
            </w:r>
          </w:p>
        </w:tc>
      </w:tr>
      <w:tr>
        <w:tc>
          <w:tcPr>
            <w:tcW w:type="dxa" w:w="3200"/>
          </w:tcPr>
          <w:p>
            <w:pPr>
              <w:spacing w:after="0"/>
              <w:jc w:val="left"/>
            </w:pPr>
            <w:r>
              <w:rPr>
                <w:rFonts w:ascii="Calibri" w:hAnsi="Calibri"/>
                <w:sz w:val="17"/>
              </w:rPr>
              <w:t>adjudicate_quarantine.py</w:t>
            </w:r>
          </w:p>
        </w:tc>
        <w:tc>
          <w:tcPr>
            <w:tcW w:type="dxa" w:w="4660"/>
          </w:tcPr>
          <w:p>
            <w:pPr>
              <w:spacing w:after="0"/>
              <w:jc w:val="left"/>
            </w:pPr>
            <w:r>
              <w:rPr>
                <w:rFonts w:ascii="Calibri" w:hAnsi="Calibri"/>
                <w:sz w:val="17"/>
              </w:rPr>
              <w:t>Approved train-side overlap quarantine.</w:t>
            </w:r>
          </w:p>
        </w:tc>
        <w:tc>
          <w:tcPr>
            <w:tcW w:type="dxa" w:w="1500"/>
          </w:tcPr>
          <w:p>
            <w:pPr>
              <w:spacing w:after="0"/>
              <w:jc w:val="center"/>
            </w:pPr>
            <w:r>
              <w:rPr>
                <w:rFonts w:ascii="Calibri" w:hAnsi="Calibri"/>
                <w:sz w:val="17"/>
              </w:rPr>
              <w:t>Data governance</w:t>
            </w:r>
          </w:p>
        </w:tc>
      </w:tr>
      <w:tr>
        <w:tc>
          <w:tcPr>
            <w:tcW w:type="dxa" w:w="3200"/>
            <w:shd w:fill="F2F4F7"/>
          </w:tcPr>
          <w:p>
            <w:pPr>
              <w:spacing w:after="0"/>
              <w:jc w:val="left"/>
            </w:pPr>
            <w:r>
              <w:rPr>
                <w:rFonts w:ascii="Calibri" w:hAnsi="Calibri"/>
                <w:sz w:val="17"/>
              </w:rPr>
              <w:t>adjudicate_exact_duplicates.py</w:t>
            </w:r>
          </w:p>
        </w:tc>
        <w:tc>
          <w:tcPr>
            <w:tcW w:type="dxa" w:w="4660"/>
            <w:shd w:fill="F2F4F7"/>
          </w:tcPr>
          <w:p>
            <w:pPr>
              <w:spacing w:after="0"/>
              <w:jc w:val="left"/>
            </w:pPr>
            <w:r>
              <w:rPr>
                <w:rFonts w:ascii="Calibri" w:hAnsi="Calibri"/>
                <w:sz w:val="17"/>
              </w:rPr>
              <w:t>Approved redundant exact-train-duplicate quarantine.</w:t>
            </w:r>
          </w:p>
        </w:tc>
        <w:tc>
          <w:tcPr>
            <w:tcW w:type="dxa" w:w="1500"/>
            <w:shd w:fill="F2F4F7"/>
          </w:tcPr>
          <w:p>
            <w:pPr>
              <w:spacing w:after="0"/>
              <w:jc w:val="center"/>
            </w:pPr>
            <w:r>
              <w:rPr>
                <w:rFonts w:ascii="Calibri" w:hAnsi="Calibri"/>
                <w:sz w:val="17"/>
              </w:rPr>
              <w:t>Data governance</w:t>
            </w:r>
          </w:p>
        </w:tc>
      </w:tr>
      <w:tr>
        <w:tc>
          <w:tcPr>
            <w:tcW w:type="dxa" w:w="3200"/>
          </w:tcPr>
          <w:p>
            <w:pPr>
              <w:spacing w:after="0"/>
              <w:jc w:val="left"/>
            </w:pPr>
            <w:r>
              <w:rPr>
                <w:rFonts w:ascii="Calibri" w:hAnsi="Calibri"/>
                <w:sz w:val="17"/>
              </w:rPr>
              <w:t>freeze_dataset.py</w:t>
            </w:r>
          </w:p>
        </w:tc>
        <w:tc>
          <w:tcPr>
            <w:tcW w:type="dxa" w:w="4660"/>
          </w:tcPr>
          <w:p>
            <w:pPr>
              <w:spacing w:after="0"/>
              <w:jc w:val="left"/>
            </w:pPr>
            <w:r>
              <w:rPr>
                <w:rFonts w:ascii="Calibri" w:hAnsi="Calibri"/>
                <w:sz w:val="17"/>
              </w:rPr>
              <w:t>Frozen manifest, splits, summaries, leakage and freeze record.</w:t>
            </w:r>
          </w:p>
        </w:tc>
        <w:tc>
          <w:tcPr>
            <w:tcW w:type="dxa" w:w="1500"/>
          </w:tcPr>
          <w:p>
            <w:pPr>
              <w:spacing w:after="0"/>
              <w:jc w:val="center"/>
            </w:pPr>
            <w:r>
              <w:rPr>
                <w:rFonts w:ascii="Calibri" w:hAnsi="Calibri"/>
                <w:sz w:val="17"/>
              </w:rPr>
              <w:t>G0B</w:t>
            </w:r>
          </w:p>
        </w:tc>
      </w:tr>
      <w:tr>
        <w:tc>
          <w:tcPr>
            <w:tcW w:type="dxa" w:w="3200"/>
            <w:shd w:fill="F2F4F7"/>
          </w:tcPr>
          <w:p>
            <w:pPr>
              <w:spacing w:after="0"/>
              <w:jc w:val="left"/>
            </w:pPr>
            <w:r>
              <w:rPr>
                <w:rFonts w:ascii="Calibri" w:hAnsi="Calibri"/>
                <w:sz w:val="17"/>
              </w:rPr>
              <w:t>pilot_transform_severity.py / render_severity_review.py</w:t>
            </w:r>
          </w:p>
        </w:tc>
        <w:tc>
          <w:tcPr>
            <w:tcW w:type="dxa" w:w="4660"/>
            <w:shd w:fill="F2F4F7"/>
          </w:tcPr>
          <w:p>
            <w:pPr>
              <w:spacing w:after="0"/>
              <w:jc w:val="left"/>
            </w:pPr>
            <w:r>
              <w:rPr>
                <w:rFonts w:ascii="Calibri" w:hAnsi="Calibri"/>
                <w:sz w:val="17"/>
              </w:rPr>
              <w:t>Validation-only numerical and visual severity evidence.</w:t>
            </w:r>
          </w:p>
        </w:tc>
        <w:tc>
          <w:tcPr>
            <w:tcW w:type="dxa" w:w="1500"/>
            <w:shd w:fill="F2F4F7"/>
          </w:tcPr>
          <w:p>
            <w:pPr>
              <w:spacing w:after="0"/>
              <w:jc w:val="center"/>
            </w:pPr>
            <w:r>
              <w:rPr>
                <w:rFonts w:ascii="Calibri" w:hAnsi="Calibri"/>
                <w:sz w:val="17"/>
              </w:rPr>
              <w:t>G0B</w:t>
            </w:r>
          </w:p>
        </w:tc>
      </w:tr>
      <w:tr>
        <w:tc>
          <w:tcPr>
            <w:tcW w:type="dxa" w:w="3200"/>
          </w:tcPr>
          <w:p>
            <w:pPr>
              <w:spacing w:after="0"/>
              <w:jc w:val="left"/>
            </w:pPr>
            <w:r>
              <w:rPr>
                <w:rFonts w:ascii="Calibri" w:hAnsi="Calibri"/>
                <w:sz w:val="17"/>
              </w:rPr>
              <w:t>train_colab.py</w:t>
            </w:r>
          </w:p>
        </w:tc>
        <w:tc>
          <w:tcPr>
            <w:tcW w:type="dxa" w:w="4660"/>
          </w:tcPr>
          <w:p>
            <w:pPr>
              <w:spacing w:after="0"/>
              <w:jc w:val="left"/>
            </w:pPr>
            <w:r>
              <w:rPr>
                <w:rFonts w:ascii="Calibri" w:hAnsi="Calibri"/>
                <w:sz w:val="17"/>
              </w:rPr>
              <w:t>One resumable backbone training run.</w:t>
            </w:r>
          </w:p>
        </w:tc>
        <w:tc>
          <w:tcPr>
            <w:tcW w:type="dxa" w:w="1500"/>
          </w:tcPr>
          <w:p>
            <w:pPr>
              <w:spacing w:after="0"/>
              <w:jc w:val="center"/>
            </w:pPr>
            <w:r>
              <w:rPr>
                <w:rFonts w:ascii="Calibri" w:hAnsi="Calibri"/>
                <w:sz w:val="17"/>
              </w:rPr>
              <w:t>Training</w:t>
            </w:r>
          </w:p>
        </w:tc>
      </w:tr>
      <w:tr>
        <w:tc>
          <w:tcPr>
            <w:tcW w:type="dxa" w:w="3200"/>
            <w:shd w:fill="F2F4F7"/>
          </w:tcPr>
          <w:p>
            <w:pPr>
              <w:spacing w:after="0"/>
              <w:jc w:val="left"/>
            </w:pPr>
            <w:r>
              <w:rPr>
                <w:rFonts w:ascii="Calibri" w:hAnsi="Calibri"/>
                <w:sz w:val="17"/>
              </w:rPr>
              <w:t>audit_validation_checkpoint.py</w:t>
            </w:r>
          </w:p>
        </w:tc>
        <w:tc>
          <w:tcPr>
            <w:tcW w:type="dxa" w:w="4660"/>
            <w:shd w:fill="F2F4F7"/>
          </w:tcPr>
          <w:p>
            <w:pPr>
              <w:spacing w:after="0"/>
              <w:jc w:val="left"/>
            </w:pPr>
            <w:r>
              <w:rPr>
                <w:rFonts w:ascii="Calibri" w:hAnsi="Calibri"/>
                <w:sz w:val="17"/>
              </w:rPr>
              <w:t>Validation-only checkpoint audit.</w:t>
            </w:r>
          </w:p>
        </w:tc>
        <w:tc>
          <w:tcPr>
            <w:tcW w:type="dxa" w:w="1500"/>
            <w:shd w:fill="F2F4F7"/>
          </w:tcPr>
          <w:p>
            <w:pPr>
              <w:spacing w:after="0"/>
              <w:jc w:val="center"/>
            </w:pPr>
            <w:r>
              <w:rPr>
                <w:rFonts w:ascii="Calibri" w:hAnsi="Calibri"/>
                <w:sz w:val="17"/>
              </w:rPr>
              <w:t>G1</w:t>
            </w:r>
          </w:p>
        </w:tc>
      </w:tr>
      <w:tr>
        <w:tc>
          <w:tcPr>
            <w:tcW w:type="dxa" w:w="3200"/>
          </w:tcPr>
          <w:p>
            <w:pPr>
              <w:spacing w:after="0"/>
              <w:jc w:val="left"/>
            </w:pPr>
            <w:r>
              <w:rPr>
                <w:rFonts w:ascii="Calibri" w:hAnsi="Calibri"/>
                <w:sz w:val="17"/>
              </w:rPr>
              <w:t>prepare_g2_readiness.py</w:t>
            </w:r>
          </w:p>
        </w:tc>
        <w:tc>
          <w:tcPr>
            <w:tcW w:type="dxa" w:w="4660"/>
          </w:tcPr>
          <w:p>
            <w:pPr>
              <w:spacing w:after="0"/>
              <w:jc w:val="left"/>
            </w:pPr>
            <w:r>
              <w:rPr>
                <w:rFonts w:ascii="Calibri" w:hAnsi="Calibri"/>
                <w:sz w:val="17"/>
              </w:rPr>
              <w:t>Historical metadata-only G2 readiness evidence.</w:t>
            </w:r>
          </w:p>
        </w:tc>
        <w:tc>
          <w:tcPr>
            <w:tcW w:type="dxa" w:w="1500"/>
          </w:tcPr>
          <w:p>
            <w:pPr>
              <w:spacing w:after="0"/>
              <w:jc w:val="center"/>
            </w:pPr>
            <w:r>
              <w:rPr>
                <w:rFonts w:ascii="Calibri" w:hAnsi="Calibri"/>
                <w:sz w:val="17"/>
              </w:rPr>
              <w:t>G2 preflight</w:t>
            </w:r>
          </w:p>
        </w:tc>
      </w:tr>
      <w:tr>
        <w:tc>
          <w:tcPr>
            <w:tcW w:type="dxa" w:w="3200"/>
            <w:shd w:fill="F2F4F7"/>
          </w:tcPr>
          <w:p>
            <w:pPr>
              <w:spacing w:after="0"/>
              <w:jc w:val="left"/>
            </w:pPr>
            <w:r>
              <w:rPr>
                <w:rFonts w:ascii="Calibri" w:hAnsi="Calibri"/>
                <w:sz w:val="17"/>
              </w:rPr>
              <w:t>verify_g2_authorization.py</w:t>
            </w:r>
          </w:p>
        </w:tc>
        <w:tc>
          <w:tcPr>
            <w:tcW w:type="dxa" w:w="4660"/>
            <w:shd w:fill="F2F4F7"/>
          </w:tcPr>
          <w:p>
            <w:pPr>
              <w:spacing w:after="0"/>
              <w:jc w:val="left"/>
            </w:pPr>
            <w:r>
              <w:rPr>
                <w:rFonts w:ascii="Calibri" w:hAnsi="Calibri"/>
                <w:sz w:val="17"/>
              </w:rPr>
              <w:t>Metadata-only runtime authorization verification.</w:t>
            </w:r>
          </w:p>
        </w:tc>
        <w:tc>
          <w:tcPr>
            <w:tcW w:type="dxa" w:w="1500"/>
            <w:shd w:fill="F2F4F7"/>
          </w:tcPr>
          <w:p>
            <w:pPr>
              <w:spacing w:after="0"/>
              <w:jc w:val="center"/>
            </w:pPr>
            <w:r>
              <w:rPr>
                <w:rFonts w:ascii="Calibri" w:hAnsi="Calibri"/>
                <w:sz w:val="17"/>
              </w:rPr>
              <w:t>G2</w:t>
            </w:r>
          </w:p>
        </w:tc>
      </w:tr>
      <w:tr>
        <w:tc>
          <w:tcPr>
            <w:tcW w:type="dxa" w:w="3200"/>
          </w:tcPr>
          <w:p>
            <w:pPr>
              <w:spacing w:after="0"/>
              <w:jc w:val="left"/>
            </w:pPr>
            <w:r>
              <w:rPr>
                <w:rFonts w:ascii="Calibri" w:hAnsi="Calibri"/>
                <w:sz w:val="17"/>
              </w:rPr>
              <w:t>evaluate_baseline.py</w:t>
            </w:r>
          </w:p>
        </w:tc>
        <w:tc>
          <w:tcPr>
            <w:tcW w:type="dxa" w:w="4660"/>
          </w:tcPr>
          <w:p>
            <w:pPr>
              <w:spacing w:after="0"/>
              <w:jc w:val="left"/>
            </w:pPr>
            <w:r>
              <w:rPr>
                <w:rFonts w:ascii="Calibri" w:hAnsi="Calibri"/>
                <w:sz w:val="17"/>
              </w:rPr>
              <w:t>Authorized official baseline prediction evaluation.</w:t>
            </w:r>
          </w:p>
        </w:tc>
        <w:tc>
          <w:tcPr>
            <w:tcW w:type="dxa" w:w="1500"/>
          </w:tcPr>
          <w:p>
            <w:pPr>
              <w:spacing w:after="0"/>
              <w:jc w:val="center"/>
            </w:pPr>
            <w:r>
              <w:rPr>
                <w:rFonts w:ascii="Calibri" w:hAnsi="Calibri"/>
                <w:sz w:val="17"/>
              </w:rPr>
              <w:t>Official test</w:t>
            </w:r>
          </w:p>
        </w:tc>
      </w:tr>
      <w:tr>
        <w:tc>
          <w:tcPr>
            <w:tcW w:type="dxa" w:w="3200"/>
            <w:shd w:fill="F2F4F7"/>
          </w:tcPr>
          <w:p>
            <w:pPr>
              <w:spacing w:after="0"/>
              <w:jc w:val="left"/>
            </w:pPr>
            <w:r>
              <w:rPr>
                <w:rFonts w:ascii="Calibri" w:hAnsi="Calibri"/>
                <w:sz w:val="17"/>
              </w:rPr>
              <w:t>run_joint_campaign_colab.py / run_joint_eval.py</w:t>
            </w:r>
          </w:p>
        </w:tc>
        <w:tc>
          <w:tcPr>
            <w:tcW w:type="dxa" w:w="4660"/>
            <w:shd w:fill="F2F4F7"/>
          </w:tcPr>
          <w:p>
            <w:pPr>
              <w:spacing w:after="0"/>
              <w:jc w:val="left"/>
            </w:pPr>
            <w:r>
              <w:rPr>
                <w:rFonts w:ascii="Calibri" w:hAnsi="Calibri"/>
                <w:sz w:val="17"/>
              </w:rPr>
              <w:t>Six resumable model-method parts and per-sample joint evidence.</w:t>
            </w:r>
          </w:p>
        </w:tc>
        <w:tc>
          <w:tcPr>
            <w:tcW w:type="dxa" w:w="1500"/>
            <w:shd w:fill="F2F4F7"/>
          </w:tcPr>
          <w:p>
            <w:pPr>
              <w:spacing w:after="0"/>
              <w:jc w:val="center"/>
            </w:pPr>
            <w:r>
              <w:rPr>
                <w:rFonts w:ascii="Calibri" w:hAnsi="Calibri"/>
                <w:sz w:val="17"/>
              </w:rPr>
              <w:t>Official test</w:t>
            </w:r>
          </w:p>
        </w:tc>
      </w:tr>
      <w:tr>
        <w:tc>
          <w:tcPr>
            <w:tcW w:type="dxa" w:w="3200"/>
          </w:tcPr>
          <w:p>
            <w:pPr>
              <w:spacing w:after="0"/>
              <w:jc w:val="left"/>
            </w:pPr>
            <w:r>
              <w:rPr>
                <w:rFonts w:ascii="Calibri" w:hAnsi="Calibri"/>
                <w:sz w:val="17"/>
              </w:rPr>
              <w:t>merge_joint_runs.py</w:t>
            </w:r>
          </w:p>
        </w:tc>
        <w:tc>
          <w:tcPr>
            <w:tcW w:type="dxa" w:w="4660"/>
          </w:tcPr>
          <w:p>
            <w:pPr>
              <w:spacing w:after="0"/>
              <w:jc w:val="left"/>
            </w:pPr>
            <w:r>
              <w:rPr>
                <w:rFonts w:ascii="Calibri" w:hAnsi="Calibri"/>
                <w:sz w:val="17"/>
              </w:rPr>
              <w:t>Three-method merge and exact coverage reconciliation.</w:t>
            </w:r>
          </w:p>
        </w:tc>
        <w:tc>
          <w:tcPr>
            <w:tcW w:type="dxa" w:w="1500"/>
          </w:tcPr>
          <w:p>
            <w:pPr>
              <w:spacing w:after="0"/>
              <w:jc w:val="center"/>
            </w:pPr>
            <w:r>
              <w:rPr>
                <w:rFonts w:ascii="Calibri" w:hAnsi="Calibri"/>
                <w:sz w:val="17"/>
              </w:rPr>
              <w:t>Post-test</w:t>
            </w:r>
          </w:p>
        </w:tc>
      </w:tr>
      <w:tr>
        <w:tc>
          <w:tcPr>
            <w:tcW w:type="dxa" w:w="3200"/>
            <w:shd w:fill="F2F4F7"/>
          </w:tcPr>
          <w:p>
            <w:pPr>
              <w:spacing w:after="0"/>
              <w:jc w:val="left"/>
            </w:pPr>
            <w:r>
              <w:rPr>
                <w:rFonts w:ascii="Calibri" w:hAnsi="Calibri"/>
                <w:sz w:val="17"/>
              </w:rPr>
              <w:t>recover_official_freeze.py</w:t>
            </w:r>
          </w:p>
        </w:tc>
        <w:tc>
          <w:tcPr>
            <w:tcW w:type="dxa" w:w="4660"/>
            <w:shd w:fill="F2F4F7"/>
          </w:tcPr>
          <w:p>
            <w:pPr>
              <w:spacing w:after="0"/>
              <w:jc w:val="left"/>
            </w:pPr>
            <w:r>
              <w:rPr>
                <w:rFonts w:ascii="Calibri" w:hAnsi="Calibri"/>
                <w:sz w:val="17"/>
              </w:rPr>
              <w:t>Approved infrastructure-only physical recovery.</w:t>
            </w:r>
          </w:p>
        </w:tc>
        <w:tc>
          <w:tcPr>
            <w:tcW w:type="dxa" w:w="1500"/>
            <w:shd w:fill="F2F4F7"/>
          </w:tcPr>
          <w:p>
            <w:pPr>
              <w:spacing w:after="0"/>
              <w:jc w:val="center"/>
            </w:pPr>
            <w:r>
              <w:rPr>
                <w:rFonts w:ascii="Calibri" w:hAnsi="Calibri"/>
                <w:sz w:val="17"/>
              </w:rPr>
              <w:t>Recovery</w:t>
            </w:r>
          </w:p>
        </w:tc>
      </w:tr>
      <w:tr>
        <w:tc>
          <w:tcPr>
            <w:tcW w:type="dxa" w:w="3200"/>
          </w:tcPr>
          <w:p>
            <w:pPr>
              <w:spacing w:after="0"/>
              <w:jc w:val="left"/>
            </w:pPr>
            <w:r>
              <w:rPr>
                <w:rFonts w:ascii="Calibri" w:hAnsi="Calibri"/>
                <w:sz w:val="17"/>
              </w:rPr>
              <w:t>audit_analysis_support.py</w:t>
            </w:r>
          </w:p>
        </w:tc>
        <w:tc>
          <w:tcPr>
            <w:tcW w:type="dxa" w:w="4660"/>
          </w:tcPr>
          <w:p>
            <w:pPr>
              <w:spacing w:after="0"/>
              <w:jc w:val="left"/>
            </w:pPr>
            <w:r>
              <w:rPr>
                <w:rFonts w:ascii="Calibri" w:hAnsi="Calibri"/>
                <w:sz w:val="17"/>
              </w:rPr>
              <w:t>Metadata-only planned-contrast support audit.</w:t>
            </w:r>
          </w:p>
        </w:tc>
        <w:tc>
          <w:tcPr>
            <w:tcW w:type="dxa" w:w="1500"/>
          </w:tcPr>
          <w:p>
            <w:pPr>
              <w:spacing w:after="0"/>
              <w:jc w:val="center"/>
            </w:pPr>
            <w:r>
              <w:rPr>
                <w:rFonts w:ascii="Calibri" w:hAnsi="Calibri"/>
                <w:sz w:val="17"/>
              </w:rPr>
              <w:t>Analysis preflight</w:t>
            </w:r>
          </w:p>
        </w:tc>
      </w:tr>
      <w:tr>
        <w:tc>
          <w:tcPr>
            <w:tcW w:type="dxa" w:w="3200"/>
            <w:shd w:fill="F2F4F7"/>
          </w:tcPr>
          <w:p>
            <w:pPr>
              <w:spacing w:after="0"/>
              <w:jc w:val="left"/>
            </w:pPr>
            <w:r>
              <w:rPr>
                <w:rFonts w:ascii="Calibri" w:hAnsi="Calibri"/>
                <w:sz w:val="17"/>
              </w:rPr>
              <w:t>analyze_official_results.py</w:t>
            </w:r>
          </w:p>
        </w:tc>
        <w:tc>
          <w:tcPr>
            <w:tcW w:type="dxa" w:w="4660"/>
            <w:shd w:fill="F2F4F7"/>
          </w:tcPr>
          <w:p>
            <w:pPr>
              <w:spacing w:after="0"/>
              <w:jc w:val="left"/>
            </w:pPr>
            <w:r>
              <w:rPr>
                <w:rFonts w:ascii="Calibri" w:hAnsi="Calibri"/>
                <w:sz w:val="17"/>
              </w:rPr>
              <w:t>Registered statistical analysis.</w:t>
            </w:r>
          </w:p>
        </w:tc>
        <w:tc>
          <w:tcPr>
            <w:tcW w:type="dxa" w:w="1500"/>
            <w:shd w:fill="F2F4F7"/>
          </w:tcPr>
          <w:p>
            <w:pPr>
              <w:spacing w:after="0"/>
              <w:jc w:val="center"/>
            </w:pPr>
            <w:r>
              <w:rPr>
                <w:rFonts w:ascii="Calibri" w:hAnsi="Calibri"/>
                <w:sz w:val="17"/>
              </w:rPr>
              <w:t>Analysis</w:t>
            </w:r>
          </w:p>
        </w:tc>
      </w:tr>
      <w:tr>
        <w:tc>
          <w:tcPr>
            <w:tcW w:type="dxa" w:w="3200"/>
          </w:tcPr>
          <w:p>
            <w:pPr>
              <w:spacing w:after="0"/>
              <w:jc w:val="left"/>
            </w:pPr>
            <w:r>
              <w:rPr>
                <w:rFonts w:ascii="Calibri" w:hAnsi="Calibri"/>
                <w:sz w:val="17"/>
              </w:rPr>
              <w:t>generate_frozen_results_report.py</w:t>
            </w:r>
          </w:p>
        </w:tc>
        <w:tc>
          <w:tcPr>
            <w:tcW w:type="dxa" w:w="4660"/>
          </w:tcPr>
          <w:p>
            <w:pPr>
              <w:spacing w:after="0"/>
              <w:jc w:val="left"/>
            </w:pPr>
            <w:r>
              <w:rPr>
                <w:rFonts w:ascii="Calibri" w:hAnsi="Calibri"/>
                <w:sz w:val="17"/>
              </w:rPr>
              <w:t>Read-only tables, figures, and summaries.</w:t>
            </w:r>
          </w:p>
        </w:tc>
        <w:tc>
          <w:tcPr>
            <w:tcW w:type="dxa" w:w="1500"/>
          </w:tcPr>
          <w:p>
            <w:pPr>
              <w:spacing w:after="0"/>
              <w:jc w:val="center"/>
            </w:pPr>
            <w:r>
              <w:rPr>
                <w:rFonts w:ascii="Calibri" w:hAnsi="Calibri"/>
                <w:sz w:val="17"/>
              </w:rPr>
              <w:t>Reporting</w:t>
            </w:r>
          </w:p>
        </w:tc>
      </w:tr>
    </w:tbl>
    <w:p>
      <w:pPr>
        <w:spacing w:after="0"/>
      </w:pPr>
    </w:p>
    <w:p>
      <w:pPr>
        <w:pStyle w:val="Heading1"/>
        <w:keepNext w:val="1"/>
        <w:keepLines w:val="1"/>
      </w:pPr>
      <w:r>
        <w:t>19. Security, Privacy, and Access Boundaries</w:t>
      </w:r>
    </w:p>
    <w:p>
      <w:pPr>
        <w:numPr>
          <w:ilvl w:val="0"/>
          <w:numId w:val="10"/>
        </w:numPr>
      </w:pPr>
      <w:r>
        <w:rPr>
          <w:rFonts w:ascii="Calibri" w:hAnsi="Calibri"/>
          <w:sz w:val="22"/>
        </w:rPr>
        <w:t>Official-test pixels are a governed resource; metadata enumeration alone does not authorize decoding.</w:t>
      </w:r>
    </w:p>
    <w:p>
      <w:pPr>
        <w:numPr>
          <w:ilvl w:val="0"/>
          <w:numId w:val="10"/>
        </w:numPr>
      </w:pPr>
      <w:r>
        <w:rPr>
          <w:rFonts w:ascii="Calibri" w:hAnsi="Calibri"/>
          <w:sz w:val="22"/>
        </w:rPr>
        <w:t>Decision Records provide authorization but do not replace runtime cryptographic verification.</w:t>
      </w:r>
    </w:p>
    <w:p>
      <w:pPr>
        <w:numPr>
          <w:ilvl w:val="0"/>
          <w:numId w:val="10"/>
        </w:numPr>
      </w:pPr>
      <w:r>
        <w:rPr>
          <w:rFonts w:ascii="Calibri" w:hAnsi="Calibri"/>
          <w:sz w:val="22"/>
        </w:rPr>
        <w:t>Checkpoint and result artifacts remain outside normal Git history and are shared through controlled storage.</w:t>
      </w:r>
    </w:p>
    <w:p>
      <w:pPr>
        <w:numPr>
          <w:ilvl w:val="0"/>
          <w:numId w:val="10"/>
        </w:numPr>
      </w:pPr>
      <w:r>
        <w:rPr>
          <w:rFonts w:ascii="Calibri" w:hAnsi="Calibri"/>
          <w:sz w:val="22"/>
        </w:rPr>
        <w:t>No credential, token, private path, or runtime secret belongs in protocol, code, or committed documentation.</w:t>
      </w:r>
    </w:p>
    <w:p>
      <w:pPr>
        <w:numPr>
          <w:ilvl w:val="0"/>
          <w:numId w:val="10"/>
        </w:numPr>
      </w:pPr>
      <w:r>
        <w:rPr>
          <w:rFonts w:ascii="Calibri" w:hAnsi="Calibri"/>
          <w:sz w:val="22"/>
        </w:rPr>
        <w:t>A sanitized execution repository may publish the current architecture while the original provenance repository remains access-controlled.</w:t>
      </w:r>
    </w:p>
    <w:p>
      <w:pPr>
        <w:numPr>
          <w:ilvl w:val="0"/>
          <w:numId w:val="10"/>
        </w:numPr>
      </w:pPr>
      <w:r>
        <w:rPr>
          <w:rFonts w:ascii="Calibri" w:hAnsi="Calibri"/>
          <w:sz w:val="22"/>
        </w:rPr>
        <w:t>Changing document text does not remove prior binary content from Git history; repository sanitization is a separate administrative action.</w:t>
      </w:r>
    </w:p>
    <w:p>
      <w:pPr>
        <w:pStyle w:val="Heading1"/>
        <w:keepNext w:val="1"/>
        <w:keepLines w:val="1"/>
      </w:pPr>
      <w:r>
        <w:t>20. Scientific Interpretation Constraints</w:t>
      </w:r>
    </w:p>
    <w:p>
      <w:pPr>
        <w:numPr>
          <w:ilvl w:val="0"/>
          <w:numId w:val="10"/>
        </w:numPr>
      </w:pPr>
      <w:r>
        <w:rPr>
          <w:rFonts w:ascii="Calibri" w:hAnsi="Calibri"/>
          <w:sz w:val="22"/>
        </w:rPr>
        <w:t>Transformation severity is ordinal only within one transformation family.</w:t>
      </w:r>
    </w:p>
    <w:p>
      <w:pPr>
        <w:numPr>
          <w:ilvl w:val="0"/>
          <w:numId w:val="10"/>
        </w:numPr>
      </w:pPr>
      <w:r>
        <w:rPr>
          <w:rFonts w:ascii="Calibri" w:hAnsi="Calibri"/>
          <w:sz w:val="22"/>
        </w:rPr>
        <w:t>Rotation prediction claims apply to the declared zero-filled operator.</w:t>
      </w:r>
    </w:p>
    <w:p>
      <w:pPr>
        <w:numPr>
          <w:ilvl w:val="0"/>
          <w:numId w:val="10"/>
        </w:numPr>
      </w:pPr>
      <w:r>
        <w:rPr>
          <w:rFonts w:ascii="Calibri" w:hAnsi="Calibri"/>
          <w:sz w:val="22"/>
        </w:rPr>
        <w:t>M_T is geometric valid image support, not a leaf or lesion segmentation mask.</w:t>
      </w:r>
    </w:p>
    <w:p>
      <w:pPr>
        <w:numPr>
          <w:ilvl w:val="0"/>
          <w:numId w:val="10"/>
        </w:numPr>
      </w:pPr>
      <w:r>
        <w:rPr>
          <w:rFonts w:ascii="Calibri" w:hAnsi="Calibri"/>
          <w:sz w:val="22"/>
        </w:rPr>
        <w:t>XAI stability is evaluated only on prediction-consistent, quality-valid pairs.</w:t>
      </w:r>
    </w:p>
    <w:p>
      <w:pPr>
        <w:numPr>
          <w:ilvl w:val="0"/>
          <w:numId w:val="10"/>
        </w:numPr>
      </w:pPr>
      <w:r>
        <w:rPr>
          <w:rFonts w:ascii="Calibri" w:hAnsi="Calibri"/>
          <w:sz w:val="22"/>
        </w:rPr>
        <w:t>Three Score-CAM by severe Gaussian-blur model-comparison endpoints are non-estimable under the registered 20-leaf rule.</w:t>
      </w:r>
    </w:p>
    <w:p>
      <w:pPr>
        <w:numPr>
          <w:ilvl w:val="0"/>
          <w:numId w:val="10"/>
        </w:numPr>
      </w:pPr>
      <w:r>
        <w:rPr>
          <w:rFonts w:ascii="Calibri" w:hAnsi="Calibri"/>
          <w:sz w:val="22"/>
        </w:rPr>
        <w:t>RQ3 is exploratory and contains no hypothesis tests.</w:t>
      </w:r>
    </w:p>
    <w:p>
      <w:pPr>
        <w:numPr>
          <w:ilvl w:val="0"/>
          <w:numId w:val="10"/>
        </w:numPr>
      </w:pPr>
      <w:r>
        <w:rPr>
          <w:rFonts w:ascii="Calibri" w:hAnsi="Calibri"/>
          <w:sz w:val="22"/>
        </w:rPr>
        <w:t>Official-test results must not drive model, checkpoint, transformation, XAI-method, endpoint, or correction-family reselection.</w:t>
      </w:r>
    </w:p>
    <w:p>
      <w:pPr>
        <w:pStyle w:val="Heading1"/>
        <w:keepNext w:val="1"/>
        <w:keepLines w:val="1"/>
      </w:pPr>
      <w:r>
        <w:t>21. Extension Points</w:t>
      </w:r>
    </w:p>
    <w:p>
      <w:r>
        <w:rPr>
          <w:rFonts w:ascii="Calibri" w:hAnsi="Calibri"/>
          <w:sz w:val="22"/>
        </w:rPr>
        <w:t>The architecture can support additional backbones, transformations, XAI methods, datasets, or reporting views only through explicit protocol and contract changes. Extensions must preserve identity, deterministic parameter recording, validation-before-test selection, exact factorial coverage, and predeclared statistical families.</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80" w:type="dxa"/>
              <w:bottom w:w="80" w:type="dxa"/>
              <w:start w:w="120" w:type="dxa"/>
              <w:end w:w="120" w:type="dxa"/>
            </w:tcMar>
            <w:vAlign w:val="center"/>
            <w:shd w:fill="E8EEF5"/>
          </w:tcPr>
          <w:p>
            <w:pPr>
              <w:spacing w:after="0"/>
              <w:jc w:val="center"/>
            </w:pPr>
            <w:r>
              <w:rPr>
                <w:rFonts w:ascii="Calibri" w:hAnsi="Calibri"/>
                <w:b/>
                <w:color w:val="0B2545"/>
                <w:sz w:val="18"/>
              </w:rPr>
              <w:t>Extension</w:t>
            </w:r>
          </w:p>
        </w:tc>
        <w:tc>
          <w:tcPr>
            <w:tcW w:type="dxa" w:w="7060"/>
            <w:tcMar>
              <w:top w:w="80" w:type="dxa"/>
              <w:bottom w:w="80" w:type="dxa"/>
              <w:start w:w="120" w:type="dxa"/>
              <w:end w:w="120" w:type="dxa"/>
            </w:tcMar>
            <w:vAlign w:val="center"/>
            <w:shd w:fill="E8EEF5"/>
          </w:tcPr>
          <w:p>
            <w:pPr>
              <w:spacing w:after="0"/>
              <w:jc w:val="center"/>
            </w:pPr>
            <w:r>
              <w:rPr>
                <w:rFonts w:ascii="Calibri" w:hAnsi="Calibri"/>
                <w:b/>
                <w:color w:val="0B2545"/>
                <w:sz w:val="18"/>
              </w:rPr>
              <w:t>Required design work</w:t>
            </w:r>
          </w:p>
        </w:tc>
      </w:tr>
      <w:tr>
        <w:tc>
          <w:tcPr>
            <w:tcW w:type="dxa" w:w="2300"/>
          </w:tcPr>
          <w:p>
            <w:pPr>
              <w:spacing w:after="0"/>
              <w:jc w:val="left"/>
            </w:pPr>
            <w:r>
              <w:rPr>
                <w:rFonts w:ascii="Calibri" w:hAnsi="Calibri"/>
                <w:sz w:val="18"/>
              </w:rPr>
              <w:t>New backbone</w:t>
            </w:r>
          </w:p>
        </w:tc>
        <w:tc>
          <w:tcPr>
            <w:tcW w:type="dxa" w:w="7060"/>
          </w:tcPr>
          <w:p>
            <w:pPr>
              <w:spacing w:after="0"/>
              <w:jc w:val="left"/>
            </w:pPr>
            <w:r>
              <w:rPr>
                <w:rFonts w:ascii="Calibri" w:hAnsi="Calibri"/>
                <w:sz w:val="18"/>
              </w:rPr>
              <w:t>ModelWrapper construction, classifier replacement, target-layer evidence, smoke test, training protocol, G1/G2 registration.</w:t>
            </w:r>
          </w:p>
        </w:tc>
      </w:tr>
      <w:tr>
        <w:tc>
          <w:tcPr>
            <w:tcW w:type="dxa" w:w="2300"/>
            <w:shd w:fill="F2F4F7"/>
          </w:tcPr>
          <w:p>
            <w:pPr>
              <w:spacing w:after="0"/>
              <w:jc w:val="left"/>
            </w:pPr>
            <w:r>
              <w:rPr>
                <w:rFonts w:ascii="Calibri" w:hAnsi="Calibri"/>
                <w:sz w:val="18"/>
              </w:rPr>
              <w:t>New transformation</w:t>
            </w:r>
          </w:p>
        </w:tc>
        <w:tc>
          <w:tcPr>
            <w:tcW w:type="dxa" w:w="7060"/>
            <w:shd w:fill="F2F4F7"/>
          </w:tcPr>
          <w:p>
            <w:pPr>
              <w:spacing w:after="0"/>
              <w:jc w:val="left"/>
            </w:pPr>
            <w:r>
              <w:rPr>
                <w:rFonts w:ascii="Calibri" w:hAnsi="Calibri"/>
                <w:sz w:val="18"/>
              </w:rPr>
              <w:t>Deterministic implementation, parameter schema, severity evidence, alignment/valid-support policy, scenario coverage.</w:t>
            </w:r>
          </w:p>
        </w:tc>
      </w:tr>
      <w:tr>
        <w:tc>
          <w:tcPr>
            <w:tcW w:type="dxa" w:w="2300"/>
          </w:tcPr>
          <w:p>
            <w:pPr>
              <w:spacing w:after="0"/>
              <w:jc w:val="left"/>
            </w:pPr>
            <w:r>
              <w:rPr>
                <w:rFonts w:ascii="Calibri" w:hAnsi="Calibri"/>
                <w:sz w:val="18"/>
              </w:rPr>
              <w:t>New CAM method</w:t>
            </w:r>
          </w:p>
        </w:tc>
        <w:tc>
          <w:tcPr>
            <w:tcW w:type="dxa" w:w="7060"/>
          </w:tcPr>
          <w:p>
            <w:pPr>
              <w:spacing w:after="0"/>
              <w:jc w:val="left"/>
            </w:pPr>
            <w:r>
              <w:rPr>
                <w:rFonts w:ascii="Calibri" w:hAnsi="Calibri"/>
                <w:sz w:val="18"/>
              </w:rPr>
              <w:t>Adapter lifecycle, target compatibility, heatmap-quality behavior, runtime evidence, registered campaign scope.</w:t>
            </w:r>
          </w:p>
        </w:tc>
      </w:tr>
      <w:tr>
        <w:tc>
          <w:tcPr>
            <w:tcW w:type="dxa" w:w="2300"/>
            <w:shd w:fill="F2F4F7"/>
          </w:tcPr>
          <w:p>
            <w:pPr>
              <w:spacing w:after="0"/>
              <w:jc w:val="left"/>
            </w:pPr>
            <w:r>
              <w:rPr>
                <w:rFonts w:ascii="Calibri" w:hAnsi="Calibri"/>
                <w:sz w:val="18"/>
              </w:rPr>
              <w:t>New dataset</w:t>
            </w:r>
          </w:p>
        </w:tc>
        <w:tc>
          <w:tcPr>
            <w:tcW w:type="dxa" w:w="7060"/>
            <w:shd w:fill="F2F4F7"/>
          </w:tcPr>
          <w:p>
            <w:pPr>
              <w:spacing w:after="0"/>
              <w:jc w:val="left"/>
            </w:pPr>
            <w:r>
              <w:rPr>
                <w:rFonts w:ascii="Calibri" w:hAnsi="Calibri"/>
                <w:sz w:val="18"/>
              </w:rPr>
              <w:t>Source revision, class scope, group identity, conflict policy, canonicalization, audit, quarantine, and a new freeze.</w:t>
            </w:r>
          </w:p>
        </w:tc>
      </w:tr>
      <w:tr>
        <w:tc>
          <w:tcPr>
            <w:tcW w:type="dxa" w:w="2300"/>
          </w:tcPr>
          <w:p>
            <w:pPr>
              <w:spacing w:after="0"/>
              <w:jc w:val="left"/>
            </w:pPr>
            <w:r>
              <w:rPr>
                <w:rFonts w:ascii="Calibri" w:hAnsi="Calibri"/>
                <w:sz w:val="18"/>
              </w:rPr>
              <w:t>New endpoint</w:t>
            </w:r>
          </w:p>
        </w:tc>
        <w:tc>
          <w:tcPr>
            <w:tcW w:type="dxa" w:w="7060"/>
          </w:tcPr>
          <w:p>
            <w:pPr>
              <w:spacing w:after="0"/>
              <w:jc w:val="left"/>
            </w:pPr>
            <w:r>
              <w:rPr>
                <w:rFonts w:ascii="Calibri" w:hAnsi="Calibri"/>
                <w:sz w:val="18"/>
              </w:rPr>
              <w:t>Contract field, exclusion policy, support audit, inferential unit, family membership, and pre-result approval.</w:t>
            </w:r>
          </w:p>
        </w:tc>
      </w:tr>
      <w:tr>
        <w:tc>
          <w:tcPr>
            <w:tcW w:type="dxa" w:w="2300"/>
            <w:shd w:fill="F2F4F7"/>
          </w:tcPr>
          <w:p>
            <w:pPr>
              <w:spacing w:after="0"/>
              <w:jc w:val="left"/>
            </w:pPr>
            <w:r>
              <w:rPr>
                <w:rFonts w:ascii="Calibri" w:hAnsi="Calibri"/>
                <w:sz w:val="18"/>
              </w:rPr>
              <w:t>New report</w:t>
            </w:r>
          </w:p>
        </w:tc>
        <w:tc>
          <w:tcPr>
            <w:tcW w:type="dxa" w:w="7060"/>
            <w:shd w:fill="F2F4F7"/>
          </w:tcPr>
          <w:p>
            <w:pPr>
              <w:spacing w:after="0"/>
              <w:jc w:val="left"/>
            </w:pPr>
            <w:r>
              <w:rPr>
                <w:rFonts w:ascii="Calibri" w:hAnsi="Calibri"/>
                <w:sz w:val="18"/>
              </w:rPr>
              <w:t>Frozen input contract, output allowlist, interpretation constraints, and child artifact hashing.</w:t>
            </w:r>
          </w:p>
        </w:tc>
      </w:tr>
    </w:tbl>
    <w:p>
      <w:pPr>
        <w:spacing w:after="0"/>
      </w:pPr>
    </w:p>
    <w:p>
      <w:pPr>
        <w:pStyle w:val="Heading1"/>
        <w:keepNext w:val="1"/>
        <w:keepLines w:val="1"/>
      </w:pPr>
      <w:r>
        <w:t>22. Architecture Acceptance Checklist</w:t>
      </w:r>
    </w:p>
    <w:p>
      <w:pPr>
        <w:numPr>
          <w:ilvl w:val="0"/>
          <w:numId w:val="10"/>
        </w:numPr>
      </w:pPr>
      <w:r>
        <w:rPr>
          <w:rFonts w:ascii="Calibri" w:hAnsi="Calibri"/>
          <w:sz w:val="22"/>
        </w:rPr>
        <w:t>Protocol loads as frozen and produces the declared governance state.</w:t>
      </w:r>
    </w:p>
    <w:p>
      <w:pPr>
        <w:numPr>
          <w:ilvl w:val="0"/>
          <w:numId w:val="10"/>
        </w:numPr>
      </w:pPr>
      <w:r>
        <w:rPr>
          <w:rFonts w:ascii="Calibri" w:hAnsi="Calibri"/>
          <w:sz w:val="22"/>
        </w:rPr>
        <w:t>Manifest identity, split counts, leakage report, and freeze artifacts verify.</w:t>
      </w:r>
    </w:p>
    <w:p>
      <w:pPr>
        <w:numPr>
          <w:ilvl w:val="0"/>
          <w:numId w:val="10"/>
        </w:numPr>
      </w:pPr>
      <w:r>
        <w:rPr>
          <w:rFonts w:ascii="Calibri" w:hAnsi="Calibri"/>
          <w:sz w:val="22"/>
        </w:rPr>
        <w:t>Training cannot receive or access a test loader.</w:t>
      </w:r>
    </w:p>
    <w:p>
      <w:pPr>
        <w:numPr>
          <w:ilvl w:val="0"/>
          <w:numId w:val="10"/>
        </w:numPr>
      </w:pPr>
      <w:r>
        <w:rPr>
          <w:rFonts w:ascii="Calibri" w:hAnsi="Calibri"/>
          <w:sz w:val="22"/>
        </w:rPr>
        <w:t>Validation audit reproduces the selected checkpoint metric and exact identity coverage.</w:t>
      </w:r>
    </w:p>
    <w:p>
      <w:pPr>
        <w:numPr>
          <w:ilvl w:val="0"/>
          <w:numId w:val="10"/>
        </w:numPr>
      </w:pPr>
      <w:r>
        <w:rPr>
          <w:rFonts w:ascii="Calibri" w:hAnsi="Calibri"/>
          <w:sz w:val="22"/>
        </w:rPr>
        <w:t>G2 validation completes before any official-test image is decoded.</w:t>
      </w:r>
    </w:p>
    <w:p>
      <w:pPr>
        <w:numPr>
          <w:ilvl w:val="0"/>
          <w:numId w:val="10"/>
        </w:numPr>
      </w:pPr>
      <w:r>
        <w:rPr>
          <w:rFonts w:ascii="Calibri" w:hAnsi="Calibri"/>
          <w:sz w:val="22"/>
        </w:rPr>
        <w:t>Joint execution is transactionally resumable and complete at sample x scenario x method granularity.</w:t>
      </w:r>
    </w:p>
    <w:p>
      <w:pPr>
        <w:numPr>
          <w:ilvl w:val="0"/>
          <w:numId w:val="10"/>
        </w:numPr>
      </w:pPr>
      <w:r>
        <w:rPr>
          <w:rFonts w:ascii="Calibri" w:hAnsi="Calibri"/>
          <w:sz w:val="22"/>
        </w:rPr>
        <w:t>Merges reconcile predictions, exclusions, lineage, and expected row counts.</w:t>
      </w:r>
    </w:p>
    <w:p>
      <w:pPr>
        <w:numPr>
          <w:ilvl w:val="0"/>
          <w:numId w:val="10"/>
        </w:numPr>
      </w:pPr>
      <w:r>
        <w:rPr>
          <w:rFonts w:ascii="Calibri" w:hAnsi="Calibri"/>
          <w:sz w:val="22"/>
        </w:rPr>
        <w:t>Analysis uses registered leaf-aware inference and fixed Holm families.</w:t>
      </w:r>
    </w:p>
    <w:p>
      <w:pPr>
        <w:numPr>
          <w:ilvl w:val="0"/>
          <w:numId w:val="10"/>
        </w:numPr>
      </w:pPr>
      <w:r>
        <w:rPr>
          <w:rFonts w:ascii="Calibri" w:hAnsi="Calibri"/>
          <w:sz w:val="22"/>
        </w:rPr>
        <w:t>Reporting consumes only frozen statistical outputs and produces the exact allowlist.</w:t>
      </w:r>
    </w:p>
    <w:p>
      <w:pPr>
        <w:numPr>
          <w:ilvl w:val="0"/>
          <w:numId w:val="10"/>
        </w:numPr>
      </w:pPr>
      <w:r>
        <w:rPr>
          <w:rFonts w:ascii="Calibri" w:hAnsi="Calibri"/>
          <w:sz w:val="22"/>
        </w:rPr>
        <w:t>All outputs preserve hashes, run identity, runtime evidence, and explicit interpretation constraints.</w:t>
      </w:r>
    </w:p>
    <w:p>
      <w:pPr>
        <w:pStyle w:val="Heading1"/>
        <w:keepNext w:val="1"/>
        <w:keepLines w:val="1"/>
      </w:pPr>
      <w:r>
        <w:t>Appendix A. Current Configuration Snapshot</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trPr>
        <w:tc>
          <w:tcPr>
            <w:tcW w:type="dxa" w:w="2800"/>
            <w:tcMar>
              <w:top w:w="80" w:type="dxa"/>
              <w:bottom w:w="80" w:type="dxa"/>
              <w:start w:w="120" w:type="dxa"/>
              <w:end w:w="120" w:type="dxa"/>
            </w:tcMar>
            <w:vAlign w:val="center"/>
            <w:shd w:fill="E8EEF5"/>
          </w:tcPr>
          <w:p>
            <w:pPr>
              <w:spacing w:after="0"/>
              <w:jc w:val="center"/>
            </w:pPr>
            <w:r>
              <w:rPr>
                <w:rFonts w:ascii="Calibri" w:hAnsi="Calibri"/>
                <w:b/>
                <w:color w:val="0B2545"/>
                <w:sz w:val="19"/>
              </w:rPr>
              <w:t>Configuration area</w:t>
            </w:r>
          </w:p>
        </w:tc>
        <w:tc>
          <w:tcPr>
            <w:tcW w:type="dxa" w:w="6560"/>
            <w:tcMar>
              <w:top w:w="80" w:type="dxa"/>
              <w:bottom w:w="80" w:type="dxa"/>
              <w:start w:w="120" w:type="dxa"/>
              <w:end w:w="120" w:type="dxa"/>
            </w:tcMar>
            <w:vAlign w:val="center"/>
            <w:shd w:fill="E8EEF5"/>
          </w:tcPr>
          <w:p>
            <w:pPr>
              <w:spacing w:after="0"/>
              <w:jc w:val="center"/>
            </w:pPr>
            <w:r>
              <w:rPr>
                <w:rFonts w:ascii="Calibri" w:hAnsi="Calibri"/>
                <w:b/>
                <w:color w:val="0B2545"/>
                <w:sz w:val="19"/>
              </w:rPr>
              <w:t>Current value</w:t>
            </w:r>
          </w:p>
        </w:tc>
      </w:tr>
      <w:tr>
        <w:tc>
          <w:tcPr>
            <w:tcW w:type="dxa" w:w="2800"/>
          </w:tcPr>
          <w:p>
            <w:pPr>
              <w:spacing w:after="0"/>
              <w:jc w:val="left"/>
            </w:pPr>
            <w:r>
              <w:rPr>
                <w:rFonts w:ascii="Calibri" w:hAnsi="Calibri"/>
                <w:sz w:val="19"/>
              </w:rPr>
              <w:t>Protocol</w:t>
            </w:r>
          </w:p>
        </w:tc>
        <w:tc>
          <w:tcPr>
            <w:tcW w:type="dxa" w:w="6560"/>
          </w:tcPr>
          <w:p>
            <w:pPr>
              <w:spacing w:after="0"/>
              <w:jc w:val="left"/>
            </w:pPr>
            <w:r>
              <w:rPr>
                <w:rFonts w:ascii="Calibri" w:hAnsi="Calibri"/>
                <w:sz w:val="19"/>
              </w:rPr>
              <w:t>v0.9, frozen, seed 42, G0B/G1/G2 pass</w:t>
            </w:r>
          </w:p>
        </w:tc>
      </w:tr>
      <w:tr>
        <w:tc>
          <w:tcPr>
            <w:tcW w:type="dxa" w:w="2800"/>
            <w:shd w:fill="F2F4F7"/>
          </w:tcPr>
          <w:p>
            <w:pPr>
              <w:spacing w:after="0"/>
              <w:jc w:val="left"/>
            </w:pPr>
            <w:r>
              <w:rPr>
                <w:rFonts w:ascii="Calibri" w:hAnsi="Calibri"/>
                <w:sz w:val="19"/>
              </w:rPr>
              <w:t>Dataset</w:t>
            </w:r>
          </w:p>
        </w:tc>
        <w:tc>
          <w:tcPr>
            <w:tcW w:type="dxa" w:w="6560"/>
            <w:shd w:fill="F2F4F7"/>
          </w:tcPr>
          <w:p>
            <w:pPr>
              <w:spacing w:after="0"/>
              <w:jc w:val="left"/>
            </w:pPr>
            <w:r>
              <w:rPr>
                <w:rFonts w:ascii="Calibri" w:hAnsi="Calibri"/>
                <w:sz w:val="19"/>
              </w:rPr>
              <w:t>Pinned PlantVillage color revision; five Tomato classes; group key leaf_id</w:t>
            </w:r>
          </w:p>
        </w:tc>
      </w:tr>
      <w:tr>
        <w:tc>
          <w:tcPr>
            <w:tcW w:type="dxa" w:w="2800"/>
          </w:tcPr>
          <w:p>
            <w:pPr>
              <w:spacing w:after="0"/>
              <w:jc w:val="left"/>
            </w:pPr>
            <w:r>
              <w:rPr>
                <w:rFonts w:ascii="Calibri" w:hAnsi="Calibri"/>
                <w:sz w:val="19"/>
              </w:rPr>
              <w:t>Models</w:t>
            </w:r>
          </w:p>
        </w:tc>
        <w:tc>
          <w:tcPr>
            <w:tcW w:type="dxa" w:w="6560"/>
          </w:tcPr>
          <w:p>
            <w:pPr>
              <w:spacing w:after="0"/>
              <w:jc w:val="left"/>
            </w:pPr>
            <w:r>
              <w:rPr>
                <w:rFonts w:ascii="Calibri" w:hAnsi="Calibri"/>
                <w:sz w:val="19"/>
              </w:rPr>
              <w:t>ResNet50 and EfficientNet-B0</w:t>
            </w:r>
          </w:p>
        </w:tc>
      </w:tr>
      <w:tr>
        <w:tc>
          <w:tcPr>
            <w:tcW w:type="dxa" w:w="2800"/>
            <w:shd w:fill="F2F4F7"/>
          </w:tcPr>
          <w:p>
            <w:pPr>
              <w:spacing w:after="0"/>
              <w:jc w:val="left"/>
            </w:pPr>
            <w:r>
              <w:rPr>
                <w:rFonts w:ascii="Calibri" w:hAnsi="Calibri"/>
                <w:sz w:val="19"/>
              </w:rPr>
              <w:t>Training</w:t>
            </w:r>
          </w:p>
        </w:tc>
        <w:tc>
          <w:tcPr>
            <w:tcW w:type="dxa" w:w="6560"/>
            <w:shd w:fill="F2F4F7"/>
          </w:tcPr>
          <w:p>
            <w:pPr>
              <w:spacing w:after="0"/>
              <w:jc w:val="left"/>
            </w:pPr>
            <w:r>
              <w:rPr>
                <w:rFonts w:ascii="Calibri" w:hAnsi="Calibri"/>
                <w:sz w:val="19"/>
              </w:rPr>
              <w:t>AdamW, LR 0.001, batch 32, max 50 epochs, patience 8, macro-F1 selection</w:t>
            </w:r>
          </w:p>
        </w:tc>
      </w:tr>
      <w:tr>
        <w:tc>
          <w:tcPr>
            <w:tcW w:type="dxa" w:w="2800"/>
          </w:tcPr>
          <w:p>
            <w:pPr>
              <w:spacing w:after="0"/>
              <w:jc w:val="left"/>
            </w:pPr>
            <w:r>
              <w:rPr>
                <w:rFonts w:ascii="Calibri" w:hAnsi="Calibri"/>
                <w:sz w:val="19"/>
              </w:rPr>
              <w:t>Scenarios</w:t>
            </w:r>
          </w:p>
        </w:tc>
        <w:tc>
          <w:tcPr>
            <w:tcW w:type="dxa" w:w="6560"/>
          </w:tcPr>
          <w:p>
            <w:pPr>
              <w:spacing w:after="0"/>
              <w:jc w:val="left"/>
            </w:pPr>
            <w:r>
              <w:rPr>
                <w:rFonts w:ascii="Calibri" w:hAnsi="Calibri"/>
                <w:sz w:val="19"/>
              </w:rPr>
              <w:t>Four transformations x three severities = twelve deterministic scenarios</w:t>
            </w:r>
          </w:p>
        </w:tc>
      </w:tr>
      <w:tr>
        <w:tc>
          <w:tcPr>
            <w:tcW w:type="dxa" w:w="2800"/>
            <w:shd w:fill="F2F4F7"/>
          </w:tcPr>
          <w:p>
            <w:pPr>
              <w:spacing w:after="0"/>
              <w:jc w:val="left"/>
            </w:pPr>
            <w:r>
              <w:rPr>
                <w:rFonts w:ascii="Calibri" w:hAnsi="Calibri"/>
                <w:sz w:val="19"/>
              </w:rPr>
              <w:t>XAI</w:t>
            </w:r>
          </w:p>
        </w:tc>
        <w:tc>
          <w:tcPr>
            <w:tcW w:type="dxa" w:w="6560"/>
            <w:shd w:fill="F2F4F7"/>
          </w:tcPr>
          <w:p>
            <w:pPr>
              <w:spacing w:after="0"/>
              <w:jc w:val="left"/>
            </w:pPr>
            <w:r>
              <w:rPr>
                <w:rFonts w:ascii="Calibri" w:hAnsi="Calibri"/>
                <w:sz w:val="19"/>
              </w:rPr>
              <w:t>Grad-CAM, Grad-CAM++, Score-CAM; original predicted class target</w:t>
            </w:r>
          </w:p>
        </w:tc>
      </w:tr>
      <w:tr>
        <w:tc>
          <w:tcPr>
            <w:tcW w:type="dxa" w:w="2800"/>
          </w:tcPr>
          <w:p>
            <w:pPr>
              <w:spacing w:after="0"/>
              <w:jc w:val="left"/>
            </w:pPr>
            <w:r>
              <w:rPr>
                <w:rFonts w:ascii="Calibri" w:hAnsi="Calibri"/>
                <w:sz w:val="19"/>
              </w:rPr>
              <w:t>Primary RQ2 metrics</w:t>
            </w:r>
          </w:p>
        </w:tc>
        <w:tc>
          <w:tcPr>
            <w:tcW w:type="dxa" w:w="6560"/>
          </w:tcPr>
          <w:p>
            <w:pPr>
              <w:spacing w:after="0"/>
              <w:jc w:val="left"/>
            </w:pPr>
            <w:r>
              <w:rPr>
                <w:rFonts w:ascii="Calibri" w:hAnsi="Calibri"/>
                <w:sz w:val="19"/>
              </w:rPr>
              <w:t>Pearson, masked SSIM, top-20% IoU</w:t>
            </w:r>
          </w:p>
        </w:tc>
      </w:tr>
      <w:tr>
        <w:tc>
          <w:tcPr>
            <w:tcW w:type="dxa" w:w="2800"/>
            <w:shd w:fill="F2F4F7"/>
          </w:tcPr>
          <w:p>
            <w:pPr>
              <w:spacing w:after="0"/>
              <w:jc w:val="left"/>
            </w:pPr>
            <w:r>
              <w:rPr>
                <w:rFonts w:ascii="Calibri" w:hAnsi="Calibri"/>
                <w:sz w:val="19"/>
              </w:rPr>
              <w:t>Statistics</w:t>
            </w:r>
          </w:p>
        </w:tc>
        <w:tc>
          <w:tcPr>
            <w:tcW w:type="dxa" w:w="6560"/>
            <w:shd w:fill="F2F4F7"/>
          </w:tcPr>
          <w:p>
            <w:pPr>
              <w:spacing w:after="0"/>
              <w:jc w:val="left"/>
            </w:pPr>
            <w:r>
              <w:rPr>
                <w:rFonts w:ascii="Calibri" w:hAnsi="Calibri"/>
                <w:sz w:val="19"/>
              </w:rPr>
              <w:t>10,000 leaf bootstrap replicates; paired Wilcoxon; Holm; alpha 0.05</w:t>
            </w:r>
          </w:p>
        </w:tc>
      </w:tr>
      <w:tr>
        <w:tc>
          <w:tcPr>
            <w:tcW w:type="dxa" w:w="2800"/>
          </w:tcPr>
          <w:p>
            <w:pPr>
              <w:spacing w:after="0"/>
              <w:jc w:val="left"/>
            </w:pPr>
            <w:r>
              <w:rPr>
                <w:rFonts w:ascii="Calibri" w:hAnsi="Calibri"/>
                <w:sz w:val="19"/>
              </w:rPr>
              <w:t>Reporting</w:t>
            </w:r>
          </w:p>
        </w:tc>
        <w:tc>
          <w:tcPr>
            <w:tcW w:type="dxa" w:w="6560"/>
          </w:tcPr>
          <w:p>
            <w:pPr>
              <w:spacing w:after="0"/>
              <w:jc w:val="left"/>
            </w:pPr>
            <w:r>
              <w:rPr>
                <w:rFonts w:ascii="Calibri" w:hAnsi="Calibri"/>
                <w:sz w:val="19"/>
              </w:rPr>
              <w:t>Eight tables, six figures, two summaries, one verification report</w:t>
            </w:r>
          </w:p>
        </w:tc>
      </w:tr>
    </w:tbl>
    <w:p>
      <w:pPr>
        <w:spacing w:after="0"/>
      </w:pPr>
    </w:p>
    <w:p>
      <w:pPr>
        <w:pStyle w:val="Heading1"/>
        <w:keepNext w:val="1"/>
        <w:keepLines w:val="1"/>
      </w:pPr>
      <w:r>
        <w:t>Appendix B. Repository Navigation</w:t>
      </w:r>
    </w:p>
    <w:tbl>
      <w:tblPr>
        <w:tblStyle w:val="TableGrid"/>
        <w:tblW w:type="dxa" w:w="9360"/>
        <w:jc w:val="left"/>
        <w:tblLayout w:type="fixed"/>
        <w:tblLook w:firstColumn="1" w:firstRow="1" w:lastColumn="0" w:lastRow="0" w:noHBand="0" w:noVBand="1" w:val="04A0"/>
        <w:tblInd w:w="120" w:type="dxa"/>
      </w:tblPr>
      <w:tblGrid>
        <w:gridCol w:w="3900"/>
        <w:gridCol w:w="5460"/>
      </w:tblGrid>
      <w:tr>
        <w:trPr>
          <w:tblHeader w:val="true"/>
        </w:trPr>
        <w:tc>
          <w:tcPr>
            <w:tcW w:type="dxa" w:w="3900"/>
            <w:tcMar>
              <w:top w:w="80" w:type="dxa"/>
              <w:bottom w:w="80" w:type="dxa"/>
              <w:start w:w="120" w:type="dxa"/>
              <w:end w:w="120" w:type="dxa"/>
            </w:tcMar>
            <w:vAlign w:val="center"/>
            <w:shd w:fill="E8EEF5"/>
          </w:tcPr>
          <w:p>
            <w:pPr>
              <w:spacing w:after="0"/>
              <w:jc w:val="center"/>
            </w:pPr>
            <w:r>
              <w:rPr>
                <w:rFonts w:ascii="Calibri" w:hAnsi="Calibri"/>
                <w:b/>
                <w:color w:val="0B2545"/>
                <w:sz w:val="19"/>
              </w:rPr>
              <w:t>Path</w:t>
            </w:r>
          </w:p>
        </w:tc>
        <w:tc>
          <w:tcPr>
            <w:tcW w:type="dxa" w:w="5460"/>
            <w:tcMar>
              <w:top w:w="80" w:type="dxa"/>
              <w:bottom w:w="80" w:type="dxa"/>
              <w:start w:w="120" w:type="dxa"/>
              <w:end w:w="120" w:type="dxa"/>
            </w:tcMar>
            <w:vAlign w:val="center"/>
            <w:shd w:fill="E8EEF5"/>
          </w:tcPr>
          <w:p>
            <w:pPr>
              <w:spacing w:after="0"/>
              <w:jc w:val="center"/>
            </w:pPr>
            <w:r>
              <w:rPr>
                <w:rFonts w:ascii="Calibri" w:hAnsi="Calibri"/>
                <w:b/>
                <w:color w:val="0B2545"/>
                <w:sz w:val="19"/>
              </w:rPr>
              <w:t>Use</w:t>
            </w:r>
          </w:p>
        </w:tc>
      </w:tr>
      <w:tr>
        <w:tc>
          <w:tcPr>
            <w:tcW w:type="dxa" w:w="3900"/>
          </w:tcPr>
          <w:p>
            <w:pPr>
              <w:spacing w:after="0"/>
              <w:jc w:val="left"/>
            </w:pPr>
            <w:r>
              <w:rPr>
                <w:rFonts w:ascii="Calibri" w:hAnsi="Calibri"/>
                <w:sz w:val="19"/>
              </w:rPr>
              <w:t>README.md</w:t>
            </w:r>
          </w:p>
        </w:tc>
        <w:tc>
          <w:tcPr>
            <w:tcW w:type="dxa" w:w="5460"/>
          </w:tcPr>
          <w:p>
            <w:pPr>
              <w:spacing w:after="0"/>
              <w:jc w:val="left"/>
            </w:pPr>
            <w:r>
              <w:rPr>
                <w:rFonts w:ascii="Calibri" w:hAnsi="Calibri"/>
                <w:sz w:val="19"/>
              </w:rPr>
              <w:t>Project overview, safe commands, and current architecture reference.</w:t>
            </w:r>
          </w:p>
        </w:tc>
      </w:tr>
      <w:tr>
        <w:tc>
          <w:tcPr>
            <w:tcW w:type="dxa" w:w="3900"/>
            <w:shd w:fill="F2F4F7"/>
          </w:tcPr>
          <w:p>
            <w:pPr>
              <w:spacing w:after="0"/>
              <w:jc w:val="left"/>
            </w:pPr>
            <w:r>
              <w:rPr>
                <w:rFonts w:ascii="Calibri" w:hAnsi="Calibri"/>
                <w:sz w:val="19"/>
              </w:rPr>
              <w:t>PlantXAI-Stability_Architecture_v1.0.docx</w:t>
            </w:r>
          </w:p>
        </w:tc>
        <w:tc>
          <w:tcPr>
            <w:tcW w:type="dxa" w:w="5460"/>
            <w:shd w:fill="F2F4F7"/>
          </w:tcPr>
          <w:p>
            <w:pPr>
              <w:spacing w:after="0"/>
              <w:jc w:val="left"/>
            </w:pPr>
            <w:r>
              <w:rPr>
                <w:rFonts w:ascii="Calibri" w:hAnsi="Calibri"/>
                <w:sz w:val="19"/>
              </w:rPr>
              <w:t>Current English system architecture specification.</w:t>
            </w:r>
          </w:p>
        </w:tc>
      </w:tr>
      <w:tr>
        <w:tc>
          <w:tcPr>
            <w:tcW w:type="dxa" w:w="3900"/>
          </w:tcPr>
          <w:p>
            <w:pPr>
              <w:spacing w:after="0"/>
              <w:jc w:val="left"/>
            </w:pPr>
            <w:r>
              <w:rPr>
                <w:rFonts w:ascii="Calibri" w:hAnsi="Calibri"/>
                <w:sz w:val="19"/>
              </w:rPr>
              <w:t>docs/colab_workflow.md</w:t>
            </w:r>
          </w:p>
        </w:tc>
        <w:tc>
          <w:tcPr>
            <w:tcW w:type="dxa" w:w="5460"/>
          </w:tcPr>
          <w:p>
            <w:pPr>
              <w:spacing w:after="0"/>
              <w:jc w:val="left"/>
            </w:pPr>
            <w:r>
              <w:rPr>
                <w:rFonts w:ascii="Calibri" w:hAnsi="Calibri"/>
                <w:sz w:val="19"/>
              </w:rPr>
              <w:t>Detailed staged experiment commands.</w:t>
            </w:r>
          </w:p>
        </w:tc>
      </w:tr>
      <w:tr>
        <w:tc>
          <w:tcPr>
            <w:tcW w:type="dxa" w:w="3900"/>
            <w:shd w:fill="F2F4F7"/>
          </w:tcPr>
          <w:p>
            <w:pPr>
              <w:spacing w:after="0"/>
              <w:jc w:val="left"/>
            </w:pPr>
            <w:r>
              <w:rPr>
                <w:rFonts w:ascii="Calibri" w:hAnsi="Calibri"/>
                <w:sz w:val="19"/>
              </w:rPr>
              <w:t>docs/implementation_status.md</w:t>
            </w:r>
          </w:p>
        </w:tc>
        <w:tc>
          <w:tcPr>
            <w:tcW w:type="dxa" w:w="5460"/>
            <w:shd w:fill="F2F4F7"/>
          </w:tcPr>
          <w:p>
            <w:pPr>
              <w:spacing w:after="0"/>
              <w:jc w:val="left"/>
            </w:pPr>
            <w:r>
              <w:rPr>
                <w:rFonts w:ascii="Calibri" w:hAnsi="Calibri"/>
                <w:sz w:val="19"/>
              </w:rPr>
              <w:t>Current readiness and completion status.</w:t>
            </w:r>
          </w:p>
        </w:tc>
      </w:tr>
      <w:tr>
        <w:tc>
          <w:tcPr>
            <w:tcW w:type="dxa" w:w="3900"/>
          </w:tcPr>
          <w:p>
            <w:pPr>
              <w:spacing w:after="0"/>
              <w:jc w:val="left"/>
            </w:pPr>
            <w:r>
              <w:rPr>
                <w:rFonts w:ascii="Calibri" w:hAnsi="Calibri"/>
                <w:sz w:val="19"/>
              </w:rPr>
              <w:t>docs/scientific_claim_scope.md</w:t>
            </w:r>
          </w:p>
        </w:tc>
        <w:tc>
          <w:tcPr>
            <w:tcW w:type="dxa" w:w="5460"/>
          </w:tcPr>
          <w:p>
            <w:pPr>
              <w:spacing w:after="0"/>
              <w:jc w:val="left"/>
            </w:pPr>
            <w:r>
              <w:rPr>
                <w:rFonts w:ascii="Calibri" w:hAnsi="Calibri"/>
                <w:sz w:val="19"/>
              </w:rPr>
              <w:t>Claim-boundary clarifications.</w:t>
            </w:r>
          </w:p>
        </w:tc>
      </w:tr>
      <w:tr>
        <w:tc>
          <w:tcPr>
            <w:tcW w:type="dxa" w:w="3900"/>
            <w:shd w:fill="F2F4F7"/>
          </w:tcPr>
          <w:p>
            <w:pPr>
              <w:spacing w:after="0"/>
              <w:jc w:val="left"/>
            </w:pPr>
            <w:r>
              <w:rPr>
                <w:rFonts w:ascii="Calibri" w:hAnsi="Calibri"/>
                <w:sz w:val="19"/>
              </w:rPr>
              <w:t>docs/HUONG_DAN_TAI_LAP_THUC_NGHIEM.md</w:t>
            </w:r>
          </w:p>
        </w:tc>
        <w:tc>
          <w:tcPr>
            <w:tcW w:type="dxa" w:w="5460"/>
            <w:shd w:fill="F2F4F7"/>
          </w:tcPr>
          <w:p>
            <w:pPr>
              <w:spacing w:after="0"/>
              <w:jc w:val="left"/>
            </w:pPr>
            <w:r>
              <w:rPr>
                <w:rFonts w:ascii="Calibri" w:hAnsi="Calibri"/>
                <w:sz w:val="19"/>
              </w:rPr>
              <w:t>Vietnamese reproduction and verification guide.</w:t>
            </w:r>
          </w:p>
        </w:tc>
      </w:tr>
      <w:tr>
        <w:tc>
          <w:tcPr>
            <w:tcW w:type="dxa" w:w="3900"/>
          </w:tcPr>
          <w:p>
            <w:pPr>
              <w:spacing w:after="0"/>
              <w:jc w:val="left"/>
            </w:pPr>
            <w:r>
              <w:rPr>
                <w:rFonts w:ascii="Calibri" w:hAnsi="Calibri"/>
                <w:sz w:val="19"/>
              </w:rPr>
              <w:t>configs/protocol/v0.9/</w:t>
            </w:r>
          </w:p>
        </w:tc>
        <w:tc>
          <w:tcPr>
            <w:tcW w:type="dxa" w:w="5460"/>
          </w:tcPr>
          <w:p>
            <w:pPr>
              <w:spacing w:after="0"/>
              <w:jc w:val="left"/>
            </w:pPr>
            <w:r>
              <w:rPr>
                <w:rFonts w:ascii="Calibri" w:hAnsi="Calibri"/>
                <w:sz w:val="19"/>
              </w:rPr>
              <w:t>Frozen protocol, JSON schema, and Decision Records.</w:t>
            </w:r>
          </w:p>
        </w:tc>
      </w:tr>
      <w:tr>
        <w:tc>
          <w:tcPr>
            <w:tcW w:type="dxa" w:w="3900"/>
            <w:shd w:fill="F2F4F7"/>
          </w:tcPr>
          <w:p>
            <w:pPr>
              <w:spacing w:after="0"/>
              <w:jc w:val="left"/>
            </w:pPr>
            <w:r>
              <w:rPr>
                <w:rFonts w:ascii="Calibri" w:hAnsi="Calibri"/>
                <w:sz w:val="19"/>
              </w:rPr>
              <w:t>src/plantxai_stability/</w:t>
            </w:r>
          </w:p>
        </w:tc>
        <w:tc>
          <w:tcPr>
            <w:tcW w:type="dxa" w:w="5460"/>
            <w:shd w:fill="F2F4F7"/>
          </w:tcPr>
          <w:p>
            <w:pPr>
              <w:spacing w:after="0"/>
              <w:jc w:val="left"/>
            </w:pPr>
            <w:r>
              <w:rPr>
                <w:rFonts w:ascii="Calibri" w:hAnsi="Calibri"/>
                <w:sz w:val="19"/>
              </w:rPr>
              <w:t>Reusable package modules.</w:t>
            </w:r>
          </w:p>
        </w:tc>
      </w:tr>
      <w:tr>
        <w:tc>
          <w:tcPr>
            <w:tcW w:type="dxa" w:w="3900"/>
          </w:tcPr>
          <w:p>
            <w:pPr>
              <w:spacing w:after="0"/>
              <w:jc w:val="left"/>
            </w:pPr>
            <w:r>
              <w:rPr>
                <w:rFonts w:ascii="Calibri" w:hAnsi="Calibri"/>
                <w:sz w:val="19"/>
              </w:rPr>
              <w:t>scripts/</w:t>
            </w:r>
          </w:p>
        </w:tc>
        <w:tc>
          <w:tcPr>
            <w:tcW w:type="dxa" w:w="5460"/>
          </w:tcPr>
          <w:p>
            <w:pPr>
              <w:spacing w:after="0"/>
              <w:jc w:val="left"/>
            </w:pPr>
            <w:r>
              <w:rPr>
                <w:rFonts w:ascii="Calibri" w:hAnsi="Calibri"/>
                <w:sz w:val="19"/>
              </w:rPr>
              <w:t>Operational CLI runners.</w:t>
            </w:r>
          </w:p>
        </w:tc>
      </w:tr>
      <w:tr>
        <w:tc>
          <w:tcPr>
            <w:tcW w:type="dxa" w:w="3900"/>
            <w:shd w:fill="F2F4F7"/>
          </w:tcPr>
          <w:p>
            <w:pPr>
              <w:spacing w:after="0"/>
              <w:jc w:val="left"/>
            </w:pPr>
            <w:r>
              <w:rPr>
                <w:rFonts w:ascii="Calibri" w:hAnsi="Calibri"/>
                <w:sz w:val="19"/>
              </w:rPr>
              <w:t>tests/</w:t>
            </w:r>
          </w:p>
        </w:tc>
        <w:tc>
          <w:tcPr>
            <w:tcW w:type="dxa" w:w="5460"/>
            <w:shd w:fill="F2F4F7"/>
          </w:tcPr>
          <w:p>
            <w:pPr>
              <w:spacing w:after="0"/>
              <w:jc w:val="left"/>
            </w:pPr>
            <w:r>
              <w:rPr>
                <w:rFonts w:ascii="Calibri" w:hAnsi="Calibri"/>
                <w:sz w:val="19"/>
              </w:rPr>
              <w:t>Verification suites.</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bottom w:w="80" w:type="dxa"/>
              <w:start w:w="120" w:type="dxa"/>
              <w:end w:w="120" w:type="dxa"/>
            </w:tcMar>
            <w:vAlign w:val="center"/>
            <w:shd w:fill="F4F6F9"/>
          </w:tcPr>
          <w:p>
            <w:pPr>
              <w:spacing w:after="0"/>
            </w:pPr>
            <w:r>
              <w:rPr>
                <w:rFonts w:ascii="Calibri" w:hAnsi="Calibri"/>
                <w:b/>
                <w:color w:val="1F4D78"/>
                <w:sz w:val="22"/>
              </w:rPr>
              <w:t xml:space="preserve">End of specification: </w:t>
            </w:r>
            <w:r>
              <w:rPr>
                <w:rFonts w:ascii="Calibri" w:hAnsi="Calibri"/>
                <w:sz w:val="22"/>
              </w:rPr>
              <w:t>The frozen protocol and Decision Records remain authoritative where this explanatory architecture document and machine-enforced configuration differ.</w:t>
            </w:r>
          </w:p>
        </w:tc>
      </w:tr>
    </w:tbl>
    <w:p>
      <w:pPr>
        <w:spacing w:after="0"/>
      </w:pPr>
    </w:p>
    <w:sectPr>
      <w:headerReference w:type="default" r:id="rId11"/>
      <w:footerReference w:type="defaul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06A78"/>
        <w:sz w:val="18"/>
      </w:rPr>
      <w:t xml:space="preserve">Architecture baseline | Page </w:t>
    </w:r>
    <w:r>
      <w:rPr>
        <w:rFonts w:ascii="Calibri" w:hAnsi="Calibri"/>
        <w:color w:val="606A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06A78"/>
        <w:sz w:val="17"/>
      </w:rPr>
      <w:t>PlantXAI-Stability | System Architecture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spacing w:after="80" w:line="30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70"/>
        <w:spacing w:after="80" w:line="300" w:lineRule="auto"/>
      </w:pPr>
      <w:rPr>
        <w:rFonts w:ascii="Calibri" w:hAnsi="Calibri"/>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1F4D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b/>
      <w:bCs/>
      <w:i/>
      <w:color w:val="606A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PlantXAI-Stability Architecture v1.0</dc:title>
  <dc:subject>System architecture, workflow, pipeline, and design specification</dc:subject>
  <dc:creator/>
  <cp:keywords>PlantXAI-Stability, architecture, robustness, XAI, reproducibility</cp:keywords>
  <dc:description>Current implementation baseline derived from the frozen protocol and codebase.</dc:description>
  <cp:lastModifiedBy/>
  <cp:revision>1</cp:revision>
  <dcterms:created xsi:type="dcterms:W3CDTF">2013-12-23T23:15:00Z</dcterms:created>
  <dcterms:modified xsi:type="dcterms:W3CDTF">2013-12-23T23:15:00Z</dcterms:modified>
  <cp:category/>
</cp:coreProperties>
</file>