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12345678</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Application>LibreOffice/6.4.6.2$Linux_X86_64 LibreOffice_project/40$Build-2</Application>
  <Pages>8</Pages>
  <Words>1576</Words>
  <Characters>5649</Characters>
  <CharactersWithSpaces>7043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2020-12-07T15:55:46Z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