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126578" w:rsidRDefault="000B65FE" w:rsidP="007A1FBC">
      <w:pPr>
        <w:pStyle w:val="Mustertext"/>
      </w:pPr>
      <w:bookmarkStart w:id="0" w:name="_GoBack"/>
      <w:bookmarkEnd w:id="0"/>
      <w:r w:rsidRPr="00203021">
        <w:t>[Briefkopf Anwaltskanzlei]</w:t>
      </w:r>
    </w:p>
    <w:p w:rsidR="00EF6BDE" w:rsidRPr="00203021" w:rsidRDefault="00EF6BDE" w:rsidP="007A1FBC">
      <w:pPr>
        <w:pStyle w:val="Mustertext"/>
      </w:pPr>
    </w:p>
    <w:p w:rsidR="000B65FE" w:rsidRPr="00203021" w:rsidRDefault="000B65FE" w:rsidP="007A1FBC">
      <w:pPr>
        <w:pStyle w:val="Mustertext"/>
      </w:pPr>
      <w:r w:rsidRPr="00203021">
        <w:tab/>
      </w:r>
      <w:r w:rsidRPr="00203021">
        <w:tab/>
      </w:r>
      <w:r w:rsidRPr="00203021">
        <w:tab/>
      </w:r>
      <w:r w:rsidRPr="00203021">
        <w:tab/>
      </w:r>
      <w:r w:rsidRPr="00203021">
        <w:tab/>
      </w:r>
      <w:r w:rsidR="00177658">
        <w:tab/>
      </w:r>
      <w:r w:rsidR="00DA6037" w:rsidRPr="00203021">
        <w:tab/>
      </w:r>
      <w:r w:rsidR="00DA6037" w:rsidRPr="00203021">
        <w:tab/>
      </w:r>
      <w:r w:rsidRPr="00203021">
        <w:t>Einschreiben</w:t>
      </w:r>
    </w:p>
    <w:p w:rsidR="000B65FE" w:rsidRPr="00203021" w:rsidRDefault="000B65FE" w:rsidP="007A1FBC">
      <w:pPr>
        <w:pStyle w:val="Mustertext"/>
      </w:pPr>
      <w:r w:rsidRPr="00203021">
        <w:tab/>
      </w:r>
      <w:r w:rsidRPr="00203021">
        <w:tab/>
      </w:r>
      <w:r w:rsidRPr="00203021">
        <w:tab/>
      </w:r>
      <w:r w:rsidRPr="00203021">
        <w:tab/>
      </w:r>
      <w:r w:rsidRPr="00203021">
        <w:tab/>
      </w:r>
      <w:r w:rsidR="00177658">
        <w:tab/>
      </w:r>
      <w:r w:rsidR="00DA6037" w:rsidRPr="00203021">
        <w:tab/>
      </w:r>
      <w:r w:rsidR="00DA6037" w:rsidRPr="00203021">
        <w:tab/>
      </w:r>
      <w:r w:rsidR="00046BF7" w:rsidRPr="00203021">
        <w:t>Mietgericht des Bezirkes</w:t>
      </w:r>
      <w:r w:rsidRPr="00203021">
        <w:t xml:space="preserve"> Zürich</w:t>
      </w:r>
    </w:p>
    <w:p w:rsidR="009E198B" w:rsidRPr="00203021" w:rsidRDefault="000B65FE" w:rsidP="007A1FBC">
      <w:pPr>
        <w:pStyle w:val="Mustertext"/>
      </w:pPr>
      <w:r w:rsidRPr="00203021">
        <w:tab/>
      </w:r>
      <w:r w:rsidRPr="00203021">
        <w:tab/>
      </w:r>
      <w:r w:rsidRPr="00203021">
        <w:tab/>
      </w:r>
      <w:r w:rsidRPr="00203021">
        <w:tab/>
      </w:r>
      <w:r w:rsidRPr="00203021">
        <w:tab/>
      </w:r>
      <w:r w:rsidR="00177658">
        <w:tab/>
      </w:r>
      <w:r w:rsidR="00DA6037" w:rsidRPr="00203021">
        <w:tab/>
      </w:r>
      <w:r w:rsidR="00DA6037" w:rsidRPr="00203021">
        <w:tab/>
      </w:r>
      <w:r w:rsidR="009E198B" w:rsidRPr="00203021">
        <w:t>Wengistrasse 30</w:t>
      </w:r>
    </w:p>
    <w:p w:rsidR="000B65FE" w:rsidRPr="00203021" w:rsidRDefault="009E198B" w:rsidP="007A1FBC">
      <w:pPr>
        <w:pStyle w:val="Mustertext"/>
      </w:pPr>
      <w:r w:rsidRPr="00203021">
        <w:tab/>
      </w:r>
      <w:r w:rsidRPr="00203021">
        <w:tab/>
      </w:r>
      <w:r w:rsidRPr="00203021">
        <w:tab/>
      </w:r>
      <w:r w:rsidRPr="00203021">
        <w:tab/>
      </w:r>
      <w:r w:rsidRPr="00203021">
        <w:tab/>
      </w:r>
      <w:r w:rsidR="00177658">
        <w:tab/>
      </w:r>
      <w:r w:rsidRPr="00203021">
        <w:tab/>
      </w:r>
      <w:r w:rsidRPr="00203021">
        <w:tab/>
      </w:r>
      <w:r w:rsidR="00046BF7" w:rsidRPr="00203021">
        <w:t>Postfach</w:t>
      </w:r>
    </w:p>
    <w:p w:rsidR="000B65FE" w:rsidRPr="00203021" w:rsidRDefault="000B65FE" w:rsidP="007A1FBC">
      <w:pPr>
        <w:pStyle w:val="Mustertext"/>
      </w:pPr>
      <w:r w:rsidRPr="00203021">
        <w:tab/>
      </w:r>
      <w:r w:rsidRPr="00203021">
        <w:tab/>
      </w:r>
      <w:r w:rsidRPr="00203021">
        <w:tab/>
      </w:r>
      <w:r w:rsidRPr="00203021">
        <w:tab/>
      </w:r>
      <w:r w:rsidRPr="00203021">
        <w:tab/>
      </w:r>
      <w:r w:rsidR="00177658">
        <w:tab/>
      </w:r>
      <w:r w:rsidR="00DA6037" w:rsidRPr="00203021">
        <w:tab/>
      </w:r>
      <w:r w:rsidR="00DA6037" w:rsidRPr="00203021">
        <w:tab/>
      </w:r>
      <w:r w:rsidRPr="00203021">
        <w:t>80</w:t>
      </w:r>
      <w:r w:rsidR="00046BF7" w:rsidRPr="00203021">
        <w:t>3</w:t>
      </w:r>
      <w:r w:rsidRPr="00203021">
        <w:t>6 Zürich</w:t>
      </w:r>
    </w:p>
    <w:p w:rsidR="00CD4C3B" w:rsidRPr="00203021" w:rsidRDefault="00CD4C3B" w:rsidP="007A1FBC">
      <w:pPr>
        <w:pStyle w:val="Mustertext"/>
      </w:pPr>
    </w:p>
    <w:p w:rsidR="000B65FE" w:rsidRPr="00203021" w:rsidRDefault="000B65FE" w:rsidP="007A1FBC">
      <w:pPr>
        <w:pStyle w:val="Mustertext"/>
      </w:pPr>
      <w:r w:rsidRPr="00203021">
        <w:tab/>
      </w:r>
      <w:r w:rsidRPr="00203021">
        <w:tab/>
      </w:r>
      <w:r w:rsidRPr="00203021">
        <w:tab/>
      </w:r>
      <w:r w:rsidRPr="00203021">
        <w:tab/>
      </w:r>
      <w:r w:rsidRPr="00203021">
        <w:tab/>
      </w:r>
      <w:r w:rsidR="00177658">
        <w:tab/>
      </w:r>
      <w:r w:rsidR="00DA6037" w:rsidRPr="00203021">
        <w:tab/>
      </w:r>
      <w:r w:rsidR="00DA6037" w:rsidRPr="00203021">
        <w:tab/>
      </w:r>
      <w:r w:rsidR="008019B3">
        <w:t>[Ort], [Datum]</w:t>
      </w:r>
      <w:r w:rsidRPr="00203021">
        <w:t xml:space="preserve"> </w:t>
      </w:r>
    </w:p>
    <w:p w:rsidR="000B65FE" w:rsidRPr="00203021" w:rsidRDefault="000B65FE" w:rsidP="007A1FBC">
      <w:pPr>
        <w:pStyle w:val="Mustertext"/>
      </w:pPr>
    </w:p>
    <w:p w:rsidR="00A357C8" w:rsidRPr="001C384E" w:rsidRDefault="00A357C8" w:rsidP="007A1FBC">
      <w:pPr>
        <w:pStyle w:val="Mustertext"/>
      </w:pPr>
      <w:r w:rsidRPr="001C384E">
        <w:t>Sehr geehrter Herr Präsident</w:t>
      </w:r>
    </w:p>
    <w:p w:rsidR="000B65FE" w:rsidRPr="001C384E" w:rsidRDefault="00A357C8" w:rsidP="007A1FBC">
      <w:pPr>
        <w:pStyle w:val="Mustertext"/>
      </w:pPr>
      <w:r w:rsidRPr="001C384E">
        <w:t>Sehr geehrte Damen und Herren</w:t>
      </w:r>
    </w:p>
    <w:p w:rsidR="00A357C8" w:rsidRPr="001C384E" w:rsidRDefault="00A357C8" w:rsidP="007A1FBC">
      <w:pPr>
        <w:pStyle w:val="Mustertext"/>
      </w:pPr>
    </w:p>
    <w:p w:rsidR="000B65FE" w:rsidRPr="001C384E" w:rsidRDefault="000B65FE" w:rsidP="007A1FBC">
      <w:pPr>
        <w:pStyle w:val="Mustertext"/>
      </w:pPr>
      <w:r w:rsidRPr="001C384E">
        <w:t>In Sachen</w:t>
      </w:r>
    </w:p>
    <w:p w:rsidR="000B65FE" w:rsidRPr="001C384E" w:rsidRDefault="000B65FE" w:rsidP="007A1FBC">
      <w:pPr>
        <w:pStyle w:val="Mustertext"/>
      </w:pPr>
    </w:p>
    <w:p w:rsidR="000B65FE" w:rsidRPr="00EF6BDE" w:rsidRDefault="00504343" w:rsidP="007A1FBC">
      <w:pPr>
        <w:pStyle w:val="Mustertext"/>
        <w:rPr>
          <w:rStyle w:val="fettMuster"/>
        </w:rPr>
      </w:pPr>
      <w:r>
        <w:rPr>
          <w:rStyle w:val="fettMuster"/>
        </w:rPr>
        <w:t>«</w:t>
      </w:r>
      <w:r w:rsidR="00A357C8" w:rsidRPr="00EF6BDE">
        <w:rPr>
          <w:rStyle w:val="fettMuster"/>
        </w:rPr>
        <w:t>V AG</w:t>
      </w:r>
      <w:r>
        <w:rPr>
          <w:rStyle w:val="fettMuster"/>
        </w:rPr>
        <w:t>»</w:t>
      </w:r>
      <w:r w:rsidR="00A357C8" w:rsidRPr="00EF6BDE">
        <w:rPr>
          <w:rStyle w:val="fettMuster"/>
        </w:rPr>
        <w:t>,</w:t>
      </w:r>
      <w:r w:rsidR="00C2521D" w:rsidRPr="00EF6BDE">
        <w:rPr>
          <w:rStyle w:val="fettMuster"/>
        </w:rPr>
        <w:tab/>
      </w:r>
      <w:r w:rsidR="00C2521D" w:rsidRPr="00EF6BDE">
        <w:rPr>
          <w:rStyle w:val="fettMuster"/>
        </w:rPr>
        <w:tab/>
      </w:r>
      <w:r w:rsidR="00C2521D" w:rsidRPr="00EF6BDE">
        <w:rPr>
          <w:rStyle w:val="fettMuster"/>
        </w:rPr>
        <w:tab/>
      </w:r>
      <w:r w:rsidR="00DA6037" w:rsidRPr="00EF6BDE">
        <w:tab/>
      </w:r>
      <w:r w:rsidR="00DA6037" w:rsidRPr="00EF6BDE">
        <w:tab/>
      </w:r>
      <w:r w:rsidR="00DA6037" w:rsidRPr="00EF6BDE">
        <w:tab/>
      </w:r>
      <w:r w:rsidR="00DA6037" w:rsidRPr="00EF6BDE">
        <w:tab/>
      </w:r>
      <w:r w:rsidR="00DA6037" w:rsidRPr="00EF6BDE">
        <w:tab/>
      </w:r>
      <w:r w:rsidR="00067876" w:rsidRPr="00EF6BDE">
        <w:tab/>
      </w:r>
      <w:r w:rsidR="00A357C8" w:rsidRPr="00EF6BDE">
        <w:rPr>
          <w:rStyle w:val="fettMuster"/>
        </w:rPr>
        <w:t>Klägerin</w:t>
      </w:r>
    </w:p>
    <w:p w:rsidR="00C2521D" w:rsidRPr="001C384E" w:rsidRDefault="00C2521D" w:rsidP="007A1FBC">
      <w:pPr>
        <w:pStyle w:val="Mustertext"/>
        <w:rPr>
          <w:b/>
        </w:rPr>
      </w:pPr>
      <w:r w:rsidRPr="001C384E">
        <w:rPr>
          <w:rStyle w:val="fettMuster"/>
          <w:b w:val="0"/>
        </w:rPr>
        <w:t>Musterstrasse 64, 8000 Musterstadt</w:t>
      </w:r>
    </w:p>
    <w:p w:rsidR="00A357C8" w:rsidRPr="001C384E" w:rsidRDefault="00A357C8" w:rsidP="007A1FBC">
      <w:pPr>
        <w:pStyle w:val="Mustertext"/>
      </w:pPr>
      <w:r w:rsidRPr="001C384E">
        <w:t xml:space="preserve">v.d.: [Liegenschaftenverwaltung], [Adresse], [Ort] </w:t>
      </w:r>
    </w:p>
    <w:p w:rsidR="000B65FE" w:rsidRPr="001C384E" w:rsidRDefault="00A357C8" w:rsidP="007A1FBC">
      <w:pPr>
        <w:pStyle w:val="Mustertext"/>
      </w:pPr>
      <w:r w:rsidRPr="00EF5826">
        <w:rPr>
          <w:lang w:val="en-US"/>
        </w:rPr>
        <w:t xml:space="preserve">v.d.: RAin lic. </w:t>
      </w:r>
      <w:proofErr w:type="gramStart"/>
      <w:r w:rsidRPr="00EF5826">
        <w:rPr>
          <w:lang w:val="en-US"/>
        </w:rPr>
        <w:t>iur</w:t>
      </w:r>
      <w:proofErr w:type="gramEnd"/>
      <w:r w:rsidRPr="00EF5826">
        <w:rPr>
          <w:lang w:val="en-US"/>
        </w:rPr>
        <w:t xml:space="preserve">. </w:t>
      </w:r>
      <w:r w:rsidRPr="001C384E">
        <w:t>[Vorname</w:t>
      </w:r>
      <w:r w:rsidR="00BD7C79">
        <w:t>]</w:t>
      </w:r>
      <w:r w:rsidRPr="001C384E">
        <w:t xml:space="preserve"> </w:t>
      </w:r>
      <w:r w:rsidR="00BD7C79">
        <w:t>[</w:t>
      </w:r>
      <w:r w:rsidRPr="001C384E">
        <w:t>Name], [Adresse], [Ort]</w:t>
      </w:r>
    </w:p>
    <w:p w:rsidR="00A357C8" w:rsidRPr="001C384E" w:rsidRDefault="00A357C8" w:rsidP="007A1FBC">
      <w:pPr>
        <w:pStyle w:val="Mustertext"/>
      </w:pPr>
    </w:p>
    <w:p w:rsidR="000B65FE" w:rsidRPr="001C384E" w:rsidRDefault="00A357C8" w:rsidP="007A1FBC">
      <w:pPr>
        <w:pStyle w:val="Mustertext"/>
      </w:pPr>
      <w:r w:rsidRPr="001C384E">
        <w:t xml:space="preserve">gegen </w:t>
      </w:r>
    </w:p>
    <w:p w:rsidR="000B65FE" w:rsidRPr="001C384E" w:rsidRDefault="000B65FE" w:rsidP="007A1FBC">
      <w:pPr>
        <w:pStyle w:val="Mustertext"/>
      </w:pPr>
    </w:p>
    <w:p w:rsidR="000B65FE" w:rsidRPr="00EF6BDE" w:rsidRDefault="00504343" w:rsidP="007A1FBC">
      <w:pPr>
        <w:pStyle w:val="Mustertext"/>
        <w:rPr>
          <w:rStyle w:val="fettMuster"/>
        </w:rPr>
      </w:pPr>
      <w:r>
        <w:rPr>
          <w:rStyle w:val="fettMuster"/>
        </w:rPr>
        <w:t>«</w:t>
      </w:r>
      <w:r w:rsidR="00A357C8" w:rsidRPr="00EF6BDE">
        <w:rPr>
          <w:rStyle w:val="fettMuster"/>
        </w:rPr>
        <w:t>M AG</w:t>
      </w:r>
      <w:r>
        <w:rPr>
          <w:rStyle w:val="fettMuster"/>
        </w:rPr>
        <w:t>»</w:t>
      </w:r>
      <w:r w:rsidR="00A357C8" w:rsidRPr="00EF6BDE">
        <w:rPr>
          <w:rStyle w:val="fettMuster"/>
        </w:rPr>
        <w:t>,</w:t>
      </w:r>
      <w:r w:rsidR="00C2521D" w:rsidRPr="00EF6BDE">
        <w:rPr>
          <w:rStyle w:val="fettMuster"/>
        </w:rPr>
        <w:tab/>
      </w:r>
      <w:r w:rsidR="00C2521D" w:rsidRPr="00EF6BDE">
        <w:rPr>
          <w:rStyle w:val="fettMuster"/>
        </w:rPr>
        <w:tab/>
      </w:r>
      <w:r w:rsidR="00DA6037" w:rsidRPr="00EF6BDE">
        <w:tab/>
      </w:r>
      <w:r w:rsidR="00DA6037" w:rsidRPr="00EF6BDE">
        <w:tab/>
      </w:r>
      <w:r w:rsidR="00DA6037" w:rsidRPr="00EF6BDE">
        <w:tab/>
      </w:r>
      <w:r w:rsidR="00DA6037" w:rsidRPr="00EF6BDE">
        <w:tab/>
      </w:r>
      <w:r w:rsidR="00A357C8" w:rsidRPr="00EF6BDE">
        <w:tab/>
      </w:r>
      <w:r w:rsidR="00DA60B4" w:rsidRPr="00EF6BDE">
        <w:tab/>
      </w:r>
      <w:r w:rsidR="00A357C8" w:rsidRPr="00EF6BDE">
        <w:tab/>
      </w:r>
      <w:r w:rsidR="00A357C8" w:rsidRPr="00EF6BDE">
        <w:rPr>
          <w:rStyle w:val="fettMuster"/>
        </w:rPr>
        <w:t>Beklagte</w:t>
      </w:r>
    </w:p>
    <w:p w:rsidR="00C2521D" w:rsidRPr="001C384E" w:rsidRDefault="00C2521D" w:rsidP="007A1FBC">
      <w:pPr>
        <w:pStyle w:val="Mustertext"/>
      </w:pPr>
      <w:r w:rsidRPr="001C384E">
        <w:rPr>
          <w:rStyle w:val="fettMuster"/>
          <w:b w:val="0"/>
        </w:rPr>
        <w:t>Musterstrasse 64, 8000 Musterstadt</w:t>
      </w:r>
    </w:p>
    <w:p w:rsidR="00A357C8" w:rsidRPr="001C384E" w:rsidRDefault="00A357C8" w:rsidP="007A1FBC">
      <w:pPr>
        <w:pStyle w:val="Mustertext"/>
      </w:pPr>
      <w:r w:rsidRPr="001C384E">
        <w:t>v.d.: RAin lic. iur. [Vorname</w:t>
      </w:r>
      <w:r w:rsidR="00BD7C79">
        <w:t>]</w:t>
      </w:r>
      <w:r w:rsidRPr="001C384E">
        <w:t xml:space="preserve"> </w:t>
      </w:r>
      <w:r w:rsidR="00BD7C79">
        <w:t>[</w:t>
      </w:r>
      <w:r w:rsidRPr="001C384E">
        <w:t>Name], [Adresse], [Ort]</w:t>
      </w:r>
    </w:p>
    <w:p w:rsidR="00A357C8" w:rsidRPr="001C384E" w:rsidRDefault="00A357C8" w:rsidP="007A1FBC">
      <w:pPr>
        <w:pStyle w:val="Mustertext"/>
      </w:pPr>
    </w:p>
    <w:p w:rsidR="000B65FE" w:rsidRPr="00361565" w:rsidRDefault="000B65FE" w:rsidP="007A1FBC">
      <w:pPr>
        <w:pStyle w:val="Mustertext"/>
        <w:rPr>
          <w:rStyle w:val="fettMuster"/>
        </w:rPr>
      </w:pPr>
      <w:r w:rsidRPr="00361565">
        <w:rPr>
          <w:rStyle w:val="fettMuster"/>
        </w:rPr>
        <w:t xml:space="preserve">betreffend </w:t>
      </w:r>
      <w:r w:rsidR="00A357C8" w:rsidRPr="00361565">
        <w:rPr>
          <w:rStyle w:val="fettMuster"/>
        </w:rPr>
        <w:t>Anfechtung Mietzinserhöhung</w:t>
      </w:r>
    </w:p>
    <w:p w:rsidR="00A357C8" w:rsidRPr="00361565" w:rsidRDefault="00A357C8" w:rsidP="007A1FBC">
      <w:pPr>
        <w:pStyle w:val="Mustertext"/>
        <w:rPr>
          <w:rStyle w:val="fettMuster"/>
        </w:rPr>
      </w:pPr>
      <w:r w:rsidRPr="00361565">
        <w:rPr>
          <w:rStyle w:val="fettMuster"/>
        </w:rPr>
        <w:t>Mietobjekt: Mustergasse 10, 8001 Zürich</w:t>
      </w:r>
    </w:p>
    <w:p w:rsidR="000B65FE" w:rsidRPr="00126578" w:rsidRDefault="000B65FE" w:rsidP="007A1FBC">
      <w:pPr>
        <w:pStyle w:val="Mustertext"/>
      </w:pPr>
    </w:p>
    <w:p w:rsidR="000B65FE" w:rsidRPr="00203021" w:rsidRDefault="00A357C8" w:rsidP="007A1FBC">
      <w:pPr>
        <w:pStyle w:val="Mustertext"/>
      </w:pPr>
      <w:r w:rsidRPr="00203021">
        <w:t xml:space="preserve">erhebe ich </w:t>
      </w:r>
      <w:r w:rsidR="00EF5826">
        <w:t>hier</w:t>
      </w:r>
      <w:r w:rsidRPr="00203021">
        <w:t>mit namens und im Auftrag der Klägerin</w:t>
      </w:r>
    </w:p>
    <w:p w:rsidR="00A357C8" w:rsidRDefault="00A357C8" w:rsidP="007A1FBC">
      <w:pPr>
        <w:pStyle w:val="Mustertext"/>
      </w:pPr>
    </w:p>
    <w:p w:rsidR="00A357C8" w:rsidRPr="00EF6BDE" w:rsidRDefault="00C2521D" w:rsidP="007A1FBC">
      <w:pPr>
        <w:pStyle w:val="Mustertext"/>
        <w:rPr>
          <w:rStyle w:val="fettMuster"/>
        </w:rPr>
      </w:pPr>
      <w:r w:rsidRPr="00EF6BDE">
        <w:rPr>
          <w:rStyle w:val="fettMuster"/>
        </w:rPr>
        <w:t>KLAGE</w:t>
      </w:r>
    </w:p>
    <w:p w:rsidR="00A357C8" w:rsidRPr="001C384E" w:rsidRDefault="00A357C8" w:rsidP="007A1FBC">
      <w:pPr>
        <w:pStyle w:val="Mustertext"/>
      </w:pPr>
    </w:p>
    <w:p w:rsidR="00A357C8" w:rsidRPr="001C384E" w:rsidRDefault="00A357C8" w:rsidP="007A1FBC">
      <w:pPr>
        <w:pStyle w:val="Mustertext"/>
      </w:pPr>
      <w:r w:rsidRPr="001C384E">
        <w:lastRenderedPageBreak/>
        <w:t xml:space="preserve">mit folgendem </w:t>
      </w:r>
    </w:p>
    <w:p w:rsidR="00A357C8" w:rsidRPr="00391929" w:rsidRDefault="00A357C8" w:rsidP="007A1FBC">
      <w:pPr>
        <w:pStyle w:val="Mustertext"/>
      </w:pPr>
    </w:p>
    <w:p w:rsidR="00AF703F" w:rsidRPr="00126578" w:rsidRDefault="00A357C8" w:rsidP="007A1FBC">
      <w:pPr>
        <w:pStyle w:val="Mustertext"/>
        <w:rPr>
          <w:rStyle w:val="fettMuster"/>
          <w:i/>
        </w:rPr>
      </w:pPr>
      <w:r w:rsidRPr="00DF33A1">
        <w:rPr>
          <w:rStyle w:val="fettMuster"/>
          <w:caps/>
        </w:rPr>
        <w:t>Rechtsbegehre</w:t>
      </w:r>
      <w:r w:rsidR="00BD7C79" w:rsidRPr="00DF33A1">
        <w:rPr>
          <w:rStyle w:val="fettMuster"/>
          <w:caps/>
        </w:rPr>
        <w:t>n</w:t>
      </w:r>
    </w:p>
    <w:p w:rsidR="00AF703F" w:rsidRPr="00D732BB" w:rsidRDefault="00AF703F" w:rsidP="00DF33A1">
      <w:pPr>
        <w:pStyle w:val="MustertextListe0"/>
        <w:rPr>
          <w:rStyle w:val="fettMuster"/>
          <w:b w:val="0"/>
        </w:rPr>
      </w:pPr>
      <w:r w:rsidRPr="00D732BB">
        <w:rPr>
          <w:rStyle w:val="fettMuster"/>
          <w:b w:val="0"/>
        </w:rPr>
        <w:t>Es sei der Mietzins für d</w:t>
      </w:r>
      <w:r w:rsidR="00E409B5" w:rsidRPr="00D732BB">
        <w:rPr>
          <w:rStyle w:val="fettMuster"/>
          <w:b w:val="0"/>
        </w:rPr>
        <w:t>ie</w:t>
      </w:r>
      <w:r w:rsidRPr="00D732BB">
        <w:rPr>
          <w:rStyle w:val="fettMuster"/>
          <w:b w:val="0"/>
        </w:rPr>
        <w:t xml:space="preserve"> </w:t>
      </w:r>
      <w:r w:rsidR="00E409B5" w:rsidRPr="00D732BB">
        <w:rPr>
          <w:rStyle w:val="fettMuster"/>
          <w:b w:val="0"/>
        </w:rPr>
        <w:t xml:space="preserve">von der Beklagten </w:t>
      </w:r>
      <w:r w:rsidRPr="00D732BB">
        <w:rPr>
          <w:rStyle w:val="fettMuster"/>
          <w:b w:val="0"/>
        </w:rPr>
        <w:t>an der Mustergasse 10, 8001 Zürich</w:t>
      </w:r>
      <w:r w:rsidR="00502291" w:rsidRPr="00D732BB">
        <w:rPr>
          <w:rStyle w:val="fettMuster"/>
          <w:b w:val="0"/>
        </w:rPr>
        <w:t>,</w:t>
      </w:r>
      <w:r w:rsidRPr="00D732BB">
        <w:rPr>
          <w:rStyle w:val="fettMuster"/>
          <w:b w:val="0"/>
        </w:rPr>
        <w:t xml:space="preserve"> </w:t>
      </w:r>
      <w:r w:rsidR="00E409B5" w:rsidRPr="00D732BB">
        <w:rPr>
          <w:rStyle w:val="fettMuster"/>
          <w:b w:val="0"/>
        </w:rPr>
        <w:t>gemiet</w:t>
      </w:r>
      <w:r w:rsidR="00E409B5" w:rsidRPr="00D732BB">
        <w:rPr>
          <w:rStyle w:val="fettMuster"/>
          <w:b w:val="0"/>
        </w:rPr>
        <w:t>e</w:t>
      </w:r>
      <w:r w:rsidR="00E409B5" w:rsidRPr="00D732BB">
        <w:rPr>
          <w:rStyle w:val="fettMuster"/>
          <w:b w:val="0"/>
        </w:rPr>
        <w:t xml:space="preserve">ten Räume und Flächen </w:t>
      </w:r>
      <w:r w:rsidRPr="00D732BB">
        <w:rPr>
          <w:rStyle w:val="fettMuster"/>
          <w:b w:val="0"/>
        </w:rPr>
        <w:t xml:space="preserve">auf CHF 432'000.00 netto pro Jahr, nämlich CHF 420'000.00 für das Ladenlokal </w:t>
      </w:r>
      <w:r w:rsidR="009E198B" w:rsidRPr="00D732BB">
        <w:rPr>
          <w:rStyle w:val="fettMuster"/>
          <w:b w:val="0"/>
        </w:rPr>
        <w:t xml:space="preserve">im Erdgeschoss </w:t>
      </w:r>
      <w:r w:rsidRPr="00D732BB">
        <w:rPr>
          <w:rStyle w:val="fettMuster"/>
          <w:b w:val="0"/>
        </w:rPr>
        <w:t>und CHF 12'000.00 für das Lager</w:t>
      </w:r>
      <w:r w:rsidR="009E198B" w:rsidRPr="00D732BB">
        <w:rPr>
          <w:rStyle w:val="fettMuster"/>
          <w:b w:val="0"/>
        </w:rPr>
        <w:t xml:space="preserve"> im Untergeschoss</w:t>
      </w:r>
      <w:r w:rsidRPr="00D732BB">
        <w:rPr>
          <w:rStyle w:val="fettMuster"/>
          <w:b w:val="0"/>
        </w:rPr>
        <w:t>, festzusetzen;</w:t>
      </w:r>
    </w:p>
    <w:p w:rsidR="00AF703F" w:rsidRPr="00D732BB" w:rsidRDefault="00CF7ACE" w:rsidP="00DF33A1">
      <w:pPr>
        <w:pStyle w:val="MustertextListe0"/>
        <w:rPr>
          <w:rStyle w:val="fettMuster"/>
          <w:b w:val="0"/>
        </w:rPr>
      </w:pPr>
      <w:r w:rsidRPr="00D732BB">
        <w:rPr>
          <w:rStyle w:val="fettMuster"/>
          <w:b w:val="0"/>
        </w:rPr>
        <w:t>u</w:t>
      </w:r>
      <w:r w:rsidR="00AF703F" w:rsidRPr="00D732BB">
        <w:rPr>
          <w:rStyle w:val="fettMuster"/>
          <w:b w:val="0"/>
        </w:rPr>
        <w:t>nter Kosten- und Entschädigungsfo</w:t>
      </w:r>
      <w:r w:rsidRPr="00D732BB">
        <w:rPr>
          <w:rStyle w:val="fettMuster"/>
          <w:b w:val="0"/>
        </w:rPr>
        <w:t>l</w:t>
      </w:r>
      <w:r w:rsidR="00AF703F" w:rsidRPr="00D732BB">
        <w:rPr>
          <w:rStyle w:val="fettMuster"/>
          <w:b w:val="0"/>
        </w:rPr>
        <w:t>gen zu Lasten der Beklagten</w:t>
      </w:r>
      <w:r w:rsidRPr="00D732BB">
        <w:rPr>
          <w:rStyle w:val="fettMuster"/>
          <w:b w:val="0"/>
        </w:rPr>
        <w:t>.</w:t>
      </w:r>
    </w:p>
    <w:p w:rsidR="00AF703F" w:rsidRPr="00DF33A1" w:rsidRDefault="00AF703F" w:rsidP="00177658">
      <w:pPr>
        <w:pStyle w:val="Mustertextklein"/>
        <w:rPr>
          <w:rStyle w:val="fettMuster"/>
          <w:b w:val="0"/>
          <w:sz w:val="16"/>
        </w:rPr>
      </w:pPr>
      <w:r w:rsidRPr="00E80DB5">
        <w:rPr>
          <w:rStyle w:val="fettMuster"/>
          <w:sz w:val="16"/>
        </w:rPr>
        <w:tab/>
        <w:t>Bemerkung 1:</w:t>
      </w:r>
      <w:r w:rsidRPr="00E80DB5">
        <w:t xml:space="preserve"> </w:t>
      </w:r>
      <w:r w:rsidR="00CF7ACE" w:rsidRPr="008019B3">
        <w:rPr>
          <w:rStyle w:val="kursivMuster"/>
          <w:i/>
          <w:sz w:val="16"/>
        </w:rPr>
        <w:t>Als gleichwertig erweist sich auch die folgende, in der Praxis verwendete Formuli</w:t>
      </w:r>
      <w:r w:rsidR="00CF7ACE" w:rsidRPr="008019B3">
        <w:rPr>
          <w:rStyle w:val="kursivMuster"/>
          <w:i/>
          <w:sz w:val="16"/>
        </w:rPr>
        <w:t>e</w:t>
      </w:r>
      <w:r w:rsidR="00CF7ACE" w:rsidRPr="008019B3">
        <w:rPr>
          <w:rStyle w:val="kursivMuster"/>
          <w:i/>
          <w:sz w:val="16"/>
        </w:rPr>
        <w:t>rung:</w:t>
      </w:r>
      <w:r w:rsidR="00CF7ACE" w:rsidRPr="00E80DB5">
        <w:t xml:space="preserve"> </w:t>
      </w:r>
    </w:p>
    <w:p w:rsidR="00A357C8" w:rsidRPr="00DF33A1" w:rsidRDefault="00B479A8" w:rsidP="00177658">
      <w:pPr>
        <w:pStyle w:val="Mustertextklein"/>
      </w:pPr>
      <w:r w:rsidRPr="00E80DB5">
        <w:tab/>
      </w:r>
      <w:r w:rsidR="008019B3">
        <w:t xml:space="preserve">1. </w:t>
      </w:r>
      <w:r w:rsidR="00A357C8" w:rsidRPr="00E80DB5">
        <w:t>Es seien die Nettomietzinse von CHF 1'400.00 pro Quadratmeter</w:t>
      </w:r>
      <w:r w:rsidR="00CF7ACE" w:rsidRPr="00AB420B">
        <w:t xml:space="preserve"> und</w:t>
      </w:r>
      <w:r w:rsidR="00A357C8" w:rsidRPr="00D41E31">
        <w:t xml:space="preserve"> Jahr für die von der Bekla</w:t>
      </w:r>
      <w:r w:rsidR="00A357C8" w:rsidRPr="00185624">
        <w:t>g</w:t>
      </w:r>
      <w:r w:rsidR="00A357C8" w:rsidRPr="00A74099">
        <w:t xml:space="preserve">ten gemietete Ladenfläche </w:t>
      </w:r>
      <w:r w:rsidR="009E198B" w:rsidRPr="00EF7C69">
        <w:t xml:space="preserve">im Erdgeschoss </w:t>
      </w:r>
      <w:r w:rsidR="00A357C8" w:rsidRPr="00DF33A1">
        <w:t xml:space="preserve">sowie CHF 150.00 pro Quadratmeter </w:t>
      </w:r>
      <w:r w:rsidR="00CF7ACE" w:rsidRPr="00DF33A1">
        <w:t>und</w:t>
      </w:r>
      <w:r w:rsidR="00A357C8" w:rsidRPr="00DF33A1">
        <w:t xml:space="preserve"> Jahr für die L</w:t>
      </w:r>
      <w:r w:rsidR="00A357C8" w:rsidRPr="00DF33A1">
        <w:t>a</w:t>
      </w:r>
      <w:r w:rsidR="00A357C8" w:rsidRPr="00DF33A1">
        <w:t>gerfläche</w:t>
      </w:r>
      <w:r w:rsidR="009E198B" w:rsidRPr="00DF33A1">
        <w:t xml:space="preserve"> im Untergeschoss</w:t>
      </w:r>
      <w:r w:rsidR="00CF7ACE" w:rsidRPr="00DF33A1">
        <w:t>, insg</w:t>
      </w:r>
      <w:r w:rsidR="006D54B1" w:rsidRPr="00DF33A1">
        <w:t>esamt also ein Mietzins von CHF </w:t>
      </w:r>
      <w:r w:rsidR="00CF7ACE" w:rsidRPr="00DF33A1">
        <w:t xml:space="preserve">432'000.00 netto pro Jahr, </w:t>
      </w:r>
      <w:r w:rsidR="00A357C8" w:rsidRPr="00DF33A1">
        <w:t>als nicht missbräuchlich zu erklären;</w:t>
      </w:r>
    </w:p>
    <w:p w:rsidR="000B65FE" w:rsidRPr="00A74099" w:rsidRDefault="00B479A8" w:rsidP="00177658">
      <w:pPr>
        <w:pStyle w:val="Mustertextklein"/>
      </w:pPr>
      <w:r w:rsidRPr="00DF33A1">
        <w:tab/>
      </w:r>
      <w:r w:rsidR="008019B3">
        <w:t xml:space="preserve">2. </w:t>
      </w:r>
      <w:r w:rsidR="00CF7ACE" w:rsidRPr="00E80DB5">
        <w:t>a</w:t>
      </w:r>
      <w:r w:rsidR="000B65FE" w:rsidRPr="00E80DB5">
        <w:t xml:space="preserve">lles unter Kosten- und Entschädigungsfolgen zulasten der </w:t>
      </w:r>
      <w:r w:rsidR="00A357C8" w:rsidRPr="00AB420B">
        <w:t>Beklagten</w:t>
      </w:r>
      <w:r w:rsidR="000B65FE" w:rsidRPr="00D41E31">
        <w:t>.</w:t>
      </w:r>
    </w:p>
    <w:p w:rsidR="000B65FE" w:rsidRPr="008019B3" w:rsidRDefault="00CF7ACE" w:rsidP="00177658">
      <w:pPr>
        <w:pStyle w:val="Mustertextklein"/>
        <w:rPr>
          <w:rStyle w:val="kursivMuster"/>
          <w:b/>
          <w:i/>
          <w:sz w:val="16"/>
        </w:rPr>
      </w:pPr>
      <w:r w:rsidRPr="00EF7C69">
        <w:rPr>
          <w:rStyle w:val="fettMuster"/>
          <w:sz w:val="16"/>
        </w:rPr>
        <w:tab/>
      </w:r>
      <w:r w:rsidRPr="008019B3">
        <w:rPr>
          <w:rStyle w:val="kursiv"/>
          <w:rFonts w:asciiTheme="minorHAnsi" w:hAnsiTheme="minorHAnsi"/>
          <w:b/>
          <w:i/>
          <w:sz w:val="16"/>
        </w:rPr>
        <w:t xml:space="preserve">Bemerkung </w:t>
      </w:r>
      <w:r w:rsidR="009E198B" w:rsidRPr="008019B3">
        <w:rPr>
          <w:rStyle w:val="kursiv"/>
          <w:rFonts w:asciiTheme="minorHAnsi" w:hAnsiTheme="minorHAnsi"/>
          <w:b/>
          <w:i/>
          <w:sz w:val="16"/>
        </w:rPr>
        <w:t>2</w:t>
      </w:r>
      <w:r w:rsidRPr="008019B3">
        <w:rPr>
          <w:rStyle w:val="kursiv"/>
          <w:rFonts w:asciiTheme="minorHAnsi" w:hAnsiTheme="minorHAnsi"/>
          <w:b/>
          <w:i/>
          <w:sz w:val="16"/>
        </w:rPr>
        <w:t>:</w:t>
      </w:r>
      <w:r w:rsidRPr="008019B3">
        <w:rPr>
          <w:rStyle w:val="kursivMuster"/>
          <w:i/>
          <w:sz w:val="16"/>
        </w:rPr>
        <w:t xml:space="preserve"> In der Praxis werden auch Feststellungsklagen zugelassen, also Klagen mit folgendem Wortlaut:</w:t>
      </w:r>
    </w:p>
    <w:p w:rsidR="00CF7ACE" w:rsidRPr="00DF33A1" w:rsidRDefault="00E15002" w:rsidP="00177658">
      <w:pPr>
        <w:pStyle w:val="Mustertextklein"/>
      </w:pPr>
      <w:r w:rsidRPr="00E80DB5">
        <w:tab/>
      </w:r>
      <w:r w:rsidR="008019B3">
        <w:t xml:space="preserve">1. </w:t>
      </w:r>
      <w:r w:rsidR="00CF7ACE" w:rsidRPr="00E80DB5">
        <w:t>Es sei festzustellen, dass der Mietzins von CHF 432'000.00 netto pro Jahr für d</w:t>
      </w:r>
      <w:r w:rsidR="00E409B5" w:rsidRPr="00AB420B">
        <w:t>ie</w:t>
      </w:r>
      <w:r w:rsidR="00CF7ACE" w:rsidRPr="00D41E31">
        <w:t xml:space="preserve"> von der Bekla</w:t>
      </w:r>
      <w:r w:rsidR="00CF7ACE" w:rsidRPr="00185624">
        <w:t>g</w:t>
      </w:r>
      <w:r w:rsidR="00CF7ACE" w:rsidRPr="00A74099">
        <w:t>ten in der Liegenschaft Mustergasse 10, 8001 Zürich</w:t>
      </w:r>
      <w:r w:rsidR="00CB2E43" w:rsidRPr="00EF7C69">
        <w:t>, gemietete</w:t>
      </w:r>
      <w:r w:rsidR="00E409B5" w:rsidRPr="00DF33A1">
        <w:t>n Räume und Flächen</w:t>
      </w:r>
      <w:r w:rsidR="00CB2E43" w:rsidRPr="00DF33A1">
        <w:t>, nämlich CHF </w:t>
      </w:r>
      <w:r w:rsidR="00CF7ACE" w:rsidRPr="00DF33A1">
        <w:t>420'000.00 für das Ladenlokal im Erdgeschoss und CHF 12'000.00 für das Lager im Unterg</w:t>
      </w:r>
      <w:r w:rsidR="00CF7ACE" w:rsidRPr="00DF33A1">
        <w:t>e</w:t>
      </w:r>
      <w:r w:rsidR="00CF7ACE" w:rsidRPr="00DF33A1">
        <w:t xml:space="preserve">schoss, nicht missbräuchlich ist, </w:t>
      </w:r>
    </w:p>
    <w:p w:rsidR="00CF7ACE" w:rsidRPr="00EF7C69" w:rsidRDefault="00E15002" w:rsidP="00177658">
      <w:pPr>
        <w:pStyle w:val="Mustertextklein"/>
        <w:rPr>
          <w:rStyle w:val="fettMuster"/>
          <w:b w:val="0"/>
          <w:sz w:val="16"/>
        </w:rPr>
      </w:pPr>
      <w:r w:rsidRPr="00DF33A1">
        <w:rPr>
          <w:rStyle w:val="fettMuster"/>
          <w:b w:val="0"/>
          <w:sz w:val="16"/>
        </w:rPr>
        <w:tab/>
      </w:r>
      <w:r w:rsidR="008019B3">
        <w:rPr>
          <w:rStyle w:val="fettMuster"/>
          <w:b w:val="0"/>
          <w:sz w:val="16"/>
        </w:rPr>
        <w:t xml:space="preserve">2. </w:t>
      </w:r>
      <w:r w:rsidR="00CF7ACE" w:rsidRPr="00E80DB5">
        <w:rPr>
          <w:rStyle w:val="fettMuster"/>
          <w:b w:val="0"/>
          <w:sz w:val="16"/>
        </w:rPr>
        <w:t>unter Kosten- und Entschädigungsfo</w:t>
      </w:r>
      <w:r w:rsidR="009E198B" w:rsidRPr="00AB420B">
        <w:rPr>
          <w:rStyle w:val="fettMuster"/>
          <w:b w:val="0"/>
          <w:sz w:val="16"/>
        </w:rPr>
        <w:t>l</w:t>
      </w:r>
      <w:r w:rsidR="00DB744E" w:rsidRPr="00D41E31">
        <w:rPr>
          <w:rStyle w:val="fettMuster"/>
          <w:b w:val="0"/>
          <w:sz w:val="16"/>
        </w:rPr>
        <w:t>gen</w:t>
      </w:r>
      <w:r w:rsidR="00CF7ACE" w:rsidRPr="00185624">
        <w:rPr>
          <w:rStyle w:val="fettMuster"/>
          <w:b w:val="0"/>
          <w:sz w:val="16"/>
        </w:rPr>
        <w:t xml:space="preserve"> zu Lasten der Beklagten.</w:t>
      </w:r>
    </w:p>
    <w:p w:rsidR="00CF7ACE" w:rsidRPr="008C6E85" w:rsidRDefault="00D40191" w:rsidP="00177658">
      <w:pPr>
        <w:pStyle w:val="Mustertextklein"/>
      </w:pPr>
      <w:r w:rsidRPr="00DF33A1">
        <w:rPr>
          <w:rStyle w:val="fettMuster"/>
          <w:i w:val="0"/>
          <w:sz w:val="16"/>
        </w:rPr>
        <w:tab/>
      </w:r>
      <w:r w:rsidRPr="008019B3">
        <w:rPr>
          <w:rStyle w:val="kursiv"/>
          <w:rFonts w:asciiTheme="minorHAnsi" w:hAnsiTheme="minorHAnsi"/>
          <w:b/>
          <w:sz w:val="16"/>
        </w:rPr>
        <w:t>Bemerkung 3:</w:t>
      </w:r>
      <w:r w:rsidRPr="008019B3">
        <w:rPr>
          <w:rStyle w:val="kursivMuster"/>
          <w:sz w:val="16"/>
        </w:rPr>
        <w:t xml:space="preserve"> </w:t>
      </w:r>
      <w:r w:rsidR="00BD1653" w:rsidRPr="008019B3">
        <w:rPr>
          <w:rStyle w:val="kursivMuster"/>
          <w:sz w:val="16"/>
        </w:rPr>
        <w:t xml:space="preserve">Die Forderung von Kosten- und Entschädigungsfolgen zuzüglich (8%) Mehrwertsteuer ist in </w:t>
      </w:r>
      <w:r w:rsidR="00BD0312" w:rsidRPr="008019B3">
        <w:rPr>
          <w:rStyle w:val="kursivMuster"/>
          <w:sz w:val="16"/>
        </w:rPr>
        <w:t>ein</w:t>
      </w:r>
      <w:r w:rsidR="00BD1653" w:rsidRPr="008019B3">
        <w:rPr>
          <w:rStyle w:val="kursivMuster"/>
          <w:sz w:val="16"/>
        </w:rPr>
        <w:t xml:space="preserve">er Konstellation mit zwei Gesellschaften </w:t>
      </w:r>
      <w:r w:rsidR="00BD0312" w:rsidRPr="008019B3">
        <w:rPr>
          <w:rStyle w:val="kursivMuster"/>
          <w:sz w:val="16"/>
        </w:rPr>
        <w:t xml:space="preserve">(jur. Personen) </w:t>
      </w:r>
      <w:r w:rsidR="00BD1653" w:rsidRPr="008019B3">
        <w:rPr>
          <w:rStyle w:val="kursivMuster"/>
          <w:sz w:val="16"/>
        </w:rPr>
        <w:t xml:space="preserve">als Prozessbeteiligte nicht möglich, da </w:t>
      </w:r>
      <w:r w:rsidR="00BD0312" w:rsidRPr="008019B3">
        <w:rPr>
          <w:rStyle w:val="kursivMuster"/>
          <w:sz w:val="16"/>
        </w:rPr>
        <w:t>diese die Mehrwertsteuer bei der Vorsteuer in Anschlag bringen können. Dementsprechend h</w:t>
      </w:r>
      <w:r w:rsidR="00BD0312" w:rsidRPr="008019B3">
        <w:rPr>
          <w:rStyle w:val="kursivMuster"/>
          <w:sz w:val="16"/>
        </w:rPr>
        <w:t>a</w:t>
      </w:r>
      <w:r w:rsidR="00BD0312" w:rsidRPr="008019B3">
        <w:rPr>
          <w:rStyle w:val="kursivMuster"/>
          <w:sz w:val="16"/>
        </w:rPr>
        <w:t>ben lediglich private,</w:t>
      </w:r>
      <w:r w:rsidR="00BD1653" w:rsidRPr="008019B3">
        <w:rPr>
          <w:rStyle w:val="kursivMuster"/>
          <w:sz w:val="16"/>
        </w:rPr>
        <w:t xml:space="preserve"> nicht mehrwertsteuerpflichtige Perso</w:t>
      </w:r>
      <w:r w:rsidR="00BD0312" w:rsidRPr="008019B3">
        <w:rPr>
          <w:rStyle w:val="kursivMuster"/>
          <w:sz w:val="16"/>
        </w:rPr>
        <w:t>nen An</w:t>
      </w:r>
      <w:r w:rsidR="00BD1653" w:rsidRPr="008019B3">
        <w:rPr>
          <w:rStyle w:val="kursivMuster"/>
          <w:sz w:val="16"/>
        </w:rPr>
        <w:t>spruch auf eine Entschädi</w:t>
      </w:r>
      <w:r w:rsidR="00BD0312" w:rsidRPr="008019B3">
        <w:rPr>
          <w:rStyle w:val="kursivMuster"/>
          <w:sz w:val="16"/>
        </w:rPr>
        <w:t>gung inkl. MwSt</w:t>
      </w:r>
      <w:r w:rsidR="00BD1653" w:rsidRPr="008019B3">
        <w:rPr>
          <w:rStyle w:val="kursivMuster"/>
          <w:sz w:val="16"/>
        </w:rPr>
        <w:t>.</w:t>
      </w:r>
      <w:r w:rsidR="00BD0312" w:rsidRPr="008019B3">
        <w:rPr>
          <w:rStyle w:val="kursivMuster"/>
          <w:sz w:val="16"/>
        </w:rPr>
        <w:t xml:space="preserve"> (vgl. </w:t>
      </w:r>
      <w:r w:rsidR="00BD0312" w:rsidRPr="00E80DB5">
        <w:rPr>
          <w:rStyle w:val="kursivMuster"/>
          <w:sz w:val="16"/>
        </w:rPr>
        <w:t xml:space="preserve">Kreisschreiben </w:t>
      </w:r>
      <w:r w:rsidR="00E80DB5" w:rsidRPr="00DF33A1">
        <w:rPr>
          <w:rStyle w:val="kursivMuster"/>
          <w:sz w:val="16"/>
        </w:rPr>
        <w:t>MwSt.</w:t>
      </w:r>
      <w:r w:rsidR="00BD0312" w:rsidRPr="00E80DB5">
        <w:rPr>
          <w:rStyle w:val="kursivMuster"/>
          <w:sz w:val="16"/>
        </w:rPr>
        <w:t>, Ziff. 2.1.1</w:t>
      </w:r>
      <w:r w:rsidR="00BD0312" w:rsidRPr="008019B3">
        <w:rPr>
          <w:rStyle w:val="kursivMuster"/>
          <w:sz w:val="16"/>
        </w:rPr>
        <w:t>).</w:t>
      </w:r>
    </w:p>
    <w:p w:rsidR="00A74099" w:rsidRDefault="00A74099" w:rsidP="007A1FBC">
      <w:pPr>
        <w:pStyle w:val="Mustertext"/>
        <w:rPr>
          <w:rStyle w:val="fettMuster"/>
          <w:caps/>
        </w:rPr>
      </w:pPr>
    </w:p>
    <w:p w:rsidR="000B65FE" w:rsidRPr="00DF33A1" w:rsidRDefault="000B65FE" w:rsidP="007A1FBC">
      <w:pPr>
        <w:pStyle w:val="Mustertext"/>
        <w:rPr>
          <w:rStyle w:val="fettMuster"/>
          <w:caps/>
        </w:rPr>
      </w:pPr>
      <w:r w:rsidRPr="00DF33A1">
        <w:rPr>
          <w:rStyle w:val="fettMuster"/>
          <w:caps/>
        </w:rPr>
        <w:t>Begründung</w:t>
      </w:r>
    </w:p>
    <w:p w:rsidR="00A357C8" w:rsidRPr="00A74099" w:rsidRDefault="00A357C8" w:rsidP="00DF33A1">
      <w:pPr>
        <w:pStyle w:val="MustertextTitelEbene1"/>
        <w:rPr>
          <w:rStyle w:val="fettMuster"/>
        </w:rPr>
      </w:pPr>
      <w:r w:rsidRPr="00A74099">
        <w:rPr>
          <w:rStyle w:val="fettMuster"/>
          <w:b/>
        </w:rPr>
        <w:t>I.</w:t>
      </w:r>
      <w:r w:rsidRPr="00A74099">
        <w:rPr>
          <w:rStyle w:val="fettMuster"/>
          <w:b/>
        </w:rPr>
        <w:tab/>
        <w:t>Formelles</w:t>
      </w:r>
    </w:p>
    <w:p w:rsidR="000B65FE" w:rsidRPr="008019B3" w:rsidRDefault="000B65FE" w:rsidP="00DF33A1">
      <w:pPr>
        <w:pStyle w:val="MustertextListe0"/>
        <w:numPr>
          <w:ilvl w:val="1"/>
          <w:numId w:val="49"/>
        </w:numPr>
      </w:pPr>
      <w:r w:rsidRPr="008019B3">
        <w:t>D</w:t>
      </w:r>
      <w:r w:rsidR="00A357C8" w:rsidRPr="008019B3">
        <w:t>ie</w:t>
      </w:r>
      <w:r w:rsidRPr="008019B3">
        <w:t xml:space="preserve"> Unterzeichne</w:t>
      </w:r>
      <w:r w:rsidR="00A357C8" w:rsidRPr="008019B3">
        <w:t>nd</w:t>
      </w:r>
      <w:r w:rsidRPr="008019B3">
        <w:t>e ist gehörig bevollmächtigt.</w:t>
      </w:r>
    </w:p>
    <w:p w:rsidR="000B65FE" w:rsidRPr="00EF6BDE" w:rsidRDefault="000B65FE" w:rsidP="00DF33A1">
      <w:pPr>
        <w:pStyle w:val="MustertextBO"/>
        <w:rPr>
          <w:rStyle w:val="fettMuster"/>
          <w:b w:val="0"/>
        </w:rPr>
      </w:pPr>
      <w:r w:rsidRPr="0011500B">
        <w:tab/>
      </w:r>
      <w:r w:rsidRPr="00EF6BDE">
        <w:rPr>
          <w:rStyle w:val="fettMuster"/>
        </w:rPr>
        <w:t>BO:</w:t>
      </w:r>
      <w:r w:rsidRPr="00EF6BDE">
        <w:t xml:space="preserve"> </w:t>
      </w:r>
      <w:r w:rsidR="00A357C8" w:rsidRPr="00EF6BDE">
        <w:t>Anwaltsv</w:t>
      </w:r>
      <w:r w:rsidRPr="00EF6BDE">
        <w:t xml:space="preserve">ollmacht vom </w:t>
      </w:r>
      <w:r w:rsidR="00A357C8" w:rsidRPr="00EF6BDE">
        <w:t>02.05.2015</w:t>
      </w:r>
      <w:r w:rsidRPr="00EF6BDE">
        <w:tab/>
      </w:r>
      <w:r w:rsidR="00DA6037" w:rsidRPr="00EF6BDE">
        <w:tab/>
      </w:r>
      <w:r w:rsidR="00DA6037" w:rsidRPr="00EF6BDE">
        <w:tab/>
      </w:r>
      <w:r w:rsidR="00DA6037" w:rsidRPr="00EF6BDE">
        <w:tab/>
      </w:r>
      <w:r w:rsidR="006B6B12" w:rsidRPr="00EF6BDE">
        <w:tab/>
      </w:r>
      <w:r w:rsidR="007E1A3F" w:rsidRPr="00EF6BDE">
        <w:rPr>
          <w:rStyle w:val="fettMuster"/>
        </w:rPr>
        <w:t>Beilage I</w:t>
      </w:r>
    </w:p>
    <w:p w:rsidR="00A357C8" w:rsidRPr="0011500B" w:rsidRDefault="00A357C8">
      <w:pPr>
        <w:pStyle w:val="MustertextListe0"/>
      </w:pPr>
      <w:r w:rsidRPr="0011500B">
        <w:t xml:space="preserve">Das Begehren bezieht sich auf ein Mietverhältnis in 8001 Zürich. Die </w:t>
      </w:r>
      <w:r w:rsidRPr="0011500B">
        <w:rPr>
          <w:b/>
        </w:rPr>
        <w:t>örtliche Zuständigkeit</w:t>
      </w:r>
      <w:r w:rsidRPr="0011500B">
        <w:t xml:space="preserve"> der Gerichte in Zürich ist deshalb gestützt auf Art. 33 ZPO gegeben. </w:t>
      </w:r>
    </w:p>
    <w:p w:rsidR="000B65FE" w:rsidRPr="0011500B" w:rsidRDefault="00A357C8">
      <w:pPr>
        <w:pStyle w:val="MustertextListe0"/>
      </w:pPr>
      <w:r w:rsidRPr="0011500B">
        <w:t xml:space="preserve">Bei der Anfechtung von Mietzinserhöhungen bemisst sich der </w:t>
      </w:r>
      <w:r w:rsidRPr="0011500B">
        <w:rPr>
          <w:b/>
        </w:rPr>
        <w:t>Streitwert</w:t>
      </w:r>
      <w:r w:rsidRPr="0011500B">
        <w:t xml:space="preserve"> nach der zwanzi</w:t>
      </w:r>
      <w:r w:rsidRPr="0011500B">
        <w:t>g</w:t>
      </w:r>
      <w:r w:rsidRPr="0011500B">
        <w:t xml:space="preserve">fachen jährlichen Mietzinsdifferenz zwischen den (zuletzt </w:t>
      </w:r>
      <w:r w:rsidR="009E198B" w:rsidRPr="0011500B">
        <w:t>vor der Schlichtungsbehörde stri</w:t>
      </w:r>
      <w:r w:rsidR="009E198B" w:rsidRPr="0011500B">
        <w:t>t</w:t>
      </w:r>
      <w:r w:rsidR="009E198B" w:rsidRPr="0011500B">
        <w:t>tig</w:t>
      </w:r>
      <w:r w:rsidR="00565234" w:rsidRPr="0011500B">
        <w:t xml:space="preserve"> geblieben</w:t>
      </w:r>
      <w:r w:rsidR="009E198B" w:rsidRPr="0011500B">
        <w:t>en</w:t>
      </w:r>
      <w:r w:rsidRPr="0011500B">
        <w:t>) Anträge</w:t>
      </w:r>
      <w:r w:rsidR="009E198B" w:rsidRPr="0011500B">
        <w:t>n</w:t>
      </w:r>
      <w:r w:rsidRPr="0011500B">
        <w:t xml:space="preserve"> der Mieterin und der Vermieterin (vgl. Art. 92 Abs. 2 ZPO</w:t>
      </w:r>
      <w:r w:rsidR="0049714D" w:rsidRPr="0011500B">
        <w:t xml:space="preserve">; </w:t>
      </w:r>
      <w:r w:rsidR="002748E8">
        <w:t>BSK</w:t>
      </w:r>
      <w:r w:rsidR="002748E8">
        <w:noBreakHyphen/>
      </w:r>
      <w:r w:rsidR="0049714D" w:rsidRPr="0011500B">
        <w:t>ZPO-</w:t>
      </w:r>
      <w:r w:rsidR="00A50DC3" w:rsidRPr="0011500B">
        <w:rPr>
          <w:smallCaps/>
        </w:rPr>
        <w:t>Sterchi,</w:t>
      </w:r>
      <w:r w:rsidR="00A50DC3" w:rsidRPr="0011500B">
        <w:t xml:space="preserve"> Art. 92 N 5e</w:t>
      </w:r>
      <w:r w:rsidRPr="0011500B">
        <w:t>).</w:t>
      </w:r>
    </w:p>
    <w:p w:rsidR="00C64ACA" w:rsidRPr="00DF33A1" w:rsidRDefault="000B65FE" w:rsidP="00177658">
      <w:pPr>
        <w:pStyle w:val="Mustertextklein"/>
        <w:rPr>
          <w:rStyle w:val="kursiv"/>
          <w:rFonts w:ascii="Calibri" w:hAnsi="Calibri"/>
          <w:sz w:val="16"/>
        </w:rPr>
      </w:pPr>
      <w:r w:rsidRPr="00DF33A1">
        <w:rPr>
          <w:b/>
        </w:rPr>
        <w:tab/>
      </w:r>
      <w:r w:rsidRPr="00DF33A1">
        <w:rPr>
          <w:rStyle w:val="kursiv"/>
          <w:rFonts w:ascii="Calibri" w:hAnsi="Calibri"/>
          <w:b/>
          <w:i/>
          <w:sz w:val="16"/>
        </w:rPr>
        <w:t xml:space="preserve">Bemerkung </w:t>
      </w:r>
      <w:r w:rsidR="00D40191" w:rsidRPr="00DF33A1">
        <w:rPr>
          <w:rStyle w:val="kursiv"/>
          <w:rFonts w:ascii="Calibri" w:hAnsi="Calibri"/>
          <w:b/>
          <w:i/>
          <w:sz w:val="16"/>
        </w:rPr>
        <w:t>4</w:t>
      </w:r>
      <w:r w:rsidRPr="00DF33A1">
        <w:rPr>
          <w:rStyle w:val="kursiv"/>
          <w:rFonts w:ascii="Calibri" w:hAnsi="Calibri"/>
          <w:b/>
          <w:i/>
          <w:sz w:val="16"/>
        </w:rPr>
        <w:t>:</w:t>
      </w:r>
      <w:r w:rsidRPr="00DF33A1">
        <w:rPr>
          <w:rStyle w:val="kursiv"/>
          <w:rFonts w:ascii="Calibri" w:hAnsi="Calibri"/>
          <w:i/>
          <w:sz w:val="16"/>
        </w:rPr>
        <w:t xml:space="preserve"> </w:t>
      </w:r>
      <w:r w:rsidR="00F16A34" w:rsidRPr="00DF33A1">
        <w:rPr>
          <w:rStyle w:val="kursiv"/>
          <w:rFonts w:ascii="Calibri" w:hAnsi="Calibri"/>
          <w:i/>
          <w:sz w:val="16"/>
        </w:rPr>
        <w:t xml:space="preserve">Bei befristeten Mietverträgen ist die </w:t>
      </w:r>
      <w:r w:rsidR="009E198B" w:rsidRPr="00DF33A1">
        <w:rPr>
          <w:rStyle w:val="kursiv"/>
          <w:rFonts w:ascii="Calibri" w:hAnsi="Calibri"/>
          <w:i/>
          <w:sz w:val="16"/>
        </w:rPr>
        <w:t>(zuletzt strittig</w:t>
      </w:r>
      <w:r w:rsidR="00565234" w:rsidRPr="00DF33A1">
        <w:rPr>
          <w:rStyle w:val="kursiv"/>
          <w:rFonts w:ascii="Calibri" w:hAnsi="Calibri"/>
          <w:i/>
          <w:sz w:val="16"/>
        </w:rPr>
        <w:t xml:space="preserve"> geblieben</w:t>
      </w:r>
      <w:r w:rsidR="009E198B" w:rsidRPr="00DF33A1">
        <w:rPr>
          <w:rStyle w:val="kursiv"/>
          <w:rFonts w:ascii="Calibri" w:hAnsi="Calibri"/>
          <w:i/>
          <w:sz w:val="16"/>
        </w:rPr>
        <w:t xml:space="preserve">e) </w:t>
      </w:r>
      <w:r w:rsidR="00F16A34" w:rsidRPr="00DF33A1">
        <w:rPr>
          <w:rStyle w:val="kursiv"/>
          <w:rFonts w:ascii="Calibri" w:hAnsi="Calibri"/>
          <w:i/>
          <w:sz w:val="16"/>
        </w:rPr>
        <w:t>jährliche Mietzinsdi</w:t>
      </w:r>
      <w:r w:rsidR="00F16A34" w:rsidRPr="00DF33A1">
        <w:rPr>
          <w:rStyle w:val="kursiv"/>
          <w:rFonts w:ascii="Calibri" w:hAnsi="Calibri"/>
          <w:i/>
          <w:sz w:val="16"/>
        </w:rPr>
        <w:t>f</w:t>
      </w:r>
      <w:r w:rsidR="00F16A34" w:rsidRPr="00DF33A1">
        <w:rPr>
          <w:rStyle w:val="kursiv"/>
          <w:rFonts w:ascii="Calibri" w:hAnsi="Calibri"/>
          <w:i/>
          <w:sz w:val="16"/>
        </w:rPr>
        <w:t>ferenz mit der restlichen Laufdauer des Vertrages zu multiplizieren.</w:t>
      </w:r>
      <w:r w:rsidR="00B94033" w:rsidRPr="00DF33A1">
        <w:rPr>
          <w:rStyle w:val="kursiv"/>
          <w:rFonts w:ascii="Calibri" w:hAnsi="Calibri"/>
          <w:i/>
          <w:sz w:val="16"/>
        </w:rPr>
        <w:t xml:space="preserve"> </w:t>
      </w:r>
      <w:r w:rsidR="00565234" w:rsidRPr="00DF33A1">
        <w:rPr>
          <w:rStyle w:val="kursiv"/>
          <w:rFonts w:ascii="Calibri" w:hAnsi="Calibri"/>
          <w:i/>
          <w:sz w:val="16"/>
        </w:rPr>
        <w:t>Zumindest in beschränktem U</w:t>
      </w:r>
      <w:r w:rsidR="00565234" w:rsidRPr="00DF33A1">
        <w:rPr>
          <w:rStyle w:val="kursiv"/>
          <w:rFonts w:ascii="Calibri" w:hAnsi="Calibri"/>
          <w:i/>
          <w:sz w:val="16"/>
        </w:rPr>
        <w:t>m</w:t>
      </w:r>
      <w:r w:rsidR="00565234" w:rsidRPr="00DF33A1">
        <w:rPr>
          <w:rStyle w:val="kursiv"/>
          <w:rFonts w:ascii="Calibri" w:hAnsi="Calibri"/>
          <w:i/>
          <w:sz w:val="16"/>
        </w:rPr>
        <w:t>fang können d</w:t>
      </w:r>
      <w:r w:rsidR="009E198B" w:rsidRPr="00DF33A1">
        <w:rPr>
          <w:rStyle w:val="kursiv"/>
          <w:rFonts w:ascii="Calibri" w:hAnsi="Calibri"/>
          <w:i/>
          <w:sz w:val="16"/>
        </w:rPr>
        <w:t xml:space="preserve">ie Parteien </w:t>
      </w:r>
      <w:r w:rsidR="00565234" w:rsidRPr="00DF33A1">
        <w:rPr>
          <w:rStyle w:val="kursiv"/>
          <w:rFonts w:ascii="Calibri" w:hAnsi="Calibri"/>
          <w:i/>
          <w:sz w:val="16"/>
        </w:rPr>
        <w:t>damit die Höhe des</w:t>
      </w:r>
      <w:r w:rsidR="009E198B" w:rsidRPr="00DF33A1">
        <w:rPr>
          <w:rStyle w:val="kursiv"/>
          <w:rFonts w:ascii="Calibri" w:hAnsi="Calibri"/>
          <w:i/>
          <w:sz w:val="16"/>
        </w:rPr>
        <w:t xml:space="preserve"> Streitwert</w:t>
      </w:r>
      <w:r w:rsidR="00565234" w:rsidRPr="00DF33A1">
        <w:rPr>
          <w:rStyle w:val="kursiv"/>
          <w:rFonts w:ascii="Calibri" w:hAnsi="Calibri"/>
          <w:i/>
          <w:sz w:val="16"/>
        </w:rPr>
        <w:t>es</w:t>
      </w:r>
      <w:r w:rsidR="000A5D86" w:rsidRPr="00DF33A1">
        <w:rPr>
          <w:rStyle w:val="kursiv"/>
          <w:rFonts w:ascii="Calibri" w:hAnsi="Calibri"/>
          <w:i/>
          <w:sz w:val="16"/>
        </w:rPr>
        <w:t xml:space="preserve"> mitbestimmen:</w:t>
      </w:r>
      <w:r w:rsidR="0049714D" w:rsidRPr="00DF33A1">
        <w:rPr>
          <w:rStyle w:val="kursiv"/>
          <w:rFonts w:ascii="Calibri" w:hAnsi="Calibri"/>
          <w:i/>
          <w:sz w:val="16"/>
        </w:rPr>
        <w:t xml:space="preserve"> Streitwert </w:t>
      </w:r>
      <w:r w:rsidR="005623B8" w:rsidRPr="00DF33A1">
        <w:rPr>
          <w:rStyle w:val="kursiv"/>
          <w:rFonts w:ascii="Calibri" w:hAnsi="Calibri"/>
          <w:i/>
          <w:sz w:val="16"/>
        </w:rPr>
        <w:t>und Prozessris</w:t>
      </w:r>
      <w:r w:rsidR="005623B8" w:rsidRPr="00DF33A1">
        <w:rPr>
          <w:rStyle w:val="kursiv"/>
          <w:rFonts w:ascii="Calibri" w:hAnsi="Calibri"/>
          <w:i/>
          <w:sz w:val="16"/>
        </w:rPr>
        <w:t>i</w:t>
      </w:r>
      <w:r w:rsidR="005623B8" w:rsidRPr="00DF33A1">
        <w:rPr>
          <w:rStyle w:val="kursiv"/>
          <w:rFonts w:ascii="Calibri" w:hAnsi="Calibri"/>
          <w:i/>
          <w:sz w:val="16"/>
        </w:rPr>
        <w:t>ko</w:t>
      </w:r>
      <w:r w:rsidR="000A5D86" w:rsidRPr="00DF33A1">
        <w:rPr>
          <w:rStyle w:val="kursiv"/>
          <w:rFonts w:ascii="Calibri" w:hAnsi="Calibri"/>
          <w:i/>
          <w:sz w:val="16"/>
        </w:rPr>
        <w:t xml:space="preserve"> können dadurch</w:t>
      </w:r>
      <w:r w:rsidR="005623B8" w:rsidRPr="00DF33A1">
        <w:rPr>
          <w:rStyle w:val="kursiv"/>
          <w:rFonts w:ascii="Calibri" w:hAnsi="Calibri"/>
          <w:i/>
          <w:sz w:val="16"/>
        </w:rPr>
        <w:t xml:space="preserve"> </w:t>
      </w:r>
      <w:r w:rsidR="0049714D" w:rsidRPr="00DF33A1">
        <w:rPr>
          <w:rStyle w:val="kursiv"/>
          <w:rFonts w:ascii="Calibri" w:hAnsi="Calibri"/>
          <w:i/>
          <w:sz w:val="16"/>
        </w:rPr>
        <w:t>reduzier</w:t>
      </w:r>
      <w:r w:rsidR="000A5D86" w:rsidRPr="00DF33A1">
        <w:rPr>
          <w:rStyle w:val="kursiv"/>
          <w:rFonts w:ascii="Calibri" w:hAnsi="Calibri"/>
          <w:i/>
          <w:sz w:val="16"/>
        </w:rPr>
        <w:t>t werde</w:t>
      </w:r>
      <w:r w:rsidR="0049714D" w:rsidRPr="00DF33A1">
        <w:rPr>
          <w:rStyle w:val="kursiv"/>
          <w:rFonts w:ascii="Calibri" w:hAnsi="Calibri"/>
          <w:i/>
          <w:sz w:val="16"/>
        </w:rPr>
        <w:t>n</w:t>
      </w:r>
      <w:r w:rsidR="009E198B" w:rsidRPr="00DF33A1">
        <w:rPr>
          <w:rStyle w:val="kursiv"/>
          <w:rFonts w:ascii="Calibri" w:hAnsi="Calibri"/>
          <w:i/>
          <w:sz w:val="16"/>
        </w:rPr>
        <w:t xml:space="preserve">, </w:t>
      </w:r>
      <w:r w:rsidR="000A5D86" w:rsidRPr="00DF33A1">
        <w:rPr>
          <w:rStyle w:val="kursiv"/>
          <w:rFonts w:ascii="Calibri" w:hAnsi="Calibri"/>
          <w:i/>
          <w:sz w:val="16"/>
        </w:rPr>
        <w:t>dass</w:t>
      </w:r>
      <w:r w:rsidR="009E198B" w:rsidRPr="00DF33A1">
        <w:rPr>
          <w:rStyle w:val="kursiv"/>
          <w:rFonts w:ascii="Calibri" w:hAnsi="Calibri"/>
          <w:i/>
          <w:sz w:val="16"/>
        </w:rPr>
        <w:t xml:space="preserve"> </w:t>
      </w:r>
      <w:r w:rsidR="0049714D" w:rsidRPr="00DF33A1">
        <w:rPr>
          <w:rStyle w:val="kursiv"/>
          <w:rFonts w:ascii="Calibri" w:hAnsi="Calibri"/>
          <w:i/>
          <w:sz w:val="16"/>
        </w:rPr>
        <w:t xml:space="preserve">ein Teil der </w:t>
      </w:r>
      <w:r w:rsidR="00E409B5" w:rsidRPr="00DF33A1">
        <w:rPr>
          <w:rStyle w:val="kursiv"/>
          <w:rFonts w:ascii="Calibri" w:hAnsi="Calibri"/>
          <w:i/>
          <w:sz w:val="16"/>
        </w:rPr>
        <w:t xml:space="preserve">strittigen Mietzinserhöhung </w:t>
      </w:r>
      <w:r w:rsidR="0049714D" w:rsidRPr="00DF33A1">
        <w:rPr>
          <w:rStyle w:val="kursiv"/>
          <w:rFonts w:ascii="Calibri" w:hAnsi="Calibri"/>
          <w:i/>
          <w:sz w:val="16"/>
        </w:rPr>
        <w:t>am Schluss des Schlichtungsverfahrens aner</w:t>
      </w:r>
      <w:r w:rsidR="000A5D86" w:rsidRPr="00DF33A1">
        <w:rPr>
          <w:rStyle w:val="kursiv"/>
          <w:rFonts w:ascii="Calibri" w:hAnsi="Calibri"/>
          <w:i/>
          <w:sz w:val="16"/>
        </w:rPr>
        <w:t>kannt wird</w:t>
      </w:r>
      <w:r w:rsidR="0049714D" w:rsidRPr="00DF33A1">
        <w:rPr>
          <w:rStyle w:val="kursiv"/>
          <w:rFonts w:ascii="Calibri" w:hAnsi="Calibri"/>
          <w:i/>
          <w:sz w:val="16"/>
        </w:rPr>
        <w:t xml:space="preserve">. </w:t>
      </w:r>
      <w:r w:rsidR="00565234" w:rsidRPr="00DF33A1">
        <w:rPr>
          <w:rStyle w:val="kursiv"/>
          <w:rFonts w:ascii="Calibri" w:hAnsi="Calibri"/>
          <w:i/>
          <w:sz w:val="16"/>
        </w:rPr>
        <w:t>Der</w:t>
      </w:r>
      <w:r w:rsidR="0049714D" w:rsidRPr="00DF33A1">
        <w:rPr>
          <w:rStyle w:val="kursiv"/>
          <w:rFonts w:ascii="Calibri" w:hAnsi="Calibri"/>
          <w:i/>
          <w:sz w:val="16"/>
        </w:rPr>
        <w:t xml:space="preserve"> </w:t>
      </w:r>
      <w:r w:rsidR="00565234" w:rsidRPr="00DF33A1">
        <w:rPr>
          <w:rStyle w:val="kursiv"/>
          <w:rFonts w:ascii="Calibri" w:hAnsi="Calibri"/>
          <w:i/>
          <w:sz w:val="16"/>
        </w:rPr>
        <w:t xml:space="preserve">noch </w:t>
      </w:r>
      <w:r w:rsidR="0049714D" w:rsidRPr="00DF33A1">
        <w:rPr>
          <w:rStyle w:val="kursiv"/>
          <w:rFonts w:ascii="Calibri" w:hAnsi="Calibri"/>
          <w:i/>
          <w:sz w:val="16"/>
        </w:rPr>
        <w:t>stritti</w:t>
      </w:r>
      <w:r w:rsidR="00565234" w:rsidRPr="00DF33A1">
        <w:rPr>
          <w:rStyle w:val="kursiv"/>
          <w:rFonts w:ascii="Calibri" w:hAnsi="Calibri"/>
          <w:i/>
          <w:sz w:val="16"/>
        </w:rPr>
        <w:t>ge</w:t>
      </w:r>
      <w:r w:rsidR="0049714D" w:rsidRPr="00DF33A1">
        <w:rPr>
          <w:rStyle w:val="kursiv"/>
          <w:rFonts w:ascii="Calibri" w:hAnsi="Calibri"/>
          <w:i/>
          <w:sz w:val="16"/>
        </w:rPr>
        <w:t xml:space="preserve"> Differenzbetrag </w:t>
      </w:r>
      <w:r w:rsidR="00F177ED" w:rsidRPr="00DF33A1">
        <w:rPr>
          <w:rStyle w:val="kursiv"/>
          <w:rFonts w:ascii="Calibri" w:hAnsi="Calibri"/>
          <w:i/>
          <w:sz w:val="16"/>
        </w:rPr>
        <w:t>– sowie der daraus resu</w:t>
      </w:r>
      <w:r w:rsidR="00F177ED" w:rsidRPr="00DF33A1">
        <w:rPr>
          <w:rStyle w:val="kursiv"/>
          <w:rFonts w:ascii="Calibri" w:hAnsi="Calibri"/>
          <w:i/>
          <w:sz w:val="16"/>
        </w:rPr>
        <w:t>l</w:t>
      </w:r>
      <w:r w:rsidR="00F177ED" w:rsidRPr="00DF33A1">
        <w:rPr>
          <w:rStyle w:val="kursiv"/>
          <w:rFonts w:ascii="Calibri" w:hAnsi="Calibri"/>
          <w:i/>
          <w:sz w:val="16"/>
        </w:rPr>
        <w:t xml:space="preserve">tierende Streitwert – wird aus der </w:t>
      </w:r>
      <w:r w:rsidR="0049714D" w:rsidRPr="00DF33A1">
        <w:rPr>
          <w:rStyle w:val="kursiv"/>
          <w:rFonts w:ascii="Calibri" w:hAnsi="Calibri"/>
          <w:i/>
          <w:sz w:val="16"/>
        </w:rPr>
        <w:t>Klagebewilli</w:t>
      </w:r>
      <w:r w:rsidR="00F177ED" w:rsidRPr="00DF33A1">
        <w:rPr>
          <w:rStyle w:val="kursiv"/>
          <w:rFonts w:ascii="Calibri" w:hAnsi="Calibri"/>
          <w:i/>
          <w:sz w:val="16"/>
        </w:rPr>
        <w:t>gung ersichtlich</w:t>
      </w:r>
      <w:r w:rsidR="0049714D" w:rsidRPr="00DF33A1">
        <w:rPr>
          <w:rStyle w:val="kursiv"/>
          <w:rFonts w:ascii="Calibri" w:hAnsi="Calibri"/>
          <w:i/>
          <w:sz w:val="16"/>
        </w:rPr>
        <w:t xml:space="preserve">. </w:t>
      </w:r>
    </w:p>
    <w:p w:rsidR="000B65FE" w:rsidRDefault="00F16A34">
      <w:pPr>
        <w:pStyle w:val="MustertextListe0"/>
      </w:pPr>
      <w:r w:rsidRPr="00F16A34">
        <w:lastRenderedPageBreak/>
        <w:t>Die angezeigte Mietzinserhöhung für die Ladenfläche beläuft sich auf CHF 600.00 pro Qua</w:t>
      </w:r>
      <w:r w:rsidRPr="00F16A34">
        <w:t>d</w:t>
      </w:r>
      <w:r w:rsidRPr="00F16A34">
        <w:t xml:space="preserve">ratmeter </w:t>
      </w:r>
      <w:r w:rsidR="004C2F46">
        <w:t>und</w:t>
      </w:r>
      <w:r w:rsidRPr="00F16A34">
        <w:t xml:space="preserve"> Jahr und damit auf CHF</w:t>
      </w:r>
      <w:r>
        <w:t xml:space="preserve"> 180'000.00 pro Jahr für die ge</w:t>
      </w:r>
      <w:r w:rsidRPr="00F16A34">
        <w:t xml:space="preserve">samte Ladenfläche. Die Mietzinserhöhung für die Lagerfläche beträgt CHF 50.00 pro Quadratmeter </w:t>
      </w:r>
      <w:r w:rsidR="004C2F46">
        <w:t>und</w:t>
      </w:r>
      <w:r w:rsidRPr="00F16A34">
        <w:t xml:space="preserve"> Jahr und damit CHF 4'000.00 für die gesamte Lagerfläche. Dementsprechend ergibt sich ein Streitwert von </w:t>
      </w:r>
      <w:r w:rsidRPr="00F16A34">
        <w:rPr>
          <w:b/>
        </w:rPr>
        <w:t>CHF 3'680'000.00</w:t>
      </w:r>
      <w:r w:rsidRPr="00F16A34">
        <w:t xml:space="preserve"> ([CHF 180'000.00 x 20] + [CHF 4'000.00 x 20]).</w:t>
      </w:r>
    </w:p>
    <w:p w:rsidR="00F16A34" w:rsidRDefault="00F16A34">
      <w:pPr>
        <w:pStyle w:val="MustertextListe0"/>
      </w:pPr>
      <w:r w:rsidRPr="00F16A34">
        <w:t>Gemäss Art. 243 Abs. 2 lit. c ZPO sind Streitigkeiten betreffend den Schutz vor missbräuchl</w:t>
      </w:r>
      <w:r w:rsidRPr="00F16A34">
        <w:t>i</w:t>
      </w:r>
      <w:r w:rsidRPr="00F16A34">
        <w:t>chen Miet- und Pachtzinsen unabhängig vom Str</w:t>
      </w:r>
      <w:r w:rsidR="00644501">
        <w:t>eitwert im verein</w:t>
      </w:r>
      <w:r w:rsidRPr="00F16A34">
        <w:t>fachten Verfahren zu b</w:t>
      </w:r>
      <w:r w:rsidRPr="00F16A34">
        <w:t>e</w:t>
      </w:r>
      <w:r w:rsidRPr="00F16A34">
        <w:t>handeln. Für das Begehren ist deshalb gemäss Art. 243 Abs. 2 lit. c und Art. 4 ZPO i.V.m. § 24 lit. a GOG</w:t>
      </w:r>
      <w:r w:rsidR="00921BDD">
        <w:t>/ZH</w:t>
      </w:r>
      <w:r w:rsidRPr="00F16A34">
        <w:t xml:space="preserve"> i.V.m. § 26 sowie § 21 Abs. 1 lit. a GOG</w:t>
      </w:r>
      <w:r w:rsidR="00921BDD">
        <w:t>/ZH</w:t>
      </w:r>
      <w:r w:rsidRPr="00F16A34">
        <w:t xml:space="preserve"> das Bezirksgericht Zürich als Mie</w:t>
      </w:r>
      <w:r w:rsidRPr="00F16A34">
        <w:t>t</w:t>
      </w:r>
      <w:r w:rsidRPr="00F16A34">
        <w:t>gericht in</w:t>
      </w:r>
      <w:r>
        <w:t xml:space="preserve"> seiner Zusammensetzung als Kol</w:t>
      </w:r>
      <w:r w:rsidRPr="00F16A34">
        <w:t>legialgericht sachlich zuständig.</w:t>
      </w:r>
    </w:p>
    <w:p w:rsidR="000B65FE" w:rsidRPr="00DF33A1" w:rsidRDefault="000B65FE" w:rsidP="00177658">
      <w:pPr>
        <w:pStyle w:val="Mustertextklein"/>
      </w:pPr>
      <w:r w:rsidRPr="00E80DB5">
        <w:tab/>
      </w:r>
      <w:r w:rsidRPr="00E80DB5">
        <w:rPr>
          <w:rStyle w:val="fettMuster"/>
          <w:sz w:val="16"/>
        </w:rPr>
        <w:t xml:space="preserve">Bemerkung </w:t>
      </w:r>
      <w:r w:rsidR="00D40191" w:rsidRPr="00AB420B">
        <w:rPr>
          <w:rStyle w:val="fettMuster"/>
          <w:sz w:val="16"/>
        </w:rPr>
        <w:t>5</w:t>
      </w:r>
      <w:r w:rsidRPr="00D41E31">
        <w:rPr>
          <w:rStyle w:val="fettMuster"/>
          <w:sz w:val="16"/>
        </w:rPr>
        <w:t>:</w:t>
      </w:r>
      <w:r w:rsidRPr="00185624">
        <w:t xml:space="preserve"> </w:t>
      </w:r>
      <w:r w:rsidR="00F16A34" w:rsidRPr="00A74099">
        <w:t xml:space="preserve">Gemäss bundesgerichtlicher Rechtsprechung ist der Begriff der </w:t>
      </w:r>
      <w:r w:rsidR="00504343">
        <w:t>«</w:t>
      </w:r>
      <w:r w:rsidR="00F16A34" w:rsidRPr="00E80DB5">
        <w:t>geschäftlichen Tätigkeit</w:t>
      </w:r>
      <w:r w:rsidR="00504343">
        <w:t>»</w:t>
      </w:r>
      <w:r w:rsidR="00F16A34" w:rsidRPr="00E80DB5">
        <w:t xml:space="preserve"> i.S.v. Art. 6 Abs. 2 lit. a ZPO weit zu verstehen, weshalb auch </w:t>
      </w:r>
      <w:r w:rsidR="00F16A34" w:rsidRPr="00AB420B">
        <w:rPr>
          <w:b/>
        </w:rPr>
        <w:t>der Abschluss von Mietve</w:t>
      </w:r>
      <w:r w:rsidR="00F16A34" w:rsidRPr="00D41E31">
        <w:rPr>
          <w:b/>
        </w:rPr>
        <w:t>r</w:t>
      </w:r>
      <w:r w:rsidR="00F16A34" w:rsidRPr="00185624">
        <w:rPr>
          <w:b/>
        </w:rPr>
        <w:t>trägen</w:t>
      </w:r>
      <w:r w:rsidR="00F16A34" w:rsidRPr="00A74099">
        <w:t xml:space="preserve"> (insbesondere Geschäftsmietverträgen), welche mit der konkreten Tätigkeit einer Firma im Zusammenhang stehen</w:t>
      </w:r>
      <w:r w:rsidR="000D1C54" w:rsidRPr="00EF7C69">
        <w:t>,</w:t>
      </w:r>
      <w:r w:rsidR="00F16A34" w:rsidRPr="00DF33A1">
        <w:t xml:space="preserve"> </w:t>
      </w:r>
      <w:r w:rsidR="004C2F46" w:rsidRPr="00DF33A1">
        <w:t xml:space="preserve">unter diesen Begriff </w:t>
      </w:r>
      <w:r w:rsidR="00F16A34" w:rsidRPr="00DF33A1">
        <w:t>subsumiert werden muss</w:t>
      </w:r>
      <w:r w:rsidR="00DF47A7" w:rsidRPr="00DF33A1">
        <w:t xml:space="preserve"> – dies</w:t>
      </w:r>
      <w:r w:rsidR="004C2F46" w:rsidRPr="00DF33A1">
        <w:t xml:space="preserve"> mit der Konsequenz, dass grundsätzlich alle Streitigkeiten aus solchen Verträgen </w:t>
      </w:r>
      <w:r w:rsidR="004C2F46" w:rsidRPr="00DF33A1">
        <w:rPr>
          <w:b/>
        </w:rPr>
        <w:t>zur geschäftlichen Tätigkeit einer Mie</w:t>
      </w:r>
      <w:r w:rsidR="004C2F46" w:rsidRPr="00DF33A1">
        <w:rPr>
          <w:b/>
        </w:rPr>
        <w:t>t</w:t>
      </w:r>
      <w:r w:rsidR="004C2F46" w:rsidRPr="00DF33A1">
        <w:rPr>
          <w:b/>
        </w:rPr>
        <w:t xml:space="preserve">partei </w:t>
      </w:r>
      <w:r w:rsidR="004C2F46" w:rsidRPr="00DF33A1">
        <w:t>gehören</w:t>
      </w:r>
      <w:r w:rsidR="00F16A34" w:rsidRPr="00DF33A1">
        <w:t xml:space="preserve">. Das Handelsgericht ist </w:t>
      </w:r>
      <w:r w:rsidR="00DF47A7" w:rsidRPr="00DF33A1">
        <w:t>f</w:t>
      </w:r>
      <w:r w:rsidR="00F16A34" w:rsidRPr="00DF33A1">
        <w:t xml:space="preserve">ür Streitigkeiten, die gemäss Art. 243 Abs. 2 lit. c ZPO nach dem vereinfachten Verfahren zu beurteilen sind, nicht zuständig; die Regelung der Verfahrensart geht jener über die sachliche Zuständigkeit des Handelsgerichts vor (vgl. statt Vieler: </w:t>
      </w:r>
      <w:r w:rsidR="00B729FB" w:rsidRPr="00DF33A1">
        <w:t>BGE 139 III 457 E. 4 mit weiteren Hinweisen</w:t>
      </w:r>
      <w:r w:rsidR="00DF47A7" w:rsidRPr="00DF33A1">
        <w:t>; weitergehende Ausführungen</w:t>
      </w:r>
      <w:r w:rsidR="00921BDD" w:rsidRPr="00DF33A1">
        <w:t xml:space="preserve"> ausserdem</w:t>
      </w:r>
      <w:r w:rsidR="00DF47A7" w:rsidRPr="00DF33A1">
        <w:t xml:space="preserve"> </w:t>
      </w:r>
      <w:r w:rsidR="005F495E">
        <w:t xml:space="preserve"> III. Ergänzende Hinweise, 1. Die sachliche Zuständigkeit des Mietgerichtes des Bezirks Zürich,</w:t>
      </w:r>
      <w:r w:rsidR="005F495E" w:rsidRPr="00E80DB5">
        <w:t xml:space="preserve"> </w:t>
      </w:r>
      <w:r w:rsidR="00BD7351" w:rsidRPr="00E80DB5">
        <w:t>Rz 12 ff</w:t>
      </w:r>
      <w:r w:rsidR="005F495E">
        <w:t>.</w:t>
      </w:r>
      <w:r w:rsidR="00BD0312" w:rsidRPr="00AB420B">
        <w:t xml:space="preserve">, vgl. auch </w:t>
      </w:r>
      <w:r w:rsidR="00BD0312" w:rsidRPr="00D41E31">
        <w:t xml:space="preserve">Musterklage § </w:t>
      </w:r>
      <w:r w:rsidR="00A74099">
        <w:t>6</w:t>
      </w:r>
      <w:r w:rsidR="00BD0312" w:rsidRPr="00D41E31">
        <w:t xml:space="preserve">, </w:t>
      </w:r>
      <w:r w:rsidR="002748E8" w:rsidRPr="00EF7C69">
        <w:t>Rz </w:t>
      </w:r>
      <w:r w:rsidR="00BD0312" w:rsidRPr="00DF33A1">
        <w:t xml:space="preserve">15 ff. sowie Musterklage § </w:t>
      </w:r>
      <w:r w:rsidR="00A74099">
        <w:t>8</w:t>
      </w:r>
      <w:r w:rsidR="00BD0312" w:rsidRPr="00EF7C69">
        <w:t xml:space="preserve">, </w:t>
      </w:r>
      <w:r w:rsidR="00BD0312" w:rsidRPr="00DF33A1">
        <w:t>Rz 21 ff.</w:t>
      </w:r>
      <w:r w:rsidR="00F16A34" w:rsidRPr="00DF33A1">
        <w:t>).</w:t>
      </w:r>
    </w:p>
    <w:p w:rsidR="000B65FE" w:rsidRDefault="00F16A34">
      <w:pPr>
        <w:pStyle w:val="MustertextListe0"/>
      </w:pPr>
      <w:r w:rsidRPr="00F16A34">
        <w:t xml:space="preserve">Die gemäss Art. 197 ZPO zwingende Schlichtungsverhandlung wurde am 25. Juni 2015 durchgeführt. Dementsprechend ist auch die </w:t>
      </w:r>
      <w:r w:rsidRPr="00F16A34">
        <w:rPr>
          <w:b/>
        </w:rPr>
        <w:t>funktionelle Zuständigkeit</w:t>
      </w:r>
      <w:r w:rsidRPr="00F16A34">
        <w:t xml:space="preserve"> des Bezirksgerichtes Zürich (Mietgericht) gegeben.</w:t>
      </w:r>
    </w:p>
    <w:p w:rsidR="00F16A34" w:rsidRDefault="00F16A34">
      <w:pPr>
        <w:pStyle w:val="MustertextListe0"/>
      </w:pPr>
      <w:r w:rsidRPr="00F16A34">
        <w:t xml:space="preserve">Anlässlich der Schlichtungsverhandlung konnte </w:t>
      </w:r>
      <w:r w:rsidR="00BD7351" w:rsidRPr="00F16A34">
        <w:t xml:space="preserve">zwischen den Parteien </w:t>
      </w:r>
      <w:r w:rsidRPr="00F16A34">
        <w:t>keine Einigung erzielt werden, worauf die Schlichtungsbehörde der Klägerin gestützt auf Art. 209 Abs. 1 lit. a ZPO die Klagebewilligung ausstellte. Der Beschluss der Schlichtungsbehörde Zürich vom 25. Juni 2015 wurde der Klägerin am 29. Juni 2015 zugestellt. Die 30-tägige Klagefrist begann damit am 30. Juni 2015 zu laufen und end</w:t>
      </w:r>
      <w:r w:rsidR="00BD7351">
        <w:t>ig</w:t>
      </w:r>
      <w:r w:rsidRPr="00F16A34">
        <w:t>t – unter Berücksichtigung der Gerichtsferien gemäss Art. 145 Abs. 1 lit. b ZPO</w:t>
      </w:r>
      <w:r w:rsidR="00644501">
        <w:t xml:space="preserve"> </w:t>
      </w:r>
      <w:r w:rsidRPr="00F16A34">
        <w:t>– am Montag, 31. August 2015. Damit wird diese Frist mittels heut</w:t>
      </w:r>
      <w:r w:rsidRPr="00F16A34">
        <w:t>i</w:t>
      </w:r>
      <w:r w:rsidRPr="00F16A34">
        <w:t>ger Eingabe gewahrt.</w:t>
      </w:r>
    </w:p>
    <w:p w:rsidR="005F495E" w:rsidRDefault="00402829" w:rsidP="00DF33A1">
      <w:pPr>
        <w:pStyle w:val="MustertextBO"/>
      </w:pPr>
      <w:r w:rsidRPr="002748E8">
        <w:tab/>
      </w:r>
      <w:r w:rsidR="000B65FE" w:rsidRPr="002A56CA">
        <w:rPr>
          <w:rStyle w:val="fettMuster"/>
        </w:rPr>
        <w:t>BO:</w:t>
      </w:r>
      <w:r w:rsidR="008019B3">
        <w:t xml:space="preserve"> </w:t>
      </w:r>
      <w:r w:rsidR="00F16A34" w:rsidRPr="002748E8">
        <w:t>Beschluss der Schlichtungsbehörde des Bezirkes Zürich vom 25.06.2015</w:t>
      </w:r>
      <w:r w:rsidR="005F495E">
        <w:t xml:space="preserve"> </w:t>
      </w:r>
    </w:p>
    <w:p w:rsidR="000B65FE" w:rsidRPr="00DF33A1" w:rsidRDefault="005F495E" w:rsidP="00DF33A1">
      <w:pPr>
        <w:pStyle w:val="MustertextBO"/>
        <w:rPr>
          <w:rStyle w:val="fettMuster"/>
          <w:b w:val="0"/>
        </w:rPr>
      </w:pPr>
      <w:r>
        <w:rPr>
          <w:rStyle w:val="fettMuster"/>
        </w:rPr>
        <w:tab/>
      </w:r>
      <w:r>
        <w:rPr>
          <w:rStyle w:val="fettMuster"/>
        </w:rPr>
        <w:tab/>
      </w:r>
      <w:r w:rsidR="00F16A34" w:rsidRPr="002748E8">
        <w:t>(Klagebewilligung)</w:t>
      </w:r>
      <w:r w:rsidR="000B65FE" w:rsidRPr="002748E8">
        <w:tab/>
      </w:r>
      <w:r w:rsidR="000B65FE" w:rsidRPr="002748E8">
        <w:tab/>
      </w:r>
      <w:r w:rsidR="00402829" w:rsidRPr="002748E8">
        <w:tab/>
      </w:r>
      <w:r w:rsidR="00402829" w:rsidRPr="002748E8">
        <w:tab/>
      </w:r>
      <w:r w:rsidR="00067876" w:rsidRPr="002748E8">
        <w:tab/>
      </w:r>
      <w:r w:rsidR="00F16A34" w:rsidRPr="002748E8">
        <w:tab/>
      </w:r>
      <w:r w:rsidR="00F4325E">
        <w:tab/>
      </w:r>
      <w:r w:rsidR="00F4325E">
        <w:tab/>
      </w:r>
      <w:r w:rsidR="000B65FE" w:rsidRPr="002A56CA">
        <w:rPr>
          <w:rStyle w:val="fettMuster"/>
        </w:rPr>
        <w:t xml:space="preserve">Beilage </w:t>
      </w:r>
      <w:r w:rsidR="00F16A34" w:rsidRPr="002A56CA">
        <w:rPr>
          <w:rStyle w:val="fettMuster"/>
        </w:rPr>
        <w:t>II</w:t>
      </w:r>
    </w:p>
    <w:p w:rsidR="00F16A34" w:rsidRPr="00DF33A1" w:rsidRDefault="00F16A34" w:rsidP="00177658">
      <w:pPr>
        <w:pStyle w:val="Mustertextklein"/>
      </w:pPr>
      <w:r w:rsidRPr="00E80DB5">
        <w:tab/>
      </w:r>
      <w:r w:rsidRPr="00E80DB5">
        <w:rPr>
          <w:rStyle w:val="fettMuster"/>
          <w:sz w:val="16"/>
        </w:rPr>
        <w:t xml:space="preserve">Bemerkung </w:t>
      </w:r>
      <w:r w:rsidR="00D40191" w:rsidRPr="00AB420B">
        <w:rPr>
          <w:rStyle w:val="fettMuster"/>
          <w:sz w:val="16"/>
        </w:rPr>
        <w:t>6</w:t>
      </w:r>
      <w:r w:rsidRPr="00D41E31">
        <w:rPr>
          <w:rStyle w:val="fettMuster"/>
          <w:sz w:val="16"/>
        </w:rPr>
        <w:t>:</w:t>
      </w:r>
      <w:r w:rsidRPr="00185624">
        <w:t xml:space="preserve"> Grundsätzlich hat die Behörde – im Falle einer Nichteinigung anlässlich der Schlic</w:t>
      </w:r>
      <w:r w:rsidRPr="00A74099">
        <w:t>h</w:t>
      </w:r>
      <w:r w:rsidRPr="00EF7C69">
        <w:t>tungsverhandlung –</w:t>
      </w:r>
      <w:r w:rsidR="00DF47A7" w:rsidRPr="00DF33A1">
        <w:t xml:space="preserve"> </w:t>
      </w:r>
      <w:r w:rsidRPr="00DF33A1">
        <w:t xml:space="preserve">der klagenden Partei </w:t>
      </w:r>
      <w:r w:rsidR="004C2F46" w:rsidRPr="00DF33A1">
        <w:t xml:space="preserve">die Klagebewilligung </w:t>
      </w:r>
      <w:r w:rsidR="00CB2E43" w:rsidRPr="00DF33A1">
        <w:t>auszustellen (Art. </w:t>
      </w:r>
      <w:r w:rsidRPr="00DF33A1">
        <w:t xml:space="preserve">209 Abs. 1 lit. b ZPO). </w:t>
      </w:r>
      <w:r w:rsidR="000D1C54" w:rsidRPr="00DF33A1">
        <w:t xml:space="preserve">Bildet </w:t>
      </w:r>
      <w:r w:rsidRPr="00DF33A1">
        <w:t xml:space="preserve">jedoch die Anfechtung von Miet- und Pachtzinserhöhungen Streitgegenstand, so ist die Klagebewilligung zwingend der Vermieterin auszustellen. Der Vollständigkeit halber ist anzumerken, dass die Schlichtungsbehörde in Streitigkeiten betreffend den Schutz vor missbräuchlicher Miet- und Pachtzinsen auch einen </w:t>
      </w:r>
      <w:r w:rsidRPr="00DF33A1">
        <w:rPr>
          <w:b/>
        </w:rPr>
        <w:t xml:space="preserve">Urteilsvorschlag </w:t>
      </w:r>
      <w:r w:rsidRPr="00DF33A1">
        <w:t>unterbreiten könnte, unabhängig vom Streit</w:t>
      </w:r>
      <w:r w:rsidR="00CB2E43" w:rsidRPr="00DF33A1">
        <w:t>wert (vgl. Art. 210 Abs. 1 lit. </w:t>
      </w:r>
      <w:r w:rsidRPr="00DF33A1">
        <w:t xml:space="preserve">b ZPO). </w:t>
      </w:r>
      <w:r w:rsidR="000D1C54" w:rsidRPr="00DF33A1">
        <w:t xml:space="preserve">Dieser Urteilsvorschlag kann von beiden Parteien innert 20 Tagen nach Erhalt schriftlich abgelehnt werden, wobei diese Frist auch während der Gerichtsferien läuft. Die </w:t>
      </w:r>
      <w:r w:rsidRPr="00DF33A1">
        <w:t>Klageb</w:t>
      </w:r>
      <w:r w:rsidRPr="00DF33A1">
        <w:t>e</w:t>
      </w:r>
      <w:r w:rsidRPr="00DF33A1">
        <w:t>willigung</w:t>
      </w:r>
      <w:r w:rsidR="000D1C54" w:rsidRPr="00DF33A1">
        <w:t xml:space="preserve"> wird der ablehnenden Partei ausgestellt; lehnen beide Parteien den Urte</w:t>
      </w:r>
      <w:r w:rsidR="001B1B3B" w:rsidRPr="00DF33A1">
        <w:t>i</w:t>
      </w:r>
      <w:r w:rsidR="000D1C54" w:rsidRPr="00DF33A1">
        <w:t>lsvorschlag ab, so erhalten beide eine Klagebewilligung</w:t>
      </w:r>
      <w:r w:rsidRPr="00DF33A1">
        <w:t xml:space="preserve"> (Art. 211 Abs. 2 lit. a ZPO).</w:t>
      </w:r>
    </w:p>
    <w:p w:rsidR="00FD5BF0" w:rsidRPr="00177658" w:rsidRDefault="00F70837" w:rsidP="00177658">
      <w:pPr>
        <w:pStyle w:val="Mustertextklein"/>
      </w:pPr>
      <w:r w:rsidRPr="00177658">
        <w:rPr>
          <w:rStyle w:val="fettMuster"/>
          <w:sz w:val="16"/>
        </w:rPr>
        <w:tab/>
        <w:t xml:space="preserve">Bemerkung </w:t>
      </w:r>
      <w:r w:rsidR="00D40191" w:rsidRPr="00177658">
        <w:rPr>
          <w:rStyle w:val="fettMuster"/>
          <w:sz w:val="16"/>
        </w:rPr>
        <w:t>7</w:t>
      </w:r>
      <w:r w:rsidRPr="00177658">
        <w:rPr>
          <w:rStyle w:val="fettMuster"/>
          <w:sz w:val="16"/>
        </w:rPr>
        <w:t>:</w:t>
      </w:r>
      <w:r w:rsidRPr="00177658">
        <w:t xml:space="preserve"> Gemäss Art. 209 Abs. 4 ZPO beträgt die Klagefrist in Streitigkeiten aus </w:t>
      </w:r>
      <w:r w:rsidR="000D1C54" w:rsidRPr="00177658">
        <w:t xml:space="preserve">der </w:t>
      </w:r>
      <w:r w:rsidRPr="00177658">
        <w:t>Miete und Pacht von Wohn- und Geschäftsräumen stets 30 Tage. Gemäss Rechtsprechung des Bundesgerichts steht diese Klagefrist währe</w:t>
      </w:r>
      <w:r w:rsidR="000D6DA2" w:rsidRPr="00177658">
        <w:t>nd den Gerichtsferien nach Art. </w:t>
      </w:r>
      <w:r w:rsidRPr="00177658">
        <w:t>145 ZPO still, da die Fristen zur Klageei</w:t>
      </w:r>
      <w:r w:rsidRPr="00177658">
        <w:t>n</w:t>
      </w:r>
      <w:r w:rsidRPr="00177658">
        <w:t>reichung mit dem Abschluss des Schlichtungsverfahrens (neu) beginnen und nicht mehr Teil dieses Schlichtungsverfahrens bilden (</w:t>
      </w:r>
      <w:r w:rsidR="000D1C54" w:rsidRPr="00177658">
        <w:t>BGE 138 III 615)</w:t>
      </w:r>
      <w:r w:rsidRPr="00177658">
        <w:t xml:space="preserve">. </w:t>
      </w:r>
    </w:p>
    <w:p w:rsidR="00F4325E" w:rsidRDefault="00F4325E">
      <w:pPr>
        <w:rPr>
          <w:rStyle w:val="fettMuster"/>
        </w:rPr>
      </w:pPr>
      <w:r>
        <w:rPr>
          <w:rStyle w:val="fettMuster"/>
        </w:rPr>
        <w:br w:type="page"/>
      </w:r>
    </w:p>
    <w:p w:rsidR="00F16A34" w:rsidRPr="00A74099" w:rsidRDefault="00F16A34" w:rsidP="00DF33A1">
      <w:pPr>
        <w:pStyle w:val="MustertextTitelEbene1"/>
        <w:rPr>
          <w:rStyle w:val="fettMuster"/>
        </w:rPr>
      </w:pPr>
      <w:r w:rsidRPr="00A74099">
        <w:rPr>
          <w:rStyle w:val="fettMuster"/>
          <w:b/>
        </w:rPr>
        <w:lastRenderedPageBreak/>
        <w:t>II.</w:t>
      </w:r>
      <w:r w:rsidRPr="00A74099">
        <w:rPr>
          <w:rStyle w:val="fettMuster"/>
          <w:b/>
        </w:rPr>
        <w:tab/>
        <w:t>Sachverhalt</w:t>
      </w:r>
    </w:p>
    <w:p w:rsidR="00F16A34" w:rsidRPr="00DF33A1" w:rsidRDefault="00F16A34" w:rsidP="00DF33A1">
      <w:pPr>
        <w:pStyle w:val="MustertextTitelEbene2"/>
        <w:rPr>
          <w:rStyle w:val="fettMuster"/>
          <w:b/>
        </w:rPr>
      </w:pPr>
      <w:r w:rsidRPr="00A74099">
        <w:rPr>
          <w:rStyle w:val="fettMuster"/>
          <w:b/>
        </w:rPr>
        <w:t>A.</w:t>
      </w:r>
      <w:r w:rsidRPr="00A74099">
        <w:rPr>
          <w:rStyle w:val="fettMuster"/>
          <w:b/>
        </w:rPr>
        <w:tab/>
        <w:t>Das Mietverhältnis</w:t>
      </w:r>
    </w:p>
    <w:p w:rsidR="00F16A34" w:rsidRDefault="00193C24">
      <w:pPr>
        <w:pStyle w:val="MustertextListe0"/>
      </w:pPr>
      <w:r w:rsidRPr="00193C24">
        <w:t xml:space="preserve">Mit Datum vom 25. Januar 2006 schloss die Vermieterin </w:t>
      </w:r>
      <w:r w:rsidR="00504343">
        <w:t>«</w:t>
      </w:r>
      <w:r w:rsidRPr="00193C24">
        <w:t>V AG</w:t>
      </w:r>
      <w:r w:rsidR="00504343">
        <w:t>»</w:t>
      </w:r>
      <w:r w:rsidRPr="00193C24">
        <w:t>, welche seit 35 Jahren E</w:t>
      </w:r>
      <w:r w:rsidRPr="00193C24">
        <w:t>i</w:t>
      </w:r>
      <w:r w:rsidRPr="00193C24">
        <w:t>gentümerin der Liegenschaft mit Baujahr 1900 ist, mi</w:t>
      </w:r>
      <w:r>
        <w:t xml:space="preserve">t der Mieterin </w:t>
      </w:r>
      <w:r w:rsidR="00504343">
        <w:t>«</w:t>
      </w:r>
      <w:r>
        <w:t>M AG</w:t>
      </w:r>
      <w:r w:rsidR="00504343">
        <w:t>»</w:t>
      </w:r>
      <w:r>
        <w:t xml:space="preserve"> einen un</w:t>
      </w:r>
      <w:r w:rsidRPr="00193C24">
        <w:t>befri</w:t>
      </w:r>
      <w:r w:rsidRPr="00193C24">
        <w:t>s</w:t>
      </w:r>
      <w:r w:rsidRPr="00193C24">
        <w:t>teten Mietvertrag mit einer Mindestdauer von 10 Jahre</w:t>
      </w:r>
      <w:r w:rsidR="007E1A3F">
        <w:t>n über eine Ladenfläche von 300 </w:t>
      </w:r>
      <w:r w:rsidRPr="00193C24">
        <w:t>m</w:t>
      </w:r>
      <w:r w:rsidRPr="00921BDD">
        <w:rPr>
          <w:vertAlign w:val="superscript"/>
        </w:rPr>
        <w:t>2</w:t>
      </w:r>
      <w:r w:rsidRPr="00193C24">
        <w:t xml:space="preserve"> im EG und 1. OG sowie </w:t>
      </w:r>
      <w:r w:rsidR="006B1452">
        <w:t xml:space="preserve">einer </w:t>
      </w:r>
      <w:r w:rsidRPr="00193C24">
        <w:t>Lagerfläche von 80 m</w:t>
      </w:r>
      <w:r w:rsidRPr="00921BDD">
        <w:rPr>
          <w:vertAlign w:val="superscript"/>
        </w:rPr>
        <w:t>2</w:t>
      </w:r>
      <w:r w:rsidRPr="00193C24">
        <w:t xml:space="preserve"> i</w:t>
      </w:r>
      <w:r>
        <w:t>m UG der Liegenschaft Mustergas</w:t>
      </w:r>
      <w:r w:rsidRPr="00193C24">
        <w:t>se 10 in 8001 Zürich ab. Als Mietbeginn wurde der 1. Apr</w:t>
      </w:r>
      <w:r>
        <w:t>il 2006 vereinbart. Der Anfangs</w:t>
      </w:r>
      <w:r w:rsidRPr="00193C24">
        <w:t xml:space="preserve">mietzins wurde auf CHF 800.00 pro Quadratmeter </w:t>
      </w:r>
      <w:r w:rsidR="006B1452">
        <w:t>und</w:t>
      </w:r>
      <w:r w:rsidRPr="00193C24">
        <w:t xml:space="preserve"> Jahr für die Ladenfläche und CHF 100.00 pro Quadratmeter </w:t>
      </w:r>
      <w:r w:rsidR="006B1452">
        <w:t>und</w:t>
      </w:r>
      <w:r w:rsidRPr="00193C24">
        <w:t xml:space="preserve"> Jahr für die Lagerfläche </w:t>
      </w:r>
      <w:r>
        <w:t>festgelegt. Der Mietvertrag ent</w:t>
      </w:r>
      <w:r w:rsidRPr="00193C24">
        <w:t>hielt die Regelung, dass der Mietzins bis zum Ablauf der Mindestdauer den Entwicklungen des Landesindexes der Konsumentenpreise des Bundesamtes für Statistik (BfS) folgen solle (Indexklausel); dabei wurde eine Unterschreit</w:t>
      </w:r>
      <w:r>
        <w:t>ung des Anfangsmietzinses ausge</w:t>
      </w:r>
      <w:r w:rsidRPr="00193C24">
        <w:t>schlossen.</w:t>
      </w:r>
    </w:p>
    <w:p w:rsidR="00193C24" w:rsidRPr="00F5303B" w:rsidRDefault="00193C24" w:rsidP="00DF33A1">
      <w:pPr>
        <w:pStyle w:val="MustertextBO"/>
      </w:pPr>
      <w:r w:rsidRPr="00F5303B">
        <w:tab/>
      </w:r>
      <w:r w:rsidRPr="002A56CA">
        <w:rPr>
          <w:rStyle w:val="fettMuster"/>
        </w:rPr>
        <w:t>BO:</w:t>
      </w:r>
      <w:r w:rsidRPr="00F5303B">
        <w:t xml:space="preserve"> Mietvertrag vom 25.</w:t>
      </w:r>
      <w:r w:rsidR="005F495E">
        <w:t>01.</w:t>
      </w:r>
      <w:r w:rsidRPr="00F5303B">
        <w:t>2006</w:t>
      </w:r>
      <w:r w:rsidRPr="00F5303B">
        <w:tab/>
      </w:r>
      <w:r w:rsidRPr="00F5303B">
        <w:tab/>
      </w:r>
      <w:r w:rsidRPr="00F5303B">
        <w:tab/>
      </w:r>
      <w:r w:rsidR="006B6B12" w:rsidRPr="00F5303B">
        <w:tab/>
      </w:r>
      <w:r w:rsidR="00F4325E">
        <w:tab/>
      </w:r>
      <w:r w:rsidR="00F4325E">
        <w:tab/>
      </w:r>
      <w:r w:rsidRPr="002A56CA">
        <w:rPr>
          <w:rStyle w:val="fettMuster"/>
        </w:rPr>
        <w:t>Beilage 1</w:t>
      </w:r>
    </w:p>
    <w:p w:rsidR="00417DB8" w:rsidRPr="00E80DB5" w:rsidRDefault="00417DB8" w:rsidP="00177658">
      <w:pPr>
        <w:pStyle w:val="Mustertextklein"/>
      </w:pPr>
      <w:r w:rsidRPr="00E80DB5">
        <w:rPr>
          <w:rStyle w:val="fettMuster"/>
          <w:sz w:val="16"/>
        </w:rPr>
        <w:tab/>
        <w:t xml:space="preserve">Bemerkung </w:t>
      </w:r>
      <w:r w:rsidR="00D40191" w:rsidRPr="00E80DB5">
        <w:rPr>
          <w:rStyle w:val="fettMuster"/>
          <w:sz w:val="16"/>
        </w:rPr>
        <w:t>8</w:t>
      </w:r>
      <w:r w:rsidRPr="00AB420B">
        <w:rPr>
          <w:rStyle w:val="fettMuster"/>
          <w:sz w:val="16"/>
        </w:rPr>
        <w:t>:</w:t>
      </w:r>
      <w:r w:rsidR="00927B54" w:rsidRPr="00D41E31">
        <w:t xml:space="preserve"> Eine derartige Indexklausel mit dem Ausschluss der Möglichkeit einer</w:t>
      </w:r>
      <w:r w:rsidRPr="00185624">
        <w:t xml:space="preserve"> Unterschreitung des </w:t>
      </w:r>
      <w:r w:rsidR="00927B54" w:rsidRPr="00A74099">
        <w:t xml:space="preserve">(Anfangs- bzw.) </w:t>
      </w:r>
      <w:r w:rsidRPr="00EF7C69">
        <w:t>Mindestmietzinses</w:t>
      </w:r>
      <w:r w:rsidR="00927B54" w:rsidRPr="00DF33A1">
        <w:t xml:space="preserve"> – und damit der (vorübergehende) Ausschluss der gesetzlich vorgesehenen Anfechtungsmöglichkeiten gemäss Art. 270c und 270d OR – </w:t>
      </w:r>
      <w:r w:rsidRPr="00DF33A1">
        <w:t>ist gemäss bundesg</w:t>
      </w:r>
      <w:r w:rsidRPr="00DF33A1">
        <w:t>e</w:t>
      </w:r>
      <w:r w:rsidRPr="00DF33A1">
        <w:t xml:space="preserve">richtlicher Rechtsprechung </w:t>
      </w:r>
      <w:r w:rsidRPr="00DF33A1">
        <w:rPr>
          <w:b/>
        </w:rPr>
        <w:t xml:space="preserve">für diejenige Dauer zulässig, während welcher das Mietverhältnis </w:t>
      </w:r>
      <w:r w:rsidR="00927B54" w:rsidRPr="00DF33A1">
        <w:rPr>
          <w:b/>
        </w:rPr>
        <w:t>(</w:t>
      </w:r>
      <w:r w:rsidR="00FD1FB2" w:rsidRPr="00DF33A1">
        <w:rPr>
          <w:b/>
        </w:rPr>
        <w:t>z</w:t>
      </w:r>
      <w:r w:rsidR="00FD1FB2" w:rsidRPr="00DF33A1">
        <w:rPr>
          <w:b/>
        </w:rPr>
        <w:t>u</w:t>
      </w:r>
      <w:r w:rsidR="00FD1FB2" w:rsidRPr="00DF33A1">
        <w:rPr>
          <w:b/>
        </w:rPr>
        <w:t xml:space="preserve">mindest von Seiten der Vermieterin) </w:t>
      </w:r>
      <w:r w:rsidRPr="00DF33A1">
        <w:rPr>
          <w:b/>
        </w:rPr>
        <w:t>unkündbar ist</w:t>
      </w:r>
      <w:r w:rsidR="00FD1FB2" w:rsidRPr="00DF33A1">
        <w:rPr>
          <w:b/>
        </w:rPr>
        <w:t>.</w:t>
      </w:r>
      <w:r w:rsidR="00FD1FB2" w:rsidRPr="00E80DB5">
        <w:t xml:space="preserve"> Bei indexierten Verträgen ist dies gemäss Art. 269b OR für eine Dauer von mindestens 5 Jahren der Fall</w:t>
      </w:r>
      <w:r w:rsidRPr="00AB420B">
        <w:t xml:space="preserve"> (vgl. BGE 125 III</w:t>
      </w:r>
      <w:r w:rsidR="00FD1FB2" w:rsidRPr="00D41E31">
        <w:t xml:space="preserve"> 358</w:t>
      </w:r>
      <w:r w:rsidR="00FD1FB2" w:rsidRPr="00A74099">
        <w:t xml:space="preserve"> E.1</w:t>
      </w:r>
      <w:r w:rsidR="00FD1FB2" w:rsidRPr="00DF33A1">
        <w:t xml:space="preserve"> mit Hinweis auf BGE 108 II 321). </w:t>
      </w:r>
      <w:r w:rsidR="006B1452" w:rsidRPr="00DF33A1">
        <w:t>In der Doktrin wird die Zulässigkeit einer solchen Klausel – zu Recht – befürwortet (vgl. SVIT-Kommentar, Art. 270a OR N 2;</w:t>
      </w:r>
      <w:r w:rsidR="006B1452" w:rsidRPr="00E80DB5">
        <w:t xml:space="preserve"> ZK</w:t>
      </w:r>
      <w:r w:rsidR="00505589">
        <w:t xml:space="preserve"> OR</w:t>
      </w:r>
      <w:r w:rsidR="006B1452" w:rsidRPr="00E80DB5">
        <w:t>-</w:t>
      </w:r>
      <w:r w:rsidR="006B1452" w:rsidRPr="00E80DB5">
        <w:rPr>
          <w:smallCaps/>
        </w:rPr>
        <w:t>Higi</w:t>
      </w:r>
      <w:r w:rsidR="006B1452" w:rsidRPr="00AB420B">
        <w:t xml:space="preserve">, Art. 270a </w:t>
      </w:r>
      <w:r w:rsidR="006B1452" w:rsidRPr="00185624">
        <w:t xml:space="preserve">N 42, </w:t>
      </w:r>
      <w:r w:rsidR="00BD0312" w:rsidRPr="00DF33A1">
        <w:rPr>
          <w:smallCaps/>
        </w:rPr>
        <w:t>Blumer</w:t>
      </w:r>
      <w:r w:rsidR="00A85C75" w:rsidRPr="00DF33A1">
        <w:rPr>
          <w:smallCaps/>
        </w:rPr>
        <w:t>,</w:t>
      </w:r>
      <w:r w:rsidR="00A85C75" w:rsidRPr="00DF33A1">
        <w:t xml:space="preserve"> SPR VII/3, </w:t>
      </w:r>
      <w:r w:rsidR="009A0A35" w:rsidRPr="00DF33A1">
        <w:t>Rz</w:t>
      </w:r>
      <w:r w:rsidR="009A0A35" w:rsidRPr="00D41E31">
        <w:t xml:space="preserve"> </w:t>
      </w:r>
      <w:r w:rsidR="00A85C75" w:rsidRPr="00185624">
        <w:t>521</w:t>
      </w:r>
      <w:r w:rsidR="006B1452" w:rsidRPr="00E80DB5">
        <w:t>); a</w:t>
      </w:r>
      <w:r w:rsidR="006B1452" w:rsidRPr="00E80DB5">
        <w:t>b</w:t>
      </w:r>
      <w:r w:rsidR="006B1452" w:rsidRPr="00E80DB5">
        <w:t xml:space="preserve">weichend interpretiert wird diese bundesgerichtliche Praxis von </w:t>
      </w:r>
      <w:r w:rsidR="006B1452" w:rsidRPr="00AB420B">
        <w:rPr>
          <w:smallCaps/>
        </w:rPr>
        <w:t>Weber</w:t>
      </w:r>
      <w:r w:rsidR="006B1452" w:rsidRPr="00D41E31">
        <w:t xml:space="preserve"> (vgl. BSK</w:t>
      </w:r>
      <w:r w:rsidR="00BD4007">
        <w:t xml:space="preserve"> </w:t>
      </w:r>
      <w:r w:rsidR="006B1452" w:rsidRPr="00E80DB5">
        <w:t>OR I-</w:t>
      </w:r>
      <w:r w:rsidR="006B1452" w:rsidRPr="00E80DB5">
        <w:rPr>
          <w:smallCaps/>
        </w:rPr>
        <w:t>Weber</w:t>
      </w:r>
      <w:r w:rsidR="006B1452" w:rsidRPr="00AB420B">
        <w:t xml:space="preserve">, </w:t>
      </w:r>
      <w:r w:rsidR="006B1452" w:rsidRPr="00185624">
        <w:t>Art. 270a N 1a).</w:t>
      </w:r>
      <w:r w:rsidR="00A85C75" w:rsidRPr="00A74099">
        <w:t xml:space="preserve"> </w:t>
      </w:r>
      <w:r w:rsidR="00FD1FB2" w:rsidRPr="00EF7C69">
        <w:t xml:space="preserve">Nach Ablauf dieser </w:t>
      </w:r>
      <w:r w:rsidR="006B1452" w:rsidRPr="00DF33A1">
        <w:t>Mindest</w:t>
      </w:r>
      <w:r w:rsidR="00B85B43" w:rsidRPr="00DF33A1">
        <w:t>v</w:t>
      </w:r>
      <w:r w:rsidR="00FD1FB2" w:rsidRPr="00DF33A1">
        <w:t>ertragsdauer</w:t>
      </w:r>
      <w:r w:rsidR="006B1452" w:rsidRPr="00DF33A1">
        <w:t xml:space="preserve"> – untechnisch und missverständlich in der Praxis häufig auch bezeichnet als </w:t>
      </w:r>
      <w:r w:rsidR="00504343">
        <w:t>«</w:t>
      </w:r>
      <w:r w:rsidR="006B1452" w:rsidRPr="00E80DB5">
        <w:t>feste</w:t>
      </w:r>
      <w:r w:rsidR="00504343">
        <w:t>»</w:t>
      </w:r>
      <w:r w:rsidR="006B1452" w:rsidRPr="00E80DB5">
        <w:t xml:space="preserve"> Vertragsdauer – </w:t>
      </w:r>
      <w:r w:rsidR="00FD1FB2" w:rsidRPr="00AB420B">
        <w:t>können jedoch beide Parteien die Übe</w:t>
      </w:r>
      <w:r w:rsidR="00FD1FB2" w:rsidRPr="00AB420B">
        <w:t>r</w:t>
      </w:r>
      <w:r w:rsidR="00FD1FB2" w:rsidRPr="00AB420B">
        <w:t xml:space="preserve">prüfung des Mietzinses verlangen, </w:t>
      </w:r>
      <w:r w:rsidR="00BD7351" w:rsidRPr="00D41E31">
        <w:t xml:space="preserve">und zwar sowohl dann, wenn </w:t>
      </w:r>
      <w:r w:rsidR="00FD1FB2" w:rsidRPr="00185624">
        <w:t xml:space="preserve"> d</w:t>
      </w:r>
      <w:r w:rsidR="00BD7351" w:rsidRPr="00A74099">
        <w:t>as Mietverhältnis ohne Mindes</w:t>
      </w:r>
      <w:r w:rsidR="00BD7351" w:rsidRPr="00A74099">
        <w:t>t</w:t>
      </w:r>
      <w:r w:rsidR="00BD7351" w:rsidRPr="00A74099">
        <w:t xml:space="preserve">dauer </w:t>
      </w:r>
      <w:r w:rsidR="00FD1FB2" w:rsidRPr="00EF7C69">
        <w:t>auf unbestimmte Zeit fortge</w:t>
      </w:r>
      <w:r w:rsidR="00BD7351" w:rsidRPr="00DF33A1">
        <w:t>setzt</w:t>
      </w:r>
      <w:r w:rsidR="00FD1FB2" w:rsidRPr="00DF33A1">
        <w:t xml:space="preserve"> </w:t>
      </w:r>
      <w:r w:rsidR="005A3C37" w:rsidRPr="00DF33A1">
        <w:t>w</w:t>
      </w:r>
      <w:r w:rsidR="00BD7351" w:rsidRPr="00DF33A1">
        <w:t>ird als auch dann, wenn es sich ohne Kündigung durch eine der Parteien wieder auf eine Mindestdauer von fünf oder mehr Jahren automatisch verlängert (BGer 4A_489/2010 und 4A_531/2010 vom 06.01.2011, auszugsweise wiedergegeben und kommentiert in deutscher Überset</w:t>
      </w:r>
      <w:r w:rsidR="00EF5826" w:rsidRPr="00DF33A1">
        <w:t>z</w:t>
      </w:r>
      <w:r w:rsidR="00BD7351" w:rsidRPr="00DF33A1">
        <w:t xml:space="preserve">ung von </w:t>
      </w:r>
      <w:r w:rsidR="00BD4007">
        <w:rPr>
          <w:smallCaps/>
        </w:rPr>
        <w:t>Andreas Maag</w:t>
      </w:r>
      <w:r w:rsidR="00BD7351" w:rsidRPr="00DF33A1">
        <w:rPr>
          <w:smallCaps/>
        </w:rPr>
        <w:t xml:space="preserve"> </w:t>
      </w:r>
      <w:r w:rsidR="00BD7351" w:rsidRPr="00E80DB5">
        <w:t>in</w:t>
      </w:r>
      <w:r w:rsidR="00BD7351" w:rsidRPr="00AB420B">
        <w:t xml:space="preserve"> M</w:t>
      </w:r>
      <w:r w:rsidR="00BD4007">
        <w:t>R</w:t>
      </w:r>
      <w:r w:rsidR="00BD7351" w:rsidRPr="00E80DB5">
        <w:t>A 2011, S. 87 ff.</w:t>
      </w:r>
      <w:r w:rsidR="00E66B45" w:rsidRPr="00E80DB5">
        <w:t>)</w:t>
      </w:r>
      <w:r w:rsidR="00FD1FB2" w:rsidRPr="00AB420B">
        <w:t xml:space="preserve"> Diese Überprüfung kan</w:t>
      </w:r>
      <w:r w:rsidR="00FD1FB2" w:rsidRPr="00D41E31">
        <w:t>n wahlwe</w:t>
      </w:r>
      <w:r w:rsidR="00FD1FB2" w:rsidRPr="00D41E31">
        <w:t>i</w:t>
      </w:r>
      <w:r w:rsidR="00FD1FB2" w:rsidRPr="00D41E31">
        <w:t xml:space="preserve">se </w:t>
      </w:r>
      <w:r w:rsidR="006B1452" w:rsidRPr="00185624">
        <w:t xml:space="preserve">unter Berufung auf so genannte </w:t>
      </w:r>
      <w:r w:rsidR="00FD1FB2" w:rsidRPr="00A74099">
        <w:t xml:space="preserve">absolute oder relative </w:t>
      </w:r>
      <w:r w:rsidR="006B1452" w:rsidRPr="00EF7C69">
        <w:t xml:space="preserve">Missbrauchskriterien </w:t>
      </w:r>
      <w:r w:rsidR="00FD1FB2" w:rsidRPr="00DF33A1">
        <w:t xml:space="preserve">verlangt werden, </w:t>
      </w:r>
      <w:r w:rsidR="006B1452" w:rsidRPr="00DF33A1">
        <w:t xml:space="preserve">in letzterem Falle unter </w:t>
      </w:r>
      <w:r w:rsidR="00BD0312" w:rsidRPr="00DF33A1">
        <w:t>Bezugnahme auf die Kostenstände</w:t>
      </w:r>
      <w:r w:rsidR="006B1452" w:rsidRPr="00DF33A1">
        <w:t xml:space="preserve">, welche im Zeitpunkt des </w:t>
      </w:r>
      <w:r w:rsidR="00B85B43" w:rsidRPr="00DF33A1">
        <w:t>Vertragsabschlu</w:t>
      </w:r>
      <w:r w:rsidR="00B85B43" w:rsidRPr="00DF33A1">
        <w:t>s</w:t>
      </w:r>
      <w:r w:rsidR="00B85B43" w:rsidRPr="00DF33A1">
        <w:t>ses</w:t>
      </w:r>
      <w:r w:rsidR="006B1452" w:rsidRPr="00DF33A1">
        <w:t xml:space="preserve"> aktuell waren</w:t>
      </w:r>
      <w:r w:rsidR="00FD1FB2" w:rsidRPr="00DF33A1">
        <w:t xml:space="preserve"> (vgl. BGE 125 III 358 E. 1</w:t>
      </w:r>
      <w:r w:rsidR="00BD4007">
        <w:t>.</w:t>
      </w:r>
      <w:r w:rsidR="00FD1FB2" w:rsidRPr="00E80DB5">
        <w:t>b</w:t>
      </w:r>
      <w:r w:rsidR="00FD1FB2" w:rsidRPr="00AB420B">
        <w:t xml:space="preserve"> mit H</w:t>
      </w:r>
      <w:r w:rsidR="00FD1FB2" w:rsidRPr="00D41E31">
        <w:t>inweis auf BGE 123 III 76</w:t>
      </w:r>
      <w:r w:rsidR="00BD4007">
        <w:t xml:space="preserve"> </w:t>
      </w:r>
      <w:r w:rsidR="00FD1FB2" w:rsidRPr="00E80DB5">
        <w:t>E. 4</w:t>
      </w:r>
      <w:r w:rsidR="00BD4007">
        <w:t>.</w:t>
      </w:r>
      <w:r w:rsidR="00FD1FB2" w:rsidRPr="00E80DB5">
        <w:t xml:space="preserve">c). </w:t>
      </w:r>
    </w:p>
    <w:p w:rsidR="000B65FE" w:rsidRPr="00E80DB5" w:rsidRDefault="005A3C37" w:rsidP="00177658">
      <w:pPr>
        <w:pStyle w:val="Mustertextklein"/>
      </w:pPr>
      <w:r w:rsidRPr="00AB420B">
        <w:rPr>
          <w:rStyle w:val="fettMuster"/>
          <w:i w:val="0"/>
          <w:sz w:val="16"/>
        </w:rPr>
        <w:tab/>
      </w:r>
      <w:r w:rsidRPr="00D41E31">
        <w:rPr>
          <w:rStyle w:val="fettMuster"/>
          <w:sz w:val="16"/>
        </w:rPr>
        <w:t xml:space="preserve">Bemerkung </w:t>
      </w:r>
      <w:r w:rsidR="00D40191" w:rsidRPr="00185624">
        <w:rPr>
          <w:rStyle w:val="fettMuster"/>
          <w:sz w:val="16"/>
        </w:rPr>
        <w:t>9</w:t>
      </w:r>
      <w:r w:rsidRPr="00A74099">
        <w:rPr>
          <w:rStyle w:val="fettMuster"/>
          <w:sz w:val="16"/>
        </w:rPr>
        <w:t>:</w:t>
      </w:r>
      <w:r w:rsidRPr="00EF7C69">
        <w:t xml:space="preserve"> </w:t>
      </w:r>
      <w:r w:rsidR="00975E13" w:rsidRPr="00DF33A1">
        <w:t xml:space="preserve">Eine Kombination von Indexierung und Staffelung des Mietzinses ist grundsätzlich nicht </w:t>
      </w:r>
      <w:r w:rsidR="00A85C75" w:rsidRPr="00DF33A1">
        <w:t>zulässig;</w:t>
      </w:r>
      <w:r w:rsidR="00975E13" w:rsidRPr="00DF33A1">
        <w:t xml:space="preserve"> diese Anpassungsgründe schliessen sich gegenseitig aus (vgl. </w:t>
      </w:r>
      <w:r w:rsidR="00975E13" w:rsidRPr="00DF33A1">
        <w:rPr>
          <w:smallCaps/>
        </w:rPr>
        <w:t>Nordmann/Schmelzer</w:t>
      </w:r>
      <w:r w:rsidR="00975E13" w:rsidRPr="00DF33A1">
        <w:t xml:space="preserve">, </w:t>
      </w:r>
      <w:r w:rsidR="00AB420B" w:rsidRPr="00DF33A1">
        <w:t>Mietzinsgestaltungsklausel, S. 684 Rz</w:t>
      </w:r>
      <w:r w:rsidR="00975E13" w:rsidRPr="00185624">
        <w:t xml:space="preserve"> 18.8</w:t>
      </w:r>
      <w:r w:rsidR="00975E13" w:rsidRPr="00E80DB5">
        <w:t xml:space="preserve">; SVIT-Kommentar, </w:t>
      </w:r>
      <w:r w:rsidR="00975E13" w:rsidRPr="00DF33A1">
        <w:rPr>
          <w:lang w:val="en-US"/>
        </w:rPr>
        <w:t>Art. 269c OR N 11; BSK OR I-</w:t>
      </w:r>
      <w:r w:rsidR="00975E13" w:rsidRPr="00DF33A1">
        <w:rPr>
          <w:smallCaps/>
          <w:lang w:val="en-US"/>
        </w:rPr>
        <w:t>Weber</w:t>
      </w:r>
      <w:r w:rsidR="00975E13" w:rsidRPr="00DF33A1">
        <w:rPr>
          <w:lang w:val="en-US"/>
        </w:rPr>
        <w:t xml:space="preserve">, Art. 269b N 12; </w:t>
      </w:r>
      <w:r w:rsidR="00975E13" w:rsidRPr="00DF33A1">
        <w:rPr>
          <w:smallCaps/>
          <w:lang w:val="en-US"/>
        </w:rPr>
        <w:t>Bättig</w:t>
      </w:r>
      <w:r w:rsidR="00975E13" w:rsidRPr="00DF33A1">
        <w:rPr>
          <w:lang w:val="en-US"/>
        </w:rPr>
        <w:t xml:space="preserve">, </w:t>
      </w:r>
      <w:r w:rsidR="00BD4007">
        <w:rPr>
          <w:lang w:val="en-US"/>
        </w:rPr>
        <w:t>Staffelung</w:t>
      </w:r>
      <w:r w:rsidR="00975E13" w:rsidRPr="00DF33A1">
        <w:rPr>
          <w:lang w:val="en-US"/>
        </w:rPr>
        <w:t xml:space="preserve">, S. </w:t>
      </w:r>
      <w:r w:rsidR="001067D0" w:rsidRPr="00DF33A1">
        <w:rPr>
          <w:lang w:val="en-US"/>
        </w:rPr>
        <w:t>3 ff.</w:t>
      </w:r>
      <w:r w:rsidR="00975E13" w:rsidRPr="00DF33A1">
        <w:rPr>
          <w:lang w:val="en-US"/>
        </w:rPr>
        <w:t xml:space="preserve">). </w:t>
      </w:r>
      <w:r w:rsidR="00975E13" w:rsidRPr="00E80DB5">
        <w:t xml:space="preserve">Eine Kombination von Index- und Umsatzmietzinsen ist jedoch </w:t>
      </w:r>
      <w:r w:rsidR="00A85C75" w:rsidRPr="00AB420B">
        <w:t>mö</w:t>
      </w:r>
      <w:r w:rsidR="00A85C75" w:rsidRPr="00D41E31">
        <w:t>glich</w:t>
      </w:r>
      <w:r w:rsidR="00975E13" w:rsidRPr="00185624">
        <w:t xml:space="preserve">, sofern </w:t>
      </w:r>
      <w:r w:rsidR="00A85C75" w:rsidRPr="00A74099">
        <w:t>der umsatzunabhä</w:t>
      </w:r>
      <w:r w:rsidR="00A85C75" w:rsidRPr="00EF7C69">
        <w:t>n</w:t>
      </w:r>
      <w:r w:rsidR="00A85C75" w:rsidRPr="00DF33A1">
        <w:t>gige</w:t>
      </w:r>
      <w:r w:rsidR="00B85B43" w:rsidRPr="00DF33A1">
        <w:t>, indexierte</w:t>
      </w:r>
      <w:r w:rsidR="00A85C75" w:rsidRPr="00DF33A1">
        <w:t xml:space="preserve"> </w:t>
      </w:r>
      <w:r w:rsidR="00B85B43" w:rsidRPr="00DF33A1">
        <w:t>M</w:t>
      </w:r>
      <w:r w:rsidR="00A85C75" w:rsidRPr="00DF33A1">
        <w:t>ietzins</w:t>
      </w:r>
      <w:r w:rsidR="00B85B43" w:rsidRPr="00DF33A1">
        <w:t xml:space="preserve"> die Basis</w:t>
      </w:r>
      <w:r w:rsidR="00975E13" w:rsidRPr="00DF33A1">
        <w:t xml:space="preserve"> darstellt und de</w:t>
      </w:r>
      <w:r w:rsidR="00A85C75" w:rsidRPr="00DF33A1">
        <w:t>m</w:t>
      </w:r>
      <w:r w:rsidR="00975E13" w:rsidRPr="00DF33A1">
        <w:t xml:space="preserve"> U</w:t>
      </w:r>
      <w:r w:rsidR="00975E13" w:rsidRPr="00DF33A1">
        <w:t>m</w:t>
      </w:r>
      <w:r w:rsidR="00975E13" w:rsidRPr="00DF33A1">
        <w:t>satzmiet</w:t>
      </w:r>
      <w:r w:rsidR="00A85C75" w:rsidRPr="00DF33A1">
        <w:t>zins</w:t>
      </w:r>
      <w:r w:rsidR="00975E13" w:rsidRPr="00DF33A1">
        <w:t xml:space="preserve"> lediglich die Funktion eines zusätzlichen, flexiblen Mietzinselements zukommt (vgl. </w:t>
      </w:r>
      <w:r w:rsidR="00975E13" w:rsidRPr="00DF33A1">
        <w:rPr>
          <w:smallCaps/>
        </w:rPr>
        <w:t>Nordmann/Schmelzer</w:t>
      </w:r>
      <w:r w:rsidR="007E1A3F" w:rsidRPr="00DF33A1">
        <w:t xml:space="preserve">, </w:t>
      </w:r>
      <w:r w:rsidR="00AB420B" w:rsidRPr="00DF33A1">
        <w:t>Mietzinsgestaltungsklausel, S. 685 Rz</w:t>
      </w:r>
      <w:r w:rsidR="007E1A3F" w:rsidRPr="00185624">
        <w:t> </w:t>
      </w:r>
      <w:r w:rsidR="00975E13" w:rsidRPr="00A74099">
        <w:t>18.10</w:t>
      </w:r>
      <w:r w:rsidR="00975E13" w:rsidRPr="00E80DB5">
        <w:t xml:space="preserve">; SVIT-Kommentar, </w:t>
      </w:r>
      <w:r w:rsidR="00975E13" w:rsidRPr="00D41E31">
        <w:t>Art. 269a OR</w:t>
      </w:r>
      <w:r w:rsidR="00975E13" w:rsidRPr="00A74099">
        <w:t xml:space="preserve"> N 34</w:t>
      </w:r>
      <w:r w:rsidR="00975E13" w:rsidRPr="00E80DB5">
        <w:t>).</w:t>
      </w:r>
    </w:p>
    <w:p w:rsidR="000B65FE" w:rsidRDefault="006B4446" w:rsidP="00E80DB5">
      <w:pPr>
        <w:pStyle w:val="MustertextListe0"/>
      </w:pPr>
      <w:r>
        <w:t>Die Parteien vereinbarten f</w:t>
      </w:r>
      <w:r w:rsidR="00193C24" w:rsidRPr="00193C24">
        <w:t xml:space="preserve">ür den Fall, </w:t>
      </w:r>
      <w:r>
        <w:t xml:space="preserve">in welchem </w:t>
      </w:r>
      <w:r w:rsidR="00193C24" w:rsidRPr="00193C24">
        <w:t xml:space="preserve">das Mietverhältnis </w:t>
      </w:r>
      <w:r>
        <w:t>über den erstmögl</w:t>
      </w:r>
      <w:r>
        <w:t>i</w:t>
      </w:r>
      <w:r>
        <w:t xml:space="preserve">chen Kündigungstermin hinaus fortgesetzt werden sollte, dass es von beiden Parteien unter Einhaltung einer Frist von 12 Monaten </w:t>
      </w:r>
      <w:r w:rsidR="00193C24" w:rsidRPr="00193C24">
        <w:t>jeweils auf den 31. März</w:t>
      </w:r>
      <w:r>
        <w:t xml:space="preserve"> gekündigt </w:t>
      </w:r>
      <w:r w:rsidR="00D56753">
        <w:t>werden</w:t>
      </w:r>
      <w:r>
        <w:t xml:space="preserve"> könne.</w:t>
      </w:r>
    </w:p>
    <w:p w:rsidR="00644501" w:rsidRPr="00A74099" w:rsidRDefault="00644501" w:rsidP="00DF33A1">
      <w:pPr>
        <w:pStyle w:val="MustertextTitelEbene2"/>
        <w:rPr>
          <w:rStyle w:val="fettMuster"/>
          <w:i/>
          <w:szCs w:val="16"/>
        </w:rPr>
      </w:pPr>
      <w:r w:rsidRPr="00A74099">
        <w:rPr>
          <w:rStyle w:val="fettMuster"/>
          <w:b/>
        </w:rPr>
        <w:t>B.</w:t>
      </w:r>
      <w:r w:rsidRPr="00A74099">
        <w:rPr>
          <w:rStyle w:val="fettMuster"/>
          <w:b/>
        </w:rPr>
        <w:tab/>
        <w:t>Die Anpassung des künftigen Mietzinses an die ort</w:t>
      </w:r>
      <w:r w:rsidR="00EF5826" w:rsidRPr="00A74099">
        <w:rPr>
          <w:rStyle w:val="fettMuster"/>
          <w:b/>
        </w:rPr>
        <w:t>s</w:t>
      </w:r>
      <w:r w:rsidRPr="00A74099">
        <w:rPr>
          <w:rStyle w:val="fettMuster"/>
          <w:b/>
        </w:rPr>
        <w:t>- oder quartierüblichen Verhältnisse</w:t>
      </w:r>
    </w:p>
    <w:p w:rsidR="000B65FE" w:rsidRPr="00D56753" w:rsidRDefault="00193C24">
      <w:pPr>
        <w:pStyle w:val="MustertextListe0"/>
      </w:pPr>
      <w:r w:rsidRPr="00193C24">
        <w:t>Mit amtliche</w:t>
      </w:r>
      <w:r w:rsidR="00A85C75">
        <w:t>m</w:t>
      </w:r>
      <w:r w:rsidRPr="00193C24">
        <w:t xml:space="preserve"> Formular vom 10. März 2015 zeigte die </w:t>
      </w:r>
      <w:r w:rsidR="00A85C75">
        <w:t xml:space="preserve">Klägerin der Beklagten </w:t>
      </w:r>
      <w:r w:rsidRPr="00193C24">
        <w:t>eine Anpa</w:t>
      </w:r>
      <w:r w:rsidRPr="00193C24">
        <w:t>s</w:t>
      </w:r>
      <w:r w:rsidRPr="00193C24">
        <w:t>sung des Nettomietzinses mit Wirkung per 1. April 2016 an. Erhöht werden soll der Nett</w:t>
      </w:r>
      <w:r w:rsidRPr="00193C24">
        <w:t>o</w:t>
      </w:r>
      <w:r w:rsidRPr="00193C24">
        <w:t>mietzins von CHF 800.00 auf CHF 1‘400.00 pro Qua</w:t>
      </w:r>
      <w:r>
        <w:t xml:space="preserve">dratmeter </w:t>
      </w:r>
      <w:r w:rsidR="006B4446">
        <w:t xml:space="preserve">und </w:t>
      </w:r>
      <w:r>
        <w:t>Jahr für die La</w:t>
      </w:r>
      <w:r w:rsidRPr="00193C24">
        <w:t>denfläche sowie von CHF 100.00 auf CHF 150.00 pro Quadratmeter</w:t>
      </w:r>
      <w:r w:rsidR="006B4446">
        <w:t xml:space="preserve"> und</w:t>
      </w:r>
      <w:r w:rsidRPr="00193C24">
        <w:t xml:space="preserve"> Jahr für d</w:t>
      </w:r>
      <w:r>
        <w:t>ie La</w:t>
      </w:r>
      <w:r w:rsidRPr="00193C24">
        <w:t>gerfläche. B</w:t>
      </w:r>
      <w:r w:rsidRPr="00193C24">
        <w:t>e</w:t>
      </w:r>
      <w:r w:rsidRPr="00193C24">
        <w:t xml:space="preserve">gründet </w:t>
      </w:r>
      <w:r w:rsidRPr="00D56753">
        <w:t xml:space="preserve">wurde diese Erhöhung mit der Anpassung an die Orts- und Quartierüblichkeit. </w:t>
      </w:r>
    </w:p>
    <w:p w:rsidR="004C7E9E" w:rsidRDefault="00402829" w:rsidP="00DF33A1">
      <w:pPr>
        <w:pStyle w:val="MustertextBO"/>
      </w:pPr>
      <w:r w:rsidRPr="00D56753">
        <w:tab/>
      </w:r>
      <w:r w:rsidR="000B65FE" w:rsidRPr="00CD2C4C">
        <w:rPr>
          <w:rStyle w:val="fettMuster"/>
        </w:rPr>
        <w:t>BO:</w:t>
      </w:r>
      <w:r w:rsidR="004C7E9E">
        <w:t xml:space="preserve"> </w:t>
      </w:r>
      <w:r w:rsidR="00193C24" w:rsidRPr="003F5594">
        <w:t>Amtliches Formular zur Mitteilung von Mietzinserhöhungen</w:t>
      </w:r>
      <w:r w:rsidR="008019B3">
        <w:t xml:space="preserve"> </w:t>
      </w:r>
      <w:r w:rsidR="00193C24" w:rsidRPr="003F5594">
        <w:t>und</w:t>
      </w:r>
      <w:r w:rsidR="000B65FE" w:rsidRPr="003F5594">
        <w:t xml:space="preserve"> </w:t>
      </w:r>
      <w:r w:rsidR="00193C24" w:rsidRPr="003F5594">
        <w:t>einseitigen</w:t>
      </w:r>
      <w:r w:rsidR="004C7E9E">
        <w:t xml:space="preserve"> </w:t>
      </w:r>
    </w:p>
    <w:p w:rsidR="003F5594" w:rsidRDefault="004C7E9E" w:rsidP="00DF33A1">
      <w:pPr>
        <w:pStyle w:val="MustertextBO"/>
        <w:rPr>
          <w:rStyle w:val="fettMuster"/>
          <w:b w:val="0"/>
          <w:i/>
          <w:szCs w:val="16"/>
        </w:rPr>
      </w:pPr>
      <w:r>
        <w:rPr>
          <w:rStyle w:val="fettMuster"/>
        </w:rPr>
        <w:lastRenderedPageBreak/>
        <w:tab/>
      </w:r>
      <w:r>
        <w:rPr>
          <w:rStyle w:val="fettMuster"/>
        </w:rPr>
        <w:tab/>
      </w:r>
      <w:r w:rsidR="00193C24" w:rsidRPr="003F5594">
        <w:t xml:space="preserve">Vertragsänderungen gemäss Art. 269d OR, datiert vom </w:t>
      </w:r>
      <w:r w:rsidR="00C0693B" w:rsidRPr="003F5594">
        <w:t>10.</w:t>
      </w:r>
      <w:r w:rsidR="00BD4007">
        <w:t>03.</w:t>
      </w:r>
      <w:r w:rsidR="00B85B43" w:rsidRPr="003F5594">
        <w:t>2015</w:t>
      </w:r>
      <w:r w:rsidR="000B65FE" w:rsidRPr="003F5594">
        <w:tab/>
      </w:r>
      <w:r w:rsidR="000B65FE" w:rsidRPr="00CD2C4C">
        <w:rPr>
          <w:rStyle w:val="fettMuster"/>
        </w:rPr>
        <w:t>Beilage 2</w:t>
      </w:r>
    </w:p>
    <w:p w:rsidR="0092489F" w:rsidRPr="00185624" w:rsidRDefault="00F51CE1" w:rsidP="00177658">
      <w:pPr>
        <w:pStyle w:val="Mustertextklein"/>
      </w:pPr>
      <w:r w:rsidRPr="00E80DB5">
        <w:tab/>
      </w:r>
      <w:r w:rsidR="0092489F" w:rsidRPr="00E80DB5">
        <w:rPr>
          <w:rStyle w:val="fettMuster"/>
          <w:sz w:val="16"/>
        </w:rPr>
        <w:t xml:space="preserve">Bemerkung </w:t>
      </w:r>
      <w:r w:rsidR="00D40191" w:rsidRPr="00AB420B">
        <w:rPr>
          <w:rStyle w:val="fettMuster"/>
          <w:sz w:val="16"/>
        </w:rPr>
        <w:t>10</w:t>
      </w:r>
      <w:r w:rsidR="0092489F" w:rsidRPr="00D41E31">
        <w:rPr>
          <w:rStyle w:val="fettMuster"/>
          <w:sz w:val="16"/>
        </w:rPr>
        <w:t>:</w:t>
      </w:r>
      <w:r w:rsidR="0092489F" w:rsidRPr="00185624">
        <w:t xml:space="preserve"> </w:t>
      </w:r>
      <w:r w:rsidR="00E66B45" w:rsidRPr="00A74099">
        <w:t>Es ist nach bundesgerichtlicher Rechtsprechung zulässig</w:t>
      </w:r>
      <w:r w:rsidR="0092489F" w:rsidRPr="00EF7C69">
        <w:t xml:space="preserve">, </w:t>
      </w:r>
      <w:r w:rsidR="009877E8" w:rsidRPr="00DF33A1">
        <w:t>im laufenden Mietverhäl</w:t>
      </w:r>
      <w:r w:rsidR="009877E8" w:rsidRPr="00DF33A1">
        <w:t>t</w:t>
      </w:r>
      <w:r w:rsidR="009877E8" w:rsidRPr="00DF33A1">
        <w:t xml:space="preserve">nis </w:t>
      </w:r>
      <w:r w:rsidR="0092489F" w:rsidRPr="00DF33A1">
        <w:t xml:space="preserve">mit Wirkung auf den Zeitpunkt des Ablaufs der Mindestdauer eine Anpassung des Mietzinses an </w:t>
      </w:r>
      <w:r w:rsidR="009B5810" w:rsidRPr="00DF33A1">
        <w:t xml:space="preserve">das so genannt </w:t>
      </w:r>
      <w:r w:rsidR="00504343">
        <w:t>«</w:t>
      </w:r>
      <w:r w:rsidR="009B5810" w:rsidRPr="00E80DB5">
        <w:t>absolute</w:t>
      </w:r>
      <w:r w:rsidR="00504343">
        <w:t>»</w:t>
      </w:r>
      <w:r w:rsidR="00B85B43" w:rsidRPr="00E80DB5">
        <w:t xml:space="preserve"> </w:t>
      </w:r>
      <w:r w:rsidR="009B5810" w:rsidRPr="00AB420B">
        <w:t>Kriterium de</w:t>
      </w:r>
      <w:r w:rsidR="00B85B43" w:rsidRPr="00D41E31">
        <w:t>r</w:t>
      </w:r>
      <w:r w:rsidR="0092489F" w:rsidRPr="00185624">
        <w:t xml:space="preserve"> orts- </w:t>
      </w:r>
      <w:r w:rsidR="009B5810" w:rsidRPr="00A74099">
        <w:t>oder</w:t>
      </w:r>
      <w:r w:rsidR="0092489F" w:rsidRPr="00EF7C69">
        <w:t xml:space="preserve"> quartierüblichen Verhältnisse zu verlangen (</w:t>
      </w:r>
      <w:r w:rsidR="009B5810" w:rsidRPr="00DF33A1">
        <w:t>BGer</w:t>
      </w:r>
      <w:r w:rsidR="00B85B43" w:rsidRPr="00DF33A1">
        <w:t xml:space="preserve"> </w:t>
      </w:r>
      <w:r w:rsidR="003F5594" w:rsidRPr="00DF33A1">
        <w:t>4A_669/2010 vom 28.04.2011</w:t>
      </w:r>
      <w:r w:rsidR="00BD4007">
        <w:t xml:space="preserve"> </w:t>
      </w:r>
      <w:r w:rsidR="003F5594" w:rsidRPr="00E80DB5">
        <w:t>E. </w:t>
      </w:r>
      <w:r w:rsidR="00646403" w:rsidRPr="00E80DB5">
        <w:t>5.1</w:t>
      </w:r>
      <w:r w:rsidR="00BD4007">
        <w:t>–</w:t>
      </w:r>
      <w:r w:rsidR="00646403" w:rsidRPr="00E80DB5">
        <w:t>5.3</w:t>
      </w:r>
      <w:r w:rsidR="0092489F" w:rsidRPr="00E80DB5">
        <w:t>). Es bedarf dafür keiner speziellen</w:t>
      </w:r>
      <w:r w:rsidR="003313B6" w:rsidRPr="00AB420B">
        <w:t>,</w:t>
      </w:r>
      <w:r w:rsidR="0092489F" w:rsidRPr="00D41E31">
        <w:t xml:space="preserve"> vertraglichen Vereinb</w:t>
      </w:r>
      <w:r w:rsidR="0092489F" w:rsidRPr="00D41E31">
        <w:t>a</w:t>
      </w:r>
      <w:r w:rsidR="0092489F" w:rsidRPr="00D41E31">
        <w:t xml:space="preserve">rung. </w:t>
      </w:r>
      <w:r w:rsidR="003313B6" w:rsidRPr="00185624">
        <w:t xml:space="preserve">Vorausgesetzt ist </w:t>
      </w:r>
      <w:r w:rsidR="00DC06B7" w:rsidRPr="00A74099">
        <w:t xml:space="preserve">jedoch </w:t>
      </w:r>
      <w:r w:rsidR="00646403" w:rsidRPr="00EF7C69">
        <w:t>einerseits</w:t>
      </w:r>
      <w:r w:rsidR="003313B6" w:rsidRPr="00DF33A1">
        <w:t xml:space="preserve"> der Ablauf eines statistisch relevanten Zeitraumes seit der letzten Mietzinsfestlegung</w:t>
      </w:r>
      <w:r w:rsidR="00646403" w:rsidRPr="00DF33A1">
        <w:t>, wobei umstritten ist, w</w:t>
      </w:r>
      <w:r w:rsidR="00E66B45" w:rsidRPr="00DF33A1">
        <w:t>elche Zeitspanne diese Anforderung erfüllt</w:t>
      </w:r>
      <w:r w:rsidR="00646403" w:rsidRPr="00DF33A1">
        <w:t>. Die Lehre geht dabei von einem Zeitraum von 3–7 Jahren aus</w:t>
      </w:r>
      <w:r w:rsidR="003313B6" w:rsidRPr="00DF33A1">
        <w:t xml:space="preserve"> (</w:t>
      </w:r>
      <w:r w:rsidR="00646403" w:rsidRPr="00DF33A1">
        <w:t>vgl. SVIT-Kommentar</w:t>
      </w:r>
      <w:r w:rsidR="00860452" w:rsidRPr="00DF33A1">
        <w:t xml:space="preserve"> </w:t>
      </w:r>
      <w:r w:rsidR="003F5594" w:rsidRPr="00DF33A1">
        <w:rPr>
          <w:lang w:val="en-US"/>
        </w:rPr>
        <w:t>Art. </w:t>
      </w:r>
      <w:r w:rsidR="00646403" w:rsidRPr="00DF33A1">
        <w:rPr>
          <w:lang w:val="en-US"/>
        </w:rPr>
        <w:t>269a OR N 7 f.; ZK</w:t>
      </w:r>
      <w:r w:rsidR="00505589">
        <w:rPr>
          <w:lang w:val="en-US"/>
        </w:rPr>
        <w:t xml:space="preserve"> OR</w:t>
      </w:r>
      <w:r w:rsidR="00646403" w:rsidRPr="00DF33A1">
        <w:rPr>
          <w:lang w:val="en-US"/>
        </w:rPr>
        <w:t>-</w:t>
      </w:r>
      <w:r w:rsidR="00646403" w:rsidRPr="00DF33A1">
        <w:rPr>
          <w:smallCaps/>
          <w:lang w:val="en-US"/>
        </w:rPr>
        <w:t>Higi</w:t>
      </w:r>
      <w:r w:rsidR="00646403" w:rsidRPr="00DF33A1">
        <w:rPr>
          <w:lang w:val="en-US"/>
        </w:rPr>
        <w:t>, Art. 269a N 126 und 437</w:t>
      </w:r>
      <w:r w:rsidR="003313B6" w:rsidRPr="00DF33A1">
        <w:rPr>
          <w:lang w:val="en-US"/>
        </w:rPr>
        <w:t>)</w:t>
      </w:r>
      <w:r w:rsidR="00646403" w:rsidRPr="00DF33A1">
        <w:rPr>
          <w:lang w:val="en-US"/>
        </w:rPr>
        <w:t>.</w:t>
      </w:r>
      <w:r w:rsidR="00DC06B7" w:rsidRPr="00DF33A1">
        <w:rPr>
          <w:lang w:val="en-US"/>
        </w:rPr>
        <w:t xml:space="preserve"> </w:t>
      </w:r>
      <w:r w:rsidR="00DC06B7" w:rsidRPr="00E80DB5">
        <w:t xml:space="preserve">Nach Auffassung der Autoren kann dieser </w:t>
      </w:r>
      <w:r w:rsidR="00717686" w:rsidRPr="00AB420B">
        <w:t>Zeitraum</w:t>
      </w:r>
      <w:r w:rsidR="00DC06B7" w:rsidRPr="00D41E31">
        <w:t xml:space="preserve"> nicht nach </w:t>
      </w:r>
      <w:r w:rsidR="009B5810" w:rsidRPr="00185624">
        <w:t xml:space="preserve">einem starren </w:t>
      </w:r>
      <w:r w:rsidR="00DC06B7" w:rsidRPr="00A74099">
        <w:t>Schema bestimmt werden; die Frage</w:t>
      </w:r>
      <w:r w:rsidR="00E66B45" w:rsidRPr="00EF7C69">
        <w:t>, ob seit der letzten massgebenden Mietzinsfes</w:t>
      </w:r>
      <w:r w:rsidR="00E66B45" w:rsidRPr="00EF7C69">
        <w:t>t</w:t>
      </w:r>
      <w:r w:rsidR="00E66B45" w:rsidRPr="00EF7C69">
        <w:t xml:space="preserve">legung ein statistisch relevanter Zeitraum vergangen ist, muss </w:t>
      </w:r>
      <w:r w:rsidR="00DC06B7" w:rsidRPr="00DF33A1">
        <w:t>einzelfallabhängig und unter Berüc</w:t>
      </w:r>
      <w:r w:rsidR="00DC06B7" w:rsidRPr="00DF33A1">
        <w:t>k</w:t>
      </w:r>
      <w:r w:rsidR="00DC06B7" w:rsidRPr="00DF33A1">
        <w:t xml:space="preserve">sichtigung der effektiven Marktveränderungen bezüglich </w:t>
      </w:r>
      <w:r w:rsidR="00E66B45" w:rsidRPr="00DF33A1">
        <w:t xml:space="preserve">der </w:t>
      </w:r>
      <w:r w:rsidR="00717686" w:rsidRPr="00DF33A1">
        <w:t xml:space="preserve">Lage </w:t>
      </w:r>
      <w:r w:rsidR="00DC06B7" w:rsidRPr="00DF33A1">
        <w:t>und</w:t>
      </w:r>
      <w:r w:rsidR="00717686" w:rsidRPr="00DF33A1">
        <w:t xml:space="preserve"> </w:t>
      </w:r>
      <w:r w:rsidR="00E66B45" w:rsidRPr="00DF33A1">
        <w:t xml:space="preserve">der </w:t>
      </w:r>
      <w:r w:rsidR="00717686" w:rsidRPr="00DF33A1">
        <w:t xml:space="preserve">Nutzung des Objektes </w:t>
      </w:r>
      <w:r w:rsidR="00DC06B7" w:rsidRPr="00DF33A1">
        <w:t>b</w:t>
      </w:r>
      <w:r w:rsidR="00DC06B7" w:rsidRPr="00DF33A1">
        <w:t>e</w:t>
      </w:r>
      <w:r w:rsidR="00DC06B7" w:rsidRPr="00DF33A1">
        <w:t>antworte</w:t>
      </w:r>
      <w:r w:rsidR="00E66B45" w:rsidRPr="00DF33A1">
        <w:t>t werde</w:t>
      </w:r>
      <w:r w:rsidR="00DC06B7" w:rsidRPr="00DF33A1">
        <w:t>n. Selbstredend muss z</w:t>
      </w:r>
      <w:r w:rsidR="00646403" w:rsidRPr="00DF33A1">
        <w:t xml:space="preserve">um anderen </w:t>
      </w:r>
      <w:r w:rsidR="003313B6" w:rsidRPr="00DF33A1">
        <w:t>ein Auseinanderfallen des Erhöhungspotentials zwischen der Berechnung nach Kostenmietelementen und der Entwicklung des ortsüblichen Mie</w:t>
      </w:r>
      <w:r w:rsidR="003313B6" w:rsidRPr="00DF33A1">
        <w:t>t</w:t>
      </w:r>
      <w:r w:rsidR="003313B6" w:rsidRPr="00DF33A1">
        <w:t>zinsniveaus</w:t>
      </w:r>
      <w:r w:rsidR="00646403" w:rsidRPr="00DF33A1">
        <w:t xml:space="preserve"> vorhanden sein</w:t>
      </w:r>
      <w:r w:rsidR="009B5810" w:rsidRPr="00DF33A1">
        <w:t>. Da die Mindestdauer, während welcher der Mietvertrag für die Vermi</w:t>
      </w:r>
      <w:r w:rsidR="009B5810" w:rsidRPr="00DF33A1">
        <w:t>e</w:t>
      </w:r>
      <w:r w:rsidR="009B5810" w:rsidRPr="00DF33A1">
        <w:t xml:space="preserve">terin </w:t>
      </w:r>
      <w:r w:rsidR="00B85B43" w:rsidRPr="00DF33A1">
        <w:t>unkündbar</w:t>
      </w:r>
      <w:r w:rsidR="009B5810" w:rsidRPr="00DF33A1">
        <w:t xml:space="preserve"> sein muss, damit eine Indexklausel vereinbart werden kann, 5 Jahre beträgt (Art. 269b OR </w:t>
      </w:r>
      <w:r w:rsidR="00B85B43" w:rsidRPr="00DF33A1">
        <w:t>i.V.m.</w:t>
      </w:r>
      <w:r w:rsidR="009B5810" w:rsidRPr="00DF33A1">
        <w:t xml:space="preserve"> Art 17 Abs. 4 VMWG), kann davon ausgegangen werden, dass die Voraussetzung, wonach seit der letzten, nach absoluten Kriterien </w:t>
      </w:r>
      <w:r w:rsidR="00B85B43" w:rsidRPr="00DF33A1">
        <w:t>erfolgten</w:t>
      </w:r>
      <w:r w:rsidR="009B5810" w:rsidRPr="00DF33A1">
        <w:t xml:space="preserve"> Mietzinsfestsetzung ein statistisch rel</w:t>
      </w:r>
      <w:r w:rsidR="009B5810" w:rsidRPr="00DF33A1">
        <w:t>e</w:t>
      </w:r>
      <w:r w:rsidR="009B5810" w:rsidRPr="00DF33A1">
        <w:t xml:space="preserve">vanter Zeitraum verstrichen </w:t>
      </w:r>
      <w:r w:rsidR="00B85B43" w:rsidRPr="00DF33A1">
        <w:t>sein muss</w:t>
      </w:r>
      <w:r w:rsidR="009B5810" w:rsidRPr="00DF33A1">
        <w:t xml:space="preserve">, bei einer Anpassung des Mietzinses unter Berufung auf die orts- oder quartierüblichen Verhältnisse auf den Ablauf einer solchen Dauer stets erfüllt ist </w:t>
      </w:r>
      <w:r w:rsidR="00DC06B7" w:rsidRPr="00DF33A1">
        <w:t>(</w:t>
      </w:r>
      <w:r w:rsidR="003F5594" w:rsidRPr="00DF33A1">
        <w:t xml:space="preserve">vgl. </w:t>
      </w:r>
      <w:r w:rsidR="00BD4007">
        <w:t xml:space="preserve">III. Ergänzende Hinweise, 3. Keine Kumulation von relativen und absoluten Erhöhungsgründen, </w:t>
      </w:r>
      <w:r w:rsidR="00BD4007" w:rsidRPr="00E80DB5">
        <w:t>R</w:t>
      </w:r>
      <w:r w:rsidR="00BD4007">
        <w:t>z</w:t>
      </w:r>
      <w:r w:rsidR="00BD4007" w:rsidRPr="00E80DB5">
        <w:t xml:space="preserve"> </w:t>
      </w:r>
      <w:r w:rsidR="00E66B45" w:rsidRPr="00E80DB5">
        <w:t>19 ff.</w:t>
      </w:r>
      <w:r w:rsidR="00DC06B7" w:rsidRPr="00D41E31">
        <w:t>).</w:t>
      </w:r>
    </w:p>
    <w:p w:rsidR="00F01B4F" w:rsidRPr="00DF33A1" w:rsidRDefault="0092489F" w:rsidP="00177658">
      <w:pPr>
        <w:pStyle w:val="Mustertextklein"/>
      </w:pPr>
      <w:r w:rsidRPr="00A74099">
        <w:tab/>
      </w:r>
      <w:r w:rsidR="000B65FE" w:rsidRPr="00EF7C69">
        <w:rPr>
          <w:rStyle w:val="fettMuster"/>
          <w:sz w:val="16"/>
        </w:rPr>
        <w:t xml:space="preserve">Bemerkung </w:t>
      </w:r>
      <w:r w:rsidRPr="00DF33A1">
        <w:rPr>
          <w:rStyle w:val="fettMuster"/>
          <w:sz w:val="16"/>
        </w:rPr>
        <w:t>1</w:t>
      </w:r>
      <w:r w:rsidR="00D40191" w:rsidRPr="00DF33A1">
        <w:rPr>
          <w:rStyle w:val="fettMuster"/>
          <w:sz w:val="16"/>
        </w:rPr>
        <w:t>1</w:t>
      </w:r>
      <w:r w:rsidR="00F01B4F" w:rsidRPr="00DF33A1">
        <w:rPr>
          <w:rStyle w:val="fettMuster"/>
          <w:sz w:val="16"/>
        </w:rPr>
        <w:t>:</w:t>
      </w:r>
      <w:r w:rsidR="000B65FE" w:rsidRPr="00DF33A1">
        <w:t xml:space="preserve"> </w:t>
      </w:r>
      <w:r w:rsidR="00F01B4F" w:rsidRPr="00DF33A1">
        <w:t>Gemäss Art. 269d OR sind dem Mieter sämtliche Mietzinserhöhungen mittels eines vom Kanton genehmigten Formulars mitzuteilen (</w:t>
      </w:r>
      <w:r w:rsidRPr="00DF33A1">
        <w:t>v</w:t>
      </w:r>
      <w:r w:rsidR="00F01B4F" w:rsidRPr="00DF33A1">
        <w:t xml:space="preserve">gl. zum Inhalt des Formulars Art. 19 VMWG und statt Vieler: SVIT-Kommentar, </w:t>
      </w:r>
      <w:r w:rsidR="00921BDD" w:rsidRPr="00DF33A1">
        <w:t xml:space="preserve">Art. 269d OR </w:t>
      </w:r>
      <w:r w:rsidR="00F01B4F" w:rsidRPr="00DF33A1">
        <w:t>N 22</w:t>
      </w:r>
      <w:r w:rsidR="00F01B4F" w:rsidRPr="00E80DB5">
        <w:t>). Die Verwendung eines solchen Formulars em</w:t>
      </w:r>
      <w:r w:rsidR="00F01B4F" w:rsidRPr="00E80DB5">
        <w:t>p</w:t>
      </w:r>
      <w:r w:rsidR="00F01B4F" w:rsidRPr="00E80DB5">
        <w:t xml:space="preserve">fiehlt sich im Zweifelsfalle bzw. im Hinblick auf einen Streitfall auch dann, wenn sich die Parteien über eine </w:t>
      </w:r>
      <w:r w:rsidR="006B4446" w:rsidRPr="00AB420B">
        <w:t>Fortführung</w:t>
      </w:r>
      <w:r w:rsidR="006B4446" w:rsidRPr="00D41E31">
        <w:t xml:space="preserve"> ihrer Vertragsbeziehung zu veränderten Vertragskonditionen </w:t>
      </w:r>
      <w:r w:rsidR="009B5810" w:rsidRPr="00185624">
        <w:t>nach darüber geführ</w:t>
      </w:r>
      <w:r w:rsidR="005B7C9F" w:rsidRPr="00A74099">
        <w:t>ten</w:t>
      </w:r>
      <w:r w:rsidR="009B5810" w:rsidRPr="00EF7C69">
        <w:t xml:space="preserve"> Verhandlungen </w:t>
      </w:r>
      <w:r w:rsidR="00F01B4F" w:rsidRPr="00DF33A1">
        <w:t>einigen. Damit kann die Vermieterin das Risiko ausschliessen, dass sich die Mieterin später darauf beruft, die Initiative zur Vertragsänderung sei von der Vermieterin ausg</w:t>
      </w:r>
      <w:r w:rsidR="00F01B4F" w:rsidRPr="00DF33A1">
        <w:t>e</w:t>
      </w:r>
      <w:r w:rsidR="00F01B4F" w:rsidRPr="00DF33A1">
        <w:t>gangen</w:t>
      </w:r>
      <w:r w:rsidR="00E66B45" w:rsidRPr="00DF33A1">
        <w:t xml:space="preserve">, sie habe unter dem Druck einer drohenden Beendigung des Mietverhältnisses gehandelt </w:t>
      </w:r>
      <w:r w:rsidR="00F01B4F" w:rsidRPr="00DF33A1">
        <w:t xml:space="preserve"> oder sie sei sich ihrer Anfechtungsrechte nicht bewusst gewesen</w:t>
      </w:r>
      <w:r w:rsidR="00665FF6" w:rsidRPr="00DF33A1">
        <w:t>.</w:t>
      </w:r>
      <w:r w:rsidR="00BE6955" w:rsidRPr="00DF33A1">
        <w:t xml:space="preserve"> (vgl. </w:t>
      </w:r>
      <w:r w:rsidR="00BE6955" w:rsidRPr="00DF33A1">
        <w:rPr>
          <w:smallCaps/>
        </w:rPr>
        <w:t>Bättig</w:t>
      </w:r>
      <w:r w:rsidR="00BE6955" w:rsidRPr="00DF33A1">
        <w:t xml:space="preserve">, </w:t>
      </w:r>
      <w:r w:rsidR="00AB420B" w:rsidRPr="00DF33A1">
        <w:t>Mietzinsgestaltung, S. 32 Rz</w:t>
      </w:r>
      <w:r w:rsidR="00BE6955" w:rsidRPr="00185624">
        <w:t xml:space="preserve"> 1.63</w:t>
      </w:r>
      <w:r w:rsidR="00FE68B2" w:rsidRPr="00E80DB5">
        <w:t xml:space="preserve"> </w:t>
      </w:r>
      <w:r w:rsidR="00BE6955" w:rsidRPr="00AB420B">
        <w:t>m</w:t>
      </w:r>
      <w:r w:rsidR="00F618EF" w:rsidRPr="00D41E31">
        <w:t>it weiteren Hinweisen</w:t>
      </w:r>
      <w:r w:rsidR="008A4647" w:rsidRPr="00185624">
        <w:t xml:space="preserve">). </w:t>
      </w:r>
      <w:r w:rsidR="00665FF6" w:rsidRPr="00A74099">
        <w:t xml:space="preserve">Damit nämlich bei einer </w:t>
      </w:r>
      <w:r w:rsidR="00665FF6" w:rsidRPr="00EF7C69">
        <w:rPr>
          <w:b/>
        </w:rPr>
        <w:t>i</w:t>
      </w:r>
      <w:r w:rsidR="005B7C9F" w:rsidRPr="00DF33A1">
        <w:rPr>
          <w:b/>
        </w:rPr>
        <w:t>m</w:t>
      </w:r>
      <w:r w:rsidR="00665FF6" w:rsidRPr="00DF33A1">
        <w:rPr>
          <w:b/>
        </w:rPr>
        <w:t xml:space="preserve"> gegenseitige</w:t>
      </w:r>
      <w:r w:rsidR="005B7C9F" w:rsidRPr="00DF33A1">
        <w:rPr>
          <w:b/>
        </w:rPr>
        <w:t>n</w:t>
      </w:r>
      <w:r w:rsidR="00665FF6" w:rsidRPr="00DF33A1">
        <w:rPr>
          <w:b/>
        </w:rPr>
        <w:t xml:space="preserve"> Einvernehmen ve</w:t>
      </w:r>
      <w:r w:rsidR="00665FF6" w:rsidRPr="00DF33A1">
        <w:rPr>
          <w:b/>
        </w:rPr>
        <w:t>r</w:t>
      </w:r>
      <w:r w:rsidR="00665FF6" w:rsidRPr="00DF33A1">
        <w:rPr>
          <w:b/>
        </w:rPr>
        <w:t>einbarten Mietzinsanpassung</w:t>
      </w:r>
      <w:r w:rsidR="00665FF6" w:rsidRPr="00DF33A1">
        <w:t xml:space="preserve"> auf das amtliche Formular verzichtet werden kann, müssen die nac</w:t>
      </w:r>
      <w:r w:rsidR="00665FF6" w:rsidRPr="00DF33A1">
        <w:t>h</w:t>
      </w:r>
      <w:r w:rsidR="00665FF6" w:rsidRPr="00DF33A1">
        <w:t xml:space="preserve">folgenden Voraussetzungen (kumulativ) erfüllt sein: (i) </w:t>
      </w:r>
      <w:r w:rsidR="008A4647" w:rsidRPr="00DF33A1">
        <w:t>es handelt sich um einen unbefristeten Mie</w:t>
      </w:r>
      <w:r w:rsidR="008A4647" w:rsidRPr="00DF33A1">
        <w:t>t</w:t>
      </w:r>
      <w:r w:rsidR="008A4647" w:rsidRPr="00DF33A1">
        <w:t xml:space="preserve">vertrag, (ii) </w:t>
      </w:r>
      <w:r w:rsidR="00665FF6" w:rsidRPr="00DF33A1">
        <w:t>der Mieter kennt die Formularpflicht, (i</w:t>
      </w:r>
      <w:r w:rsidR="008A4647" w:rsidRPr="00DF33A1">
        <w:t>i</w:t>
      </w:r>
      <w:r w:rsidR="00665FF6" w:rsidRPr="00DF33A1">
        <w:t xml:space="preserve">i) der Mieter kann als </w:t>
      </w:r>
      <w:r w:rsidR="00504343">
        <w:t>«</w:t>
      </w:r>
      <w:r w:rsidR="00665FF6" w:rsidRPr="00E80DB5">
        <w:t>geschäftser</w:t>
      </w:r>
      <w:r w:rsidR="00665FF6" w:rsidRPr="00AB420B">
        <w:t>fahren</w:t>
      </w:r>
      <w:r w:rsidR="00504343">
        <w:t>»</w:t>
      </w:r>
      <w:r w:rsidR="00665FF6" w:rsidRPr="00E80DB5">
        <w:t xml:space="preserve"> qualifiziert wer</w:t>
      </w:r>
      <w:r w:rsidR="008A4647" w:rsidRPr="00AB420B">
        <w:t>den, (iv</w:t>
      </w:r>
      <w:r w:rsidR="00665FF6" w:rsidRPr="00D41E31">
        <w:t>) der Mieter steht im Zeitpunkt der Vertragsänd</w:t>
      </w:r>
      <w:r w:rsidR="00665FF6" w:rsidRPr="00185624">
        <w:t>e</w:t>
      </w:r>
      <w:r w:rsidR="00665FF6" w:rsidRPr="00A74099">
        <w:t>rung nicht unter Kündigung</w:t>
      </w:r>
      <w:r w:rsidR="00665FF6" w:rsidRPr="00A74099">
        <w:t>s</w:t>
      </w:r>
      <w:r w:rsidR="00665FF6" w:rsidRPr="00A74099">
        <w:t>d</w:t>
      </w:r>
      <w:r w:rsidR="008A4647" w:rsidRPr="00EF7C69">
        <w:t>ruck, (</w:t>
      </w:r>
      <w:r w:rsidR="00665FF6" w:rsidRPr="00DF33A1">
        <w:t xml:space="preserve">v) es bestehen keine Anhaltspunkte, dass der neu vereinbarte Mietzins missbräuchlich ist, </w:t>
      </w:r>
      <w:r w:rsidR="001125B1" w:rsidRPr="00DF33A1">
        <w:t xml:space="preserve">und </w:t>
      </w:r>
      <w:r w:rsidR="00665FF6" w:rsidRPr="00DF33A1">
        <w:t>(v</w:t>
      </w:r>
      <w:r w:rsidR="008A4647" w:rsidRPr="00DF33A1">
        <w:t>i</w:t>
      </w:r>
      <w:r w:rsidR="00665FF6" w:rsidRPr="00DF33A1">
        <w:t xml:space="preserve">) die Vertragsänderung </w:t>
      </w:r>
      <w:r w:rsidR="008A4647" w:rsidRPr="00DF33A1">
        <w:t>betrifft nicht nur den Mietzins, sondern auch andere wesentliche Ve</w:t>
      </w:r>
      <w:r w:rsidR="008A4647" w:rsidRPr="00DF33A1">
        <w:t>r</w:t>
      </w:r>
      <w:r w:rsidR="008A4647" w:rsidRPr="00DF33A1">
        <w:t>tragspunkte</w:t>
      </w:r>
      <w:r w:rsidR="005B7C9F" w:rsidRPr="00DF33A1">
        <w:t>, zum Beispiel die Vertragsdauer oder neu eingeräumte Optionsrechte</w:t>
      </w:r>
      <w:r w:rsidR="001125B1" w:rsidRPr="00DF33A1">
        <w:t>. In einem Strei</w:t>
      </w:r>
      <w:r w:rsidR="001125B1" w:rsidRPr="00DF33A1">
        <w:t>t</w:t>
      </w:r>
      <w:r w:rsidR="001125B1" w:rsidRPr="00DF33A1">
        <w:t xml:space="preserve">falle </w:t>
      </w:r>
      <w:r w:rsidR="001125B1" w:rsidRPr="00DF33A1">
        <w:rPr>
          <w:b/>
        </w:rPr>
        <w:t xml:space="preserve">trifft die Vermieterin </w:t>
      </w:r>
      <w:r w:rsidR="005B7C9F" w:rsidRPr="00DF33A1">
        <w:rPr>
          <w:b/>
        </w:rPr>
        <w:t>die Beweislast</w:t>
      </w:r>
      <w:r w:rsidR="005B7C9F" w:rsidRPr="00DF33A1">
        <w:t xml:space="preserve"> dafür, dass alle diese Tatsachen gegeben waren </w:t>
      </w:r>
      <w:r w:rsidR="008A4647" w:rsidRPr="00DF33A1">
        <w:t xml:space="preserve">(vgl. zum Ganzen: </w:t>
      </w:r>
      <w:r w:rsidR="005B7C9F" w:rsidRPr="00DF33A1">
        <w:t xml:space="preserve">Aufsatz von </w:t>
      </w:r>
      <w:r w:rsidR="008A4647" w:rsidRPr="00DF33A1">
        <w:rPr>
          <w:smallCaps/>
        </w:rPr>
        <w:t>Rohrer,</w:t>
      </w:r>
      <w:r w:rsidR="008A4647" w:rsidRPr="00DF33A1">
        <w:t xml:space="preserve"> </w:t>
      </w:r>
      <w:r w:rsidR="004E1F76">
        <w:t>Vertragsänderungen</w:t>
      </w:r>
      <w:r w:rsidR="008A4647" w:rsidRPr="00E80DB5">
        <w:t>, S. 3 ff.</w:t>
      </w:r>
      <w:r w:rsidR="008A4647" w:rsidRPr="00AB420B">
        <w:t xml:space="preserve"> mit Verweis u.</w:t>
      </w:r>
      <w:r w:rsidR="008A4647" w:rsidRPr="00185624">
        <w:t>a. auf</w:t>
      </w:r>
      <w:r w:rsidR="008A4647" w:rsidRPr="00EF7C69">
        <w:t xml:space="preserve"> BGE 123 III 70</w:t>
      </w:r>
      <w:r w:rsidR="005B7C9F" w:rsidRPr="00DF33A1">
        <w:t>, au</w:t>
      </w:r>
      <w:r w:rsidR="005B7C9F" w:rsidRPr="00DF33A1">
        <w:t>s</w:t>
      </w:r>
      <w:r w:rsidR="005B7C9F" w:rsidRPr="00DF33A1">
        <w:t xml:space="preserve">zugsweise wiedergegeben und kommentiert in </w:t>
      </w:r>
      <w:r w:rsidR="008A4647" w:rsidRPr="00DF33A1">
        <w:t xml:space="preserve">MRA </w:t>
      </w:r>
      <w:r w:rsidR="00F929AD" w:rsidRPr="00DF33A1">
        <w:t>19</w:t>
      </w:r>
      <w:r w:rsidR="008A4647" w:rsidRPr="00DF33A1">
        <w:t xml:space="preserve">97, S. 72 ff., </w:t>
      </w:r>
      <w:r w:rsidR="005B7C9F" w:rsidRPr="00DF33A1">
        <w:t xml:space="preserve">BGer </w:t>
      </w:r>
      <w:r w:rsidR="008A4647" w:rsidRPr="00DF33A1">
        <w:t>4A_198/2008 vom 07.07.2008</w:t>
      </w:r>
      <w:r w:rsidR="005B7C9F" w:rsidRPr="00DF33A1">
        <w:t xml:space="preserve">, auszugsweise wiedergegeben und kommentiert in </w:t>
      </w:r>
      <w:r w:rsidR="008A4647" w:rsidRPr="00DF33A1">
        <w:t xml:space="preserve">MRA </w:t>
      </w:r>
      <w:r w:rsidR="00F929AD" w:rsidRPr="00DF33A1">
        <w:t>20</w:t>
      </w:r>
      <w:r w:rsidR="008A4647" w:rsidRPr="00DF33A1">
        <w:t xml:space="preserve">08, S. 151 ff., </w:t>
      </w:r>
      <w:r w:rsidR="005B7C9F" w:rsidRPr="00DF33A1">
        <w:t>BGer</w:t>
      </w:r>
      <w:r w:rsidR="008A4647" w:rsidRPr="00DF33A1">
        <w:t xml:space="preserve"> 4A_576/2008 vom 19.02.2009, </w:t>
      </w:r>
      <w:r w:rsidR="005B7C9F" w:rsidRPr="00DF33A1">
        <w:t xml:space="preserve">BGer </w:t>
      </w:r>
      <w:r w:rsidR="008A4647" w:rsidRPr="00DF33A1">
        <w:t>4A_88/2013 vom 17.07.2013</w:t>
      </w:r>
      <w:r w:rsidR="005B7C9F" w:rsidRPr="00DF33A1">
        <w:t xml:space="preserve">, auszugsweise wiedergegeben und kommentiert in </w:t>
      </w:r>
      <w:r w:rsidR="007953BE" w:rsidRPr="00DF33A1">
        <w:t>MRA </w:t>
      </w:r>
      <w:r w:rsidR="00F929AD" w:rsidRPr="00DF33A1">
        <w:t>20</w:t>
      </w:r>
      <w:r w:rsidR="008A4647" w:rsidRPr="00DF33A1">
        <w:t>13, S. 46 ff.).</w:t>
      </w:r>
    </w:p>
    <w:p w:rsidR="0085220F" w:rsidRPr="00D41E31" w:rsidRDefault="00F01B4F" w:rsidP="00177658">
      <w:pPr>
        <w:pStyle w:val="Mustertextklein"/>
      </w:pPr>
      <w:r w:rsidRPr="00DF33A1">
        <w:rPr>
          <w:rStyle w:val="fettMuster"/>
          <w:i w:val="0"/>
          <w:sz w:val="16"/>
        </w:rPr>
        <w:tab/>
      </w:r>
      <w:r w:rsidRPr="00DF33A1">
        <w:rPr>
          <w:rStyle w:val="fettMuster"/>
          <w:sz w:val="16"/>
        </w:rPr>
        <w:t xml:space="preserve">Bemerkung </w:t>
      </w:r>
      <w:r w:rsidR="002A4674" w:rsidRPr="00DF33A1">
        <w:rPr>
          <w:rStyle w:val="fettMuster"/>
          <w:sz w:val="16"/>
        </w:rPr>
        <w:t>1</w:t>
      </w:r>
      <w:r w:rsidR="00D40191" w:rsidRPr="00DF33A1">
        <w:rPr>
          <w:rStyle w:val="fettMuster"/>
          <w:sz w:val="16"/>
        </w:rPr>
        <w:t>2</w:t>
      </w:r>
      <w:r w:rsidRPr="00DF33A1">
        <w:rPr>
          <w:rStyle w:val="fettMuster"/>
          <w:sz w:val="16"/>
        </w:rPr>
        <w:t>:</w:t>
      </w:r>
      <w:r w:rsidRPr="00DF33A1">
        <w:t xml:space="preserve"> Die Begründung der Erhöhung hat auf dem Formular selber zu erfolgen; der Verweis auf eine Begründung in einem Begleitschreiben ist nur zulässig, wenn auf dem Formular ausdrücklich </w:t>
      </w:r>
      <w:r w:rsidR="005B7C9F" w:rsidRPr="00DF33A1">
        <w:t>dar</w:t>
      </w:r>
      <w:r w:rsidRPr="00DF33A1">
        <w:t>auf hingewiesen wird (Art. 19 Abs. 1</w:t>
      </w:r>
      <w:r w:rsidRPr="00DF33A1">
        <w:rPr>
          <w:vertAlign w:val="superscript"/>
        </w:rPr>
        <w:t>bis</w:t>
      </w:r>
      <w:r w:rsidRPr="00E80DB5">
        <w:t xml:space="preserve"> VMWG). Gemäss Art. 19 Abs. 1 lit. a Ziff. 4 VMWG hat die Begründung </w:t>
      </w:r>
      <w:r w:rsidR="00504343">
        <w:t>«</w:t>
      </w:r>
      <w:r w:rsidRPr="00E80DB5">
        <w:t>klar</w:t>
      </w:r>
      <w:r w:rsidR="00504343">
        <w:t>»</w:t>
      </w:r>
      <w:r w:rsidRPr="00E80DB5">
        <w:t xml:space="preserve"> zu sein. In Bezug auf die hier behandelte</w:t>
      </w:r>
      <w:r w:rsidRPr="00AB420B">
        <w:t xml:space="preserve"> Mietzinserhöhung erweist sich die B</w:t>
      </w:r>
      <w:r w:rsidRPr="00AB420B">
        <w:t>e</w:t>
      </w:r>
      <w:r w:rsidRPr="00D41E31">
        <w:t xml:space="preserve">gründung </w:t>
      </w:r>
      <w:r w:rsidR="00504343">
        <w:t>«</w:t>
      </w:r>
      <w:r w:rsidRPr="00E80DB5">
        <w:t>Anpassung an die Orts- und Quartierüblichkeit</w:t>
      </w:r>
      <w:r w:rsidR="00504343">
        <w:t>»</w:t>
      </w:r>
      <w:r w:rsidRPr="00E80DB5">
        <w:t xml:space="preserve"> als </w:t>
      </w:r>
      <w:r w:rsidR="005B7C9F" w:rsidRPr="00AB420B">
        <w:t>aus</w:t>
      </w:r>
      <w:r w:rsidRPr="00D41E31">
        <w:t>reichend</w:t>
      </w:r>
      <w:r w:rsidR="00D95744" w:rsidRPr="00185624">
        <w:t xml:space="preserve"> </w:t>
      </w:r>
      <w:r w:rsidR="005B7C9F" w:rsidRPr="00A74099">
        <w:t>und mithin als g</w:t>
      </w:r>
      <w:r w:rsidR="005B7C9F" w:rsidRPr="00EF7C69">
        <w:t>e</w:t>
      </w:r>
      <w:r w:rsidR="005B7C9F" w:rsidRPr="00DF33A1">
        <w:t>nügend klar</w:t>
      </w:r>
      <w:r w:rsidRPr="00DF33A1">
        <w:t>.</w:t>
      </w:r>
      <w:r w:rsidR="007E4DD8" w:rsidRPr="00DF33A1">
        <w:t xml:space="preserve"> </w:t>
      </w:r>
      <w:r w:rsidR="0085220F" w:rsidRPr="00DF33A1">
        <w:t xml:space="preserve">Nach der bundesgerichtlichen Rechtsprechung </w:t>
      </w:r>
      <w:r w:rsidR="0085220F" w:rsidRPr="00DF33A1">
        <w:rPr>
          <w:b/>
        </w:rPr>
        <w:t>ist eine unklar begründete Mietzinserhöhung einer nicht begründeten gleichzustellen</w:t>
      </w:r>
      <w:r w:rsidR="0085220F" w:rsidRPr="00DF33A1">
        <w:t xml:space="preserve">. Demgemäss ist sowohl eine unbegründete als auch eine nicht klar begründete Mietzinserhöhung </w:t>
      </w:r>
      <w:r w:rsidR="0085220F" w:rsidRPr="00DF33A1">
        <w:rPr>
          <w:b/>
        </w:rPr>
        <w:t>nichtig</w:t>
      </w:r>
      <w:r w:rsidR="0085220F" w:rsidRPr="00DF33A1">
        <w:t xml:space="preserve"> (vgl. BGE 121 III 6 E. 3</w:t>
      </w:r>
      <w:r w:rsidR="004E1F76">
        <w:t>.</w:t>
      </w:r>
      <w:r w:rsidR="0085220F" w:rsidRPr="00E80DB5">
        <w:t>b</w:t>
      </w:r>
      <w:r w:rsidR="005B7C9F" w:rsidRPr="00E80DB5">
        <w:t>, auszugsweise</w:t>
      </w:r>
      <w:r w:rsidR="001067D0" w:rsidRPr="00AB420B">
        <w:t xml:space="preserve"> </w:t>
      </w:r>
      <w:r w:rsidR="005B7C9F" w:rsidRPr="00D41E31">
        <w:t>wiedergeg</w:t>
      </w:r>
      <w:r w:rsidR="005B7C9F" w:rsidRPr="00D41E31">
        <w:t>e</w:t>
      </w:r>
      <w:r w:rsidR="005B7C9F" w:rsidRPr="00D41E31">
        <w:t xml:space="preserve">ben </w:t>
      </w:r>
      <w:r w:rsidR="00453776" w:rsidRPr="00185624">
        <w:t xml:space="preserve">in deutscher Übersetzung </w:t>
      </w:r>
      <w:r w:rsidR="005B7C9F" w:rsidRPr="00A74099">
        <w:t>und kommentiert in</w:t>
      </w:r>
      <w:r w:rsidR="0085220F" w:rsidRPr="00EF7C69">
        <w:t xml:space="preserve"> MRA </w:t>
      </w:r>
      <w:r w:rsidR="00F929AD" w:rsidRPr="00DF33A1">
        <w:t>19</w:t>
      </w:r>
      <w:r w:rsidR="0085220F" w:rsidRPr="00DF33A1">
        <w:t>95, S. 139 ff.; BGE 121 III 460 E. 4</w:t>
      </w:r>
      <w:r w:rsidR="004E1F76">
        <w:t>.</w:t>
      </w:r>
      <w:r w:rsidR="0085220F" w:rsidRPr="00E80DB5">
        <w:t>a</w:t>
      </w:r>
      <w:r w:rsidR="004E1F76">
        <w:t>.</w:t>
      </w:r>
      <w:r w:rsidR="0085220F" w:rsidRPr="00E80DB5">
        <w:t>cc; ZK</w:t>
      </w:r>
      <w:r w:rsidR="00BD7C79">
        <w:t xml:space="preserve"> OR</w:t>
      </w:r>
      <w:r w:rsidR="0085220F" w:rsidRPr="00E80DB5">
        <w:t>-</w:t>
      </w:r>
      <w:r w:rsidR="00F247FC" w:rsidRPr="00E80DB5">
        <w:rPr>
          <w:smallCaps/>
        </w:rPr>
        <w:t>Higi</w:t>
      </w:r>
      <w:r w:rsidR="0085220F" w:rsidRPr="00AB420B">
        <w:t>, Art. 269d</w:t>
      </w:r>
      <w:r w:rsidR="0085220F" w:rsidRPr="00A74099">
        <w:t xml:space="preserve"> N 82</w:t>
      </w:r>
      <w:r w:rsidR="001965B6" w:rsidRPr="00EF7C69">
        <w:t xml:space="preserve"> </w:t>
      </w:r>
      <w:r w:rsidR="0085220F" w:rsidRPr="00DF33A1">
        <w:t>ff. und N 117</w:t>
      </w:r>
      <w:r w:rsidR="0070065C" w:rsidRPr="00DF33A1">
        <w:t>; SVIT-Kommentar</w:t>
      </w:r>
      <w:r w:rsidR="005B7C9F" w:rsidRPr="00DF33A1">
        <w:t xml:space="preserve"> </w:t>
      </w:r>
      <w:r w:rsidR="001965B6" w:rsidRPr="00DF33A1">
        <w:t>Art. </w:t>
      </w:r>
      <w:r w:rsidR="0070065C" w:rsidRPr="00DF33A1">
        <w:t>269d OR N 33 ff</w:t>
      </w:r>
      <w:r w:rsidR="0070065C" w:rsidRPr="00E80DB5">
        <w:t>.</w:t>
      </w:r>
      <w:r w:rsidR="0085220F" w:rsidRPr="00E80DB5">
        <w:t>). Die Begrü</w:t>
      </w:r>
      <w:r w:rsidR="0085220F" w:rsidRPr="00AB420B">
        <w:t>ndung muss nicht unbedingt auf dem amtlichen Formular aufgeführt sein, sonder</w:t>
      </w:r>
      <w:r w:rsidR="0085220F" w:rsidRPr="00D41E31">
        <w:t>n kann auch in einem Beglei</w:t>
      </w:r>
      <w:r w:rsidR="0085220F" w:rsidRPr="00D41E31">
        <w:t>t</w:t>
      </w:r>
      <w:r w:rsidR="0085220F" w:rsidRPr="00D41E31">
        <w:t>schreiben erfolgen, sofern die Vermieterin im Formular ausdrücklich d</w:t>
      </w:r>
      <w:r w:rsidR="0085220F" w:rsidRPr="00185624">
        <w:t>a</w:t>
      </w:r>
      <w:r w:rsidR="0085220F" w:rsidRPr="00A74099">
        <w:t>rauf hinweist (Art. 19 Abs. 1</w:t>
      </w:r>
      <w:r w:rsidR="0085220F" w:rsidRPr="00DF33A1">
        <w:rPr>
          <w:vertAlign w:val="superscript"/>
        </w:rPr>
        <w:t>bis</w:t>
      </w:r>
      <w:r w:rsidR="0085220F" w:rsidRPr="00E80DB5">
        <w:t xml:space="preserve"> </w:t>
      </w:r>
      <w:r w:rsidR="0085220F" w:rsidRPr="00E80DB5">
        <w:lastRenderedPageBreak/>
        <w:t>VMWG). Darüber hinaus kann im Begleitschreiben der im Formular angegebene Grund näher erlä</w:t>
      </w:r>
      <w:r w:rsidR="0085220F" w:rsidRPr="00E80DB5">
        <w:t>u</w:t>
      </w:r>
      <w:r w:rsidR="0085220F" w:rsidRPr="00E80DB5">
        <w:t>tert werden (</w:t>
      </w:r>
      <w:r w:rsidR="005B7C9F" w:rsidRPr="00E80DB5">
        <w:t xml:space="preserve">BGer </w:t>
      </w:r>
      <w:r w:rsidR="0085220F" w:rsidRPr="00AB420B">
        <w:t>4C</w:t>
      </w:r>
      <w:r w:rsidR="004E1F76">
        <w:t>.</w:t>
      </w:r>
      <w:r w:rsidR="0085220F" w:rsidRPr="00E80DB5">
        <w:t>245/1999 vom 03.01.2000</w:t>
      </w:r>
      <w:r w:rsidR="0085220F" w:rsidRPr="00AB420B">
        <w:t xml:space="preserve"> E. 3</w:t>
      </w:r>
      <w:r w:rsidR="00D24350" w:rsidRPr="00D41E31">
        <w:t>.</w:t>
      </w:r>
      <w:r w:rsidR="0085220F" w:rsidRPr="00185624">
        <w:t>a; BGE 121 III 6</w:t>
      </w:r>
      <w:r w:rsidR="0085220F" w:rsidRPr="00EF7C69">
        <w:t xml:space="preserve"> E. 3</w:t>
      </w:r>
      <w:r w:rsidR="00D24350" w:rsidRPr="00DF33A1">
        <w:t>.</w:t>
      </w:r>
      <w:r w:rsidR="0085220F" w:rsidRPr="00DF33A1">
        <w:t>a</w:t>
      </w:r>
      <w:r w:rsidR="00852413" w:rsidRPr="00DF33A1">
        <w:t>; vgl. auch</w:t>
      </w:r>
      <w:r w:rsidR="004E1F76">
        <w:t xml:space="preserve"> III. Ergänzende Hinweise, 3. Keine Kumulation von relativen und absoluten Erhöhungsgründen, </w:t>
      </w:r>
      <w:r w:rsidR="00E66B45" w:rsidRPr="00E80DB5">
        <w:t>Rz 19 ff.</w:t>
      </w:r>
      <w:r w:rsidR="00852413" w:rsidRPr="00AB420B">
        <w:t>).</w:t>
      </w:r>
    </w:p>
    <w:p w:rsidR="001965B6" w:rsidRPr="00DF33A1" w:rsidRDefault="0085220F" w:rsidP="00177658">
      <w:pPr>
        <w:pStyle w:val="Mustertextklein"/>
      </w:pPr>
      <w:r w:rsidRPr="00185624">
        <w:rPr>
          <w:rStyle w:val="fettMuster"/>
          <w:i w:val="0"/>
          <w:sz w:val="16"/>
        </w:rPr>
        <w:tab/>
      </w:r>
      <w:r w:rsidRPr="00A74099">
        <w:rPr>
          <w:rStyle w:val="fettMuster"/>
          <w:sz w:val="16"/>
        </w:rPr>
        <w:t>Bemerkung 1</w:t>
      </w:r>
      <w:r w:rsidR="00D40191" w:rsidRPr="00EF7C69">
        <w:rPr>
          <w:rStyle w:val="fettMuster"/>
          <w:sz w:val="16"/>
        </w:rPr>
        <w:t>3</w:t>
      </w:r>
      <w:r w:rsidRPr="00DF33A1">
        <w:rPr>
          <w:rStyle w:val="fettMuster"/>
          <w:sz w:val="16"/>
        </w:rPr>
        <w:t>:</w:t>
      </w:r>
      <w:r w:rsidRPr="00DF33A1">
        <w:t xml:space="preserve"> </w:t>
      </w:r>
      <w:r w:rsidR="007E4DD8" w:rsidRPr="00DF33A1">
        <w:t xml:space="preserve">Das Formular ist von der Vermieterin (oder zumindest von deren rechtsgenügend bevollmächtigten Vertretern) </w:t>
      </w:r>
      <w:r w:rsidR="007E4DD8" w:rsidRPr="00DF33A1">
        <w:rPr>
          <w:b/>
        </w:rPr>
        <w:t>eigenhändig zu unterzeichnen,</w:t>
      </w:r>
      <w:r w:rsidR="007E4DD8" w:rsidRPr="00E80DB5">
        <w:t xml:space="preserve"> ansonsten die Mitteilung nichtig </w:t>
      </w:r>
      <w:r w:rsidR="001D4D22" w:rsidRPr="00E80DB5">
        <w:t>ist</w:t>
      </w:r>
      <w:r w:rsidR="007E4DD8" w:rsidRPr="00AB420B">
        <w:t xml:space="preserve"> (</w:t>
      </w:r>
      <w:r w:rsidR="005B7C9F" w:rsidRPr="00D41E31">
        <w:t xml:space="preserve">BGer </w:t>
      </w:r>
      <w:r w:rsidR="007E4DD8" w:rsidRPr="00185624">
        <w:t>4C</w:t>
      </w:r>
      <w:r w:rsidR="002377CC" w:rsidRPr="00A74099">
        <w:t>.</w:t>
      </w:r>
      <w:r w:rsidR="007E4DD8" w:rsidRPr="00EF7C69">
        <w:t xml:space="preserve">110/2003 </w:t>
      </w:r>
      <w:r w:rsidR="00BA3518" w:rsidRPr="00DF33A1">
        <w:t xml:space="preserve">vom </w:t>
      </w:r>
      <w:r w:rsidR="00FE68B2" w:rsidRPr="00DF33A1">
        <w:t>08.07.</w:t>
      </w:r>
      <w:r w:rsidR="00BA3518" w:rsidRPr="00DF33A1">
        <w:t>2003</w:t>
      </w:r>
      <w:r w:rsidR="002377CC" w:rsidRPr="00DF33A1">
        <w:t>, auszugsweise wiedergegeben und kommentiert in</w:t>
      </w:r>
      <w:r w:rsidR="007E4DD8" w:rsidRPr="00DF33A1">
        <w:t xml:space="preserve"> MRA </w:t>
      </w:r>
      <w:r w:rsidR="00F929AD" w:rsidRPr="00DF33A1">
        <w:t>20</w:t>
      </w:r>
      <w:r w:rsidR="007E4DD8" w:rsidRPr="00DF33A1">
        <w:t>03, S. 109</w:t>
      </w:r>
      <w:r w:rsidR="002370EB" w:rsidRPr="00DF33A1">
        <w:t xml:space="preserve"> </w:t>
      </w:r>
      <w:r w:rsidR="007E4DD8" w:rsidRPr="00DF33A1">
        <w:t xml:space="preserve">ff. mit berechtigter Kritik von </w:t>
      </w:r>
      <w:r w:rsidR="007E4DD8" w:rsidRPr="00DF33A1">
        <w:rPr>
          <w:smallCaps/>
        </w:rPr>
        <w:t>Wetzel</w:t>
      </w:r>
      <w:r w:rsidR="007E4DD8" w:rsidRPr="00DF33A1">
        <w:t xml:space="preserve"> an diesem unnötigen Formalismus; SVIT-Kommentar</w:t>
      </w:r>
      <w:r w:rsidR="00E80DB5" w:rsidRPr="00DF33A1">
        <w:t xml:space="preserve">, </w:t>
      </w:r>
      <w:r w:rsidR="00FE68B2" w:rsidRPr="00A74099">
        <w:t xml:space="preserve">Art. 269d </w:t>
      </w:r>
      <w:r w:rsidR="00FE68B2" w:rsidRPr="00EF7C69">
        <w:t>OR</w:t>
      </w:r>
      <w:r w:rsidR="00FE68B2" w:rsidRPr="00DF33A1">
        <w:t xml:space="preserve"> </w:t>
      </w:r>
      <w:r w:rsidR="002370EB" w:rsidRPr="00DF33A1">
        <w:t>N </w:t>
      </w:r>
      <w:r w:rsidR="007E4DD8" w:rsidRPr="00DF33A1">
        <w:t>30</w:t>
      </w:r>
      <w:r w:rsidR="00BA3518" w:rsidRPr="00E80DB5">
        <w:t xml:space="preserve"> </w:t>
      </w:r>
      <w:r w:rsidR="001D4D22" w:rsidRPr="00AB420B">
        <w:t>mit weiteren Hinweisen</w:t>
      </w:r>
      <w:r w:rsidR="00FE68B2" w:rsidRPr="00D41E31">
        <w:t>)</w:t>
      </w:r>
      <w:r w:rsidR="007E4DD8" w:rsidRPr="00185624">
        <w:t xml:space="preserve">. Eine </w:t>
      </w:r>
      <w:r w:rsidR="00BA3518" w:rsidRPr="00A74099">
        <w:t>Ausnahme</w:t>
      </w:r>
      <w:r w:rsidR="007E4DD8" w:rsidRPr="00EF7C69">
        <w:t xml:space="preserve"> davon kann gemäss Bundesg</w:t>
      </w:r>
      <w:r w:rsidR="007E4DD8" w:rsidRPr="00DF33A1">
        <w:t xml:space="preserve">ericht nur insoweit gelten, als die Vermieterin </w:t>
      </w:r>
      <w:r w:rsidR="00504343">
        <w:t>«</w:t>
      </w:r>
      <w:r w:rsidR="007E4DD8" w:rsidRPr="00E80DB5">
        <w:t>nachweisen könne, dass eine Faksimile-Unterschrift im Verkehr üblich sei, weil entsprechende Dokumente in grosser Zahl ausgegeben würde</w:t>
      </w:r>
      <w:r w:rsidR="007E4DD8" w:rsidRPr="00AB420B">
        <w:t>n</w:t>
      </w:r>
      <w:r w:rsidR="00504343">
        <w:t>»</w:t>
      </w:r>
      <w:r w:rsidR="00BA3518" w:rsidRPr="00E80DB5">
        <w:t xml:space="preserve"> (</w:t>
      </w:r>
      <w:r w:rsidR="006C7502" w:rsidRPr="00AB420B">
        <w:t>BGer </w:t>
      </w:r>
      <w:r w:rsidR="00BA3518" w:rsidRPr="00D41E31">
        <w:t>4C</w:t>
      </w:r>
      <w:r w:rsidR="002377CC" w:rsidRPr="00185624">
        <w:t>.</w:t>
      </w:r>
      <w:r w:rsidR="00BA3518" w:rsidRPr="00A74099">
        <w:t>110/2003</w:t>
      </w:r>
      <w:r w:rsidR="00FE68B2" w:rsidRPr="00EF7C69">
        <w:t xml:space="preserve"> vom 08.07.2003</w:t>
      </w:r>
      <w:r w:rsidR="00BA3518" w:rsidRPr="00DF33A1">
        <w:t xml:space="preserve"> E. 3.5). </w:t>
      </w:r>
    </w:p>
    <w:p w:rsidR="00644501" w:rsidRPr="00DF33A1" w:rsidRDefault="00644501" w:rsidP="00DF33A1">
      <w:pPr>
        <w:pStyle w:val="MustertextTitelEbene2"/>
        <w:rPr>
          <w:rStyle w:val="fettMuster"/>
        </w:rPr>
      </w:pPr>
      <w:r w:rsidRPr="00A74099">
        <w:rPr>
          <w:rStyle w:val="fettMuster"/>
          <w:b/>
        </w:rPr>
        <w:t>C.</w:t>
      </w:r>
      <w:r w:rsidRPr="00A74099">
        <w:rPr>
          <w:rStyle w:val="fettMuster"/>
          <w:b/>
        </w:rPr>
        <w:tab/>
        <w:t>Die Anfechtung der Mietzinserhöhung durch die Mieterin</w:t>
      </w:r>
    </w:p>
    <w:p w:rsidR="00BC7BCD" w:rsidRDefault="00193C24">
      <w:pPr>
        <w:pStyle w:val="MustertextListe0"/>
      </w:pPr>
      <w:r w:rsidRPr="00193C24">
        <w:t xml:space="preserve">Die Mieterin focht diese Erhöhung mit Datum vom </w:t>
      </w:r>
      <w:r w:rsidR="00BD1653">
        <w:t>9</w:t>
      </w:r>
      <w:r w:rsidRPr="00193C24">
        <w:t>. April 2015 bei der Schlichtungsbehörde Zürich an. Anlässlich der Schlichtungsverhandlung vom 25. Juni 2015 konnte</w:t>
      </w:r>
      <w:r w:rsidR="00E66B45" w:rsidRPr="00E66B45">
        <w:t xml:space="preserve"> </w:t>
      </w:r>
      <w:r w:rsidR="00E66B45" w:rsidRPr="00193C24">
        <w:t>zwischen den Parteien</w:t>
      </w:r>
      <w:r w:rsidRPr="00193C24">
        <w:t xml:space="preserve"> keine Einigung erzielt wer</w:t>
      </w:r>
      <w:r w:rsidR="00F01B4F">
        <w:t>den. Der Vermieterin wurde glei</w:t>
      </w:r>
      <w:r w:rsidRPr="00193C24">
        <w:t>chentags die Klagebewi</w:t>
      </w:r>
      <w:r w:rsidRPr="00193C24">
        <w:t>l</w:t>
      </w:r>
      <w:r w:rsidRPr="00193C24">
        <w:t>ligung ausgestellt.</w:t>
      </w:r>
    </w:p>
    <w:p w:rsidR="004C7E9E" w:rsidRDefault="00BC7BCD" w:rsidP="00DF33A1">
      <w:pPr>
        <w:pStyle w:val="MustertextBO"/>
      </w:pPr>
      <w:r>
        <w:tab/>
      </w:r>
      <w:r w:rsidR="000B65FE" w:rsidRPr="00191C57">
        <w:rPr>
          <w:rStyle w:val="fettMuster"/>
        </w:rPr>
        <w:t>BO:</w:t>
      </w:r>
      <w:r w:rsidR="004C7E9E">
        <w:t xml:space="preserve"> </w:t>
      </w:r>
      <w:r w:rsidR="00644501" w:rsidRPr="00F90689">
        <w:t xml:space="preserve">Beschluss der Schlichtungsbehörde des Bezirkes Zürich </w:t>
      </w:r>
      <w:r w:rsidR="000144AD" w:rsidRPr="00F90689">
        <w:t>v</w:t>
      </w:r>
      <w:r w:rsidR="00644501" w:rsidRPr="00F90689">
        <w:t>om</w:t>
      </w:r>
      <w:r w:rsidR="000144AD" w:rsidRPr="00F90689">
        <w:t xml:space="preserve"> </w:t>
      </w:r>
      <w:r w:rsidR="00644501" w:rsidRPr="00F90689">
        <w:t>25.06.2015</w:t>
      </w:r>
    </w:p>
    <w:p w:rsidR="000B65FE" w:rsidRPr="00191C57" w:rsidRDefault="00644501" w:rsidP="00DF33A1">
      <w:pPr>
        <w:pStyle w:val="MustertextBO"/>
      </w:pPr>
      <w:r w:rsidRPr="00F90689">
        <w:t xml:space="preserve"> </w:t>
      </w:r>
      <w:r w:rsidR="004C7E9E">
        <w:tab/>
      </w:r>
      <w:r w:rsidR="00915E32">
        <w:tab/>
      </w:r>
      <w:r w:rsidRPr="00F90689">
        <w:t>(Klagebewilligung)</w:t>
      </w:r>
      <w:r w:rsidR="000B65FE" w:rsidRPr="00F90689">
        <w:tab/>
      </w:r>
      <w:r w:rsidR="008B1CBE" w:rsidRPr="00F90689">
        <w:tab/>
      </w:r>
      <w:r w:rsidR="00297816" w:rsidRPr="00F90689">
        <w:tab/>
      </w:r>
      <w:r w:rsidR="00060695" w:rsidRPr="00F90689">
        <w:tab/>
      </w:r>
      <w:r w:rsidR="00A365CF" w:rsidRPr="00F90689">
        <w:tab/>
      </w:r>
      <w:r w:rsidR="004C7E9E">
        <w:tab/>
      </w:r>
      <w:r w:rsidR="004C7E9E">
        <w:tab/>
      </w:r>
      <w:r w:rsidR="00F4325E">
        <w:tab/>
      </w:r>
      <w:r w:rsidRPr="00DF33A1">
        <w:rPr>
          <w:b/>
        </w:rPr>
        <w:t>(B</w:t>
      </w:r>
      <w:r w:rsidRPr="00E80DB5">
        <w:rPr>
          <w:rStyle w:val="fettMuster"/>
        </w:rPr>
        <w:t>eilage II)</w:t>
      </w:r>
    </w:p>
    <w:p w:rsidR="000B65FE" w:rsidRPr="00EF7C69" w:rsidRDefault="000B65FE" w:rsidP="00177658">
      <w:pPr>
        <w:pStyle w:val="Mustertextklein"/>
      </w:pPr>
      <w:r w:rsidRPr="00E80DB5">
        <w:tab/>
      </w:r>
      <w:r w:rsidRPr="00E80DB5">
        <w:rPr>
          <w:rStyle w:val="fettMuster"/>
          <w:sz w:val="16"/>
        </w:rPr>
        <w:t xml:space="preserve">Bemerkung </w:t>
      </w:r>
      <w:r w:rsidR="002A4674" w:rsidRPr="00AB420B">
        <w:rPr>
          <w:rStyle w:val="fettMuster"/>
          <w:sz w:val="16"/>
        </w:rPr>
        <w:t>1</w:t>
      </w:r>
      <w:r w:rsidR="00D40191" w:rsidRPr="00D41E31">
        <w:rPr>
          <w:rStyle w:val="fettMuster"/>
          <w:sz w:val="16"/>
        </w:rPr>
        <w:t>4</w:t>
      </w:r>
      <w:r w:rsidR="00F01B4F" w:rsidRPr="00185624">
        <w:rPr>
          <w:rStyle w:val="fettMuster"/>
          <w:sz w:val="16"/>
        </w:rPr>
        <w:t>:</w:t>
      </w:r>
      <w:r w:rsidRPr="00A74099">
        <w:t xml:space="preserve"> </w:t>
      </w:r>
      <w:r w:rsidR="007050C7" w:rsidRPr="00EF7C69">
        <w:t xml:space="preserve">Haben mehrere </w:t>
      </w:r>
      <w:r w:rsidR="007050C7" w:rsidRPr="00DF33A1">
        <w:t>Personen ein Mietobjekt gemeinsam gemietet und f</w:t>
      </w:r>
      <w:r w:rsidR="00F01B4F" w:rsidRPr="00DF33A1">
        <w:t>icht bloss eine</w:t>
      </w:r>
      <w:r w:rsidR="007050C7" w:rsidRPr="00DF33A1">
        <w:t>r von ihnen</w:t>
      </w:r>
      <w:r w:rsidR="00F01B4F" w:rsidRPr="00DF33A1">
        <w:t xml:space="preserve"> die Mietzinserhöhung fristgerecht an, so bleibt die Anfechtung unwirksam, denn die Mie</w:t>
      </w:r>
      <w:r w:rsidR="00F01B4F" w:rsidRPr="00DF33A1">
        <w:t>t</w:t>
      </w:r>
      <w:r w:rsidR="00F01B4F" w:rsidRPr="00DF33A1">
        <w:t xml:space="preserve">parteien bilden eine </w:t>
      </w:r>
      <w:r w:rsidR="00504343">
        <w:t>«</w:t>
      </w:r>
      <w:r w:rsidR="00F01B4F" w:rsidRPr="00E80DB5">
        <w:t>notwendige Streitgenossenschaft</w:t>
      </w:r>
      <w:r w:rsidR="00504343">
        <w:t>»</w:t>
      </w:r>
      <w:r w:rsidR="00F01B4F" w:rsidRPr="00E80DB5">
        <w:t xml:space="preserve"> (BGE 136 III 431</w:t>
      </w:r>
      <w:r w:rsidR="00FE68B2" w:rsidRPr="00D41E31">
        <w:t xml:space="preserve"> E. </w:t>
      </w:r>
      <w:r w:rsidR="002424DB" w:rsidRPr="00185624">
        <w:t>3</w:t>
      </w:r>
      <w:r w:rsidR="00F01B4F" w:rsidRPr="00A74099">
        <w:t>). Wollen nicht sämtl</w:t>
      </w:r>
      <w:r w:rsidR="00F01B4F" w:rsidRPr="00A74099">
        <w:t>i</w:t>
      </w:r>
      <w:r w:rsidR="00F01B4F" w:rsidRPr="00A74099">
        <w:t>che Mietparteien die Erhöhung anfechten, so sind diese von den a</w:t>
      </w:r>
      <w:r w:rsidR="00F01B4F" w:rsidRPr="00EF7C69">
        <w:t>n</w:t>
      </w:r>
      <w:r w:rsidR="00F01B4F" w:rsidRPr="00DF33A1">
        <w:t>fechtenden Parteien ebenfalls einzuklagen (</w:t>
      </w:r>
      <w:r w:rsidR="00C0693B" w:rsidRPr="00DF33A1">
        <w:t xml:space="preserve">analog zur Anfechtung einer Kündigung, </w:t>
      </w:r>
      <w:r w:rsidR="00F01B4F" w:rsidRPr="00DF33A1">
        <w:t xml:space="preserve">vgl. BGE </w:t>
      </w:r>
      <w:r w:rsidR="008F17EE" w:rsidRPr="00DF33A1">
        <w:t>140 III 598 E.</w:t>
      </w:r>
      <w:r w:rsidR="007050C7" w:rsidRPr="00DF33A1">
        <w:t xml:space="preserve"> </w:t>
      </w:r>
      <w:r w:rsidR="008F17EE" w:rsidRPr="00DF33A1">
        <w:t>3</w:t>
      </w:r>
      <w:r w:rsidR="00C0693B" w:rsidRPr="00DF33A1">
        <w:t>)</w:t>
      </w:r>
      <w:r w:rsidR="007050C7" w:rsidRPr="00DF33A1">
        <w:t>.</w:t>
      </w:r>
      <w:r w:rsidR="002424DB" w:rsidRPr="00DF33A1">
        <w:t xml:space="preserve"> </w:t>
      </w:r>
      <w:r w:rsidR="00E66B45" w:rsidRPr="00DF33A1">
        <w:t>Einzelne Vertreteri</w:t>
      </w:r>
      <w:r w:rsidR="00E66B45" w:rsidRPr="00DF33A1">
        <w:t>n</w:t>
      </w:r>
      <w:r w:rsidR="00E66B45" w:rsidRPr="00DF33A1">
        <w:t>nen und Vertreter von Mieterinteressen sin</w:t>
      </w:r>
      <w:r w:rsidR="000E0E48" w:rsidRPr="00DF33A1">
        <w:t>d</w:t>
      </w:r>
      <w:r w:rsidR="00E66B45" w:rsidRPr="00DF33A1">
        <w:t xml:space="preserve"> der Auffassung</w:t>
      </w:r>
      <w:r w:rsidR="002424DB" w:rsidRPr="00DF33A1">
        <w:t xml:space="preserve">, dass diese Rechtsprechung zwar nicht </w:t>
      </w:r>
      <w:r w:rsidR="00C0693B" w:rsidRPr="00DF33A1">
        <w:t xml:space="preserve">ohne weiteres, </w:t>
      </w:r>
      <w:r w:rsidR="002424DB" w:rsidRPr="00DF33A1">
        <w:t>zumindest aber analog auch auf eine Mietzinsanfechtung angewendet werden kann</w:t>
      </w:r>
      <w:r w:rsidR="008F17EE" w:rsidRPr="00DF33A1">
        <w:t xml:space="preserve"> und muss</w:t>
      </w:r>
      <w:r w:rsidR="002424DB" w:rsidRPr="00DF33A1">
        <w:t xml:space="preserve">, </w:t>
      </w:r>
      <w:r w:rsidR="008F17EE" w:rsidRPr="00DF33A1">
        <w:t xml:space="preserve">wurde diese Vorgehensweise doch damit begründet, dass es sich bei mehreren Mietern um eine notwendige Streitgenossenschaft handelt. </w:t>
      </w:r>
      <w:r w:rsidR="00F01B4F" w:rsidRPr="00DF33A1">
        <w:t xml:space="preserve">Ob bei einer Anfechtung </w:t>
      </w:r>
      <w:r w:rsidR="00504343">
        <w:t>«</w:t>
      </w:r>
      <w:r w:rsidR="00F01B4F" w:rsidRPr="00E80DB5">
        <w:t>im Namen aller Mi</w:t>
      </w:r>
      <w:r w:rsidR="00F01B4F" w:rsidRPr="00AB420B">
        <w:t>e</w:t>
      </w:r>
      <w:r w:rsidR="00F01B4F" w:rsidRPr="00D41E31">
        <w:t>ter</w:t>
      </w:r>
      <w:r w:rsidR="00504343">
        <w:t>»</w:t>
      </w:r>
      <w:r w:rsidR="00F01B4F" w:rsidRPr="00E80DB5">
        <w:t xml:space="preserve"> die nach Ablauf der Anfechtungsfrist nachgereichte Vollmacht die Anfechtun</w:t>
      </w:r>
      <w:r w:rsidR="00F01B4F" w:rsidRPr="00AB420B">
        <w:t>g nachträglich wirksam macht, ist im Licht der neueren bundesgerichtlichen Rech</w:t>
      </w:r>
      <w:r w:rsidR="00F01B4F" w:rsidRPr="00D41E31">
        <w:t>t</w:t>
      </w:r>
      <w:r w:rsidR="00F01B4F" w:rsidRPr="00185624">
        <w:t>sprechung fraglich (BGE 140 III 70</w:t>
      </w:r>
      <w:r w:rsidR="00FE68B2" w:rsidRPr="00A74099">
        <w:t>).</w:t>
      </w:r>
    </w:p>
    <w:p w:rsidR="00F16A34" w:rsidRPr="00A74099" w:rsidRDefault="00F16A34" w:rsidP="00DF33A1">
      <w:pPr>
        <w:pStyle w:val="MustertextTitelEbene1"/>
        <w:rPr>
          <w:rStyle w:val="fettMuster"/>
          <w:i/>
          <w:szCs w:val="16"/>
        </w:rPr>
      </w:pPr>
      <w:r w:rsidRPr="00A74099">
        <w:rPr>
          <w:rStyle w:val="fettMuster"/>
          <w:b/>
        </w:rPr>
        <w:t>III.</w:t>
      </w:r>
      <w:r w:rsidRPr="00A74099">
        <w:rPr>
          <w:rStyle w:val="fettMuster"/>
          <w:b/>
        </w:rPr>
        <w:tab/>
        <w:t>Rechtliches</w:t>
      </w:r>
    </w:p>
    <w:p w:rsidR="00F16A34" w:rsidRPr="00DF33A1" w:rsidRDefault="00F16A34" w:rsidP="00DF33A1">
      <w:pPr>
        <w:pStyle w:val="MustertextTitelEbene2"/>
        <w:rPr>
          <w:rStyle w:val="fettMuster"/>
          <w:b/>
          <w:i/>
          <w:szCs w:val="16"/>
        </w:rPr>
      </w:pPr>
      <w:r w:rsidRPr="00A74099">
        <w:rPr>
          <w:rStyle w:val="fettMuster"/>
          <w:b/>
        </w:rPr>
        <w:t>A.</w:t>
      </w:r>
      <w:r w:rsidRPr="00A74099">
        <w:rPr>
          <w:rStyle w:val="fettMuster"/>
          <w:b/>
        </w:rPr>
        <w:tab/>
        <w:t>Die Missbräuchlichkeit einer Mietzinserhöhung (Kriterien)</w:t>
      </w:r>
    </w:p>
    <w:p w:rsidR="00F16A34" w:rsidRDefault="002241B9">
      <w:pPr>
        <w:pStyle w:val="MustertextListe0"/>
      </w:pPr>
      <w:r w:rsidRPr="002241B9">
        <w:t xml:space="preserve">Gemäss Art. 270b Abs. 1 OR kann der Mieter eine Mietzinserhöhung innert 30 Tagen nach </w:t>
      </w:r>
      <w:r w:rsidR="00C0693B">
        <w:t>Erhalt</w:t>
      </w:r>
      <w:r w:rsidR="00C0693B" w:rsidRPr="002241B9">
        <w:t xml:space="preserve"> </w:t>
      </w:r>
      <w:r w:rsidRPr="002241B9">
        <w:t>bei der Schlichtungsbehörde als missbräuchlich im Sinne von Art. 269 und 269a OR a</w:t>
      </w:r>
      <w:r w:rsidRPr="002241B9">
        <w:t>n</w:t>
      </w:r>
      <w:r w:rsidRPr="002241B9">
        <w:t>fechten. Gemäss Ar</w:t>
      </w:r>
      <w:r>
        <w:t>t. 269 OR ist ein Mietzins miss</w:t>
      </w:r>
      <w:r w:rsidRPr="002241B9">
        <w:t>bräuchlich, wenn damit ein übersetzter E</w:t>
      </w:r>
      <w:r w:rsidRPr="002241B9">
        <w:t>r</w:t>
      </w:r>
      <w:r w:rsidRPr="002241B9">
        <w:t>trag aus der Mietsache erzielt wird oder wenn er auf einem offensichtlich übersetzten Kau</w:t>
      </w:r>
      <w:r w:rsidRPr="002241B9">
        <w:t>f</w:t>
      </w:r>
      <w:r w:rsidRPr="002241B9">
        <w:t xml:space="preserve">preis beruht. </w:t>
      </w:r>
      <w:r w:rsidR="008B5789">
        <w:t>Vermutungsweise n</w:t>
      </w:r>
      <w:r w:rsidRPr="002241B9">
        <w:t xml:space="preserve">icht missbräuchlich ist ein Mietzins </w:t>
      </w:r>
      <w:r w:rsidR="001D12A9">
        <w:t xml:space="preserve">unter anderem </w:t>
      </w:r>
      <w:r w:rsidR="000E0E48">
        <w:t xml:space="preserve">auch </w:t>
      </w:r>
      <w:r w:rsidRPr="002241B9">
        <w:t>dann, wenn er im Rah</w:t>
      </w:r>
      <w:r>
        <w:t>men der orts- und quartierübli</w:t>
      </w:r>
      <w:r w:rsidRPr="002241B9">
        <w:t>chen Mietzinse liegt (Art. 269a lit. a OR).</w:t>
      </w:r>
    </w:p>
    <w:p w:rsidR="002241B9" w:rsidRDefault="002241B9">
      <w:pPr>
        <w:pStyle w:val="MustertextListe0"/>
      </w:pPr>
      <w:r w:rsidRPr="002241B9">
        <w:t xml:space="preserve">Die Klägerin ist seit 35 Jahren Eigentümerin der </w:t>
      </w:r>
      <w:r>
        <w:t>im Jahre 1900 erstellten Liegen</w:t>
      </w:r>
      <w:r w:rsidRPr="002241B9">
        <w:t xml:space="preserve">schaft. </w:t>
      </w:r>
      <w:r w:rsidR="000E0E48">
        <w:t xml:space="preserve">Bei dieser handelt es sich daher </w:t>
      </w:r>
      <w:r w:rsidR="001D12A9">
        <w:t xml:space="preserve">im Sinne der bundesgerichtlichen Begriffsdefinition </w:t>
      </w:r>
      <w:r w:rsidR="000E0E48">
        <w:t xml:space="preserve">um eine </w:t>
      </w:r>
      <w:r w:rsidR="00504343">
        <w:t>«</w:t>
      </w:r>
      <w:r>
        <w:t>Alt</w:t>
      </w:r>
      <w:r w:rsidR="000E0E48">
        <w:t>baute</w:t>
      </w:r>
      <w:r w:rsidR="00504343">
        <w:t>»</w:t>
      </w:r>
      <w:r w:rsidRPr="002241B9">
        <w:t xml:space="preserve">, weshalb die allfällige Missbräuchlichkeit des neuen Mietzinses ausschliesslich </w:t>
      </w:r>
      <w:r w:rsidR="00C0693B">
        <w:t xml:space="preserve">nach dem von der Klägerin als Begründung angeführten </w:t>
      </w:r>
      <w:r w:rsidRPr="002241B9">
        <w:t>Kriterium der Orts- oder Quartierü</w:t>
      </w:r>
      <w:r w:rsidRPr="002241B9">
        <w:t>b</w:t>
      </w:r>
      <w:r w:rsidRPr="002241B9">
        <w:t>lichkeit zu prüfen ist.</w:t>
      </w:r>
    </w:p>
    <w:p w:rsidR="00ED1770" w:rsidRPr="00AB420B" w:rsidRDefault="008B5789" w:rsidP="00177658">
      <w:pPr>
        <w:pStyle w:val="Mustertextklein"/>
      </w:pPr>
      <w:r w:rsidRPr="00E80DB5">
        <w:tab/>
      </w:r>
      <w:r w:rsidRPr="00E80DB5">
        <w:rPr>
          <w:rStyle w:val="fettMuster"/>
          <w:sz w:val="16"/>
        </w:rPr>
        <w:t xml:space="preserve">Bemerkung </w:t>
      </w:r>
      <w:r w:rsidR="002A4674" w:rsidRPr="00AB420B">
        <w:rPr>
          <w:rStyle w:val="fettMuster"/>
          <w:sz w:val="16"/>
        </w:rPr>
        <w:t>1</w:t>
      </w:r>
      <w:r w:rsidR="00D40191" w:rsidRPr="00AB420B">
        <w:rPr>
          <w:rStyle w:val="fettMuster"/>
          <w:sz w:val="16"/>
        </w:rPr>
        <w:t>5</w:t>
      </w:r>
      <w:r w:rsidRPr="00D41E31">
        <w:rPr>
          <w:rStyle w:val="fettMuster"/>
          <w:sz w:val="16"/>
        </w:rPr>
        <w:t>:</w:t>
      </w:r>
      <w:r w:rsidRPr="00DF33A1">
        <w:t xml:space="preserve"> </w:t>
      </w:r>
      <w:r w:rsidR="002A4674" w:rsidRPr="00E80DB5">
        <w:t xml:space="preserve">Beruft sich die Vermieterin für ihre Mietzinsanpassung auf das Kriterium der Orts- oder Quartierüblichkeit, </w:t>
      </w:r>
      <w:r w:rsidR="00C0693B" w:rsidRPr="00AB420B">
        <w:t xml:space="preserve">so ist </w:t>
      </w:r>
      <w:r w:rsidR="004400C1" w:rsidRPr="00AB420B">
        <w:t xml:space="preserve">gemäss </w:t>
      </w:r>
      <w:r w:rsidR="00F12C76" w:rsidRPr="00D41E31">
        <w:t xml:space="preserve">der bundesgerichtlichen Rechtsprechung </w:t>
      </w:r>
      <w:r w:rsidR="00C0693B" w:rsidRPr="00185624">
        <w:t xml:space="preserve">auf entsprechenden Einwand der Mieterin auch zu überprüfen, ob die Vermieterin einen übersetzten Ertrag erzielt. Das Bundesgericht leitet aus den Randtiteln von Art. 269 und Art. 269a </w:t>
      </w:r>
      <w:r w:rsidR="004400C1" w:rsidRPr="00A74099">
        <w:t xml:space="preserve">OR </w:t>
      </w:r>
      <w:r w:rsidR="00C0693B" w:rsidRPr="00EF7C69">
        <w:t xml:space="preserve">eine </w:t>
      </w:r>
      <w:r w:rsidR="00504343">
        <w:t>«</w:t>
      </w:r>
      <w:r w:rsidR="00C0693B" w:rsidRPr="00E80DB5">
        <w:t>Hierarchie</w:t>
      </w:r>
      <w:r w:rsidR="00504343">
        <w:t>»</w:t>
      </w:r>
      <w:r w:rsidR="00C0693B" w:rsidRPr="00E80DB5">
        <w:t xml:space="preserve"> unter den Missbrauchskriterien ab, gemäss welcher d</w:t>
      </w:r>
      <w:r w:rsidR="004400C1" w:rsidRPr="00AB420B">
        <w:t>as</w:t>
      </w:r>
      <w:r w:rsidR="00C0693B" w:rsidRPr="00AB420B">
        <w:t xml:space="preserve"> an die Kostenmiete angelehnte Kriterium des nicht </w:t>
      </w:r>
      <w:r w:rsidR="00D95744" w:rsidRPr="00D41E31">
        <w:t>missbräuchlichen</w:t>
      </w:r>
      <w:r w:rsidR="00C0693B" w:rsidRPr="00185624">
        <w:t xml:space="preserve"> Ertrages </w:t>
      </w:r>
      <w:r w:rsidR="004400C1" w:rsidRPr="00A74099">
        <w:t>übergeordnet sein soll (</w:t>
      </w:r>
      <w:r w:rsidR="004400C1" w:rsidRPr="00E80DB5">
        <w:t>BGE 124 III 310</w:t>
      </w:r>
      <w:r w:rsidR="00915E32">
        <w:t>;</w:t>
      </w:r>
      <w:r w:rsidR="004400C1" w:rsidRPr="00E80DB5">
        <w:t xml:space="preserve"> </w:t>
      </w:r>
      <w:r w:rsidR="004400C1" w:rsidRPr="00AB420B">
        <w:t xml:space="preserve">140 III 433 </w:t>
      </w:r>
      <w:r w:rsidR="004400C1" w:rsidRPr="00EF7C69">
        <w:t>E. 3.1</w:t>
      </w:r>
      <w:r w:rsidR="004400C1" w:rsidRPr="00DF33A1">
        <w:t xml:space="preserve"> mit weiteren Hinweisen auf die Rechtsprechung; kritisch zu dieser Hierarchie SVIT-Kommentar</w:t>
      </w:r>
      <w:r w:rsidR="00185624" w:rsidRPr="00DF33A1">
        <w:t xml:space="preserve">, </w:t>
      </w:r>
      <w:r w:rsidR="004400C1" w:rsidRPr="00D41E31">
        <w:t>Vorbem. Art. 269-</w:t>
      </w:r>
      <w:r w:rsidR="004400C1" w:rsidRPr="00D41E31">
        <w:lastRenderedPageBreak/>
        <w:t>270e</w:t>
      </w:r>
      <w:r w:rsidR="004400C1" w:rsidRPr="00A74099">
        <w:t xml:space="preserve"> N 10 ff.)</w:t>
      </w:r>
      <w:r w:rsidR="004400C1" w:rsidRPr="00E80DB5">
        <w:t xml:space="preserve"> B</w:t>
      </w:r>
      <w:r w:rsidR="002A4674" w:rsidRPr="00E80DB5">
        <w:t>ei Liegenschaften, welche vor mehreren Jahrzeh</w:t>
      </w:r>
      <w:r w:rsidR="002A4674" w:rsidRPr="00AB420B">
        <w:t xml:space="preserve">nten gebaut oder erworben wurden, </w:t>
      </w:r>
      <w:r w:rsidR="00F12C76" w:rsidRPr="00D41E31">
        <w:t>steh</w:t>
      </w:r>
      <w:r w:rsidR="004400C1" w:rsidRPr="00185624">
        <w:t xml:space="preserve">t nach höchstrichterlicher Auffassung allerdings </w:t>
      </w:r>
      <w:r w:rsidR="002A4674" w:rsidRPr="00A74099">
        <w:t>die Mie</w:t>
      </w:r>
      <w:r w:rsidR="002A4674" w:rsidRPr="00EF7C69">
        <w:t>t</w:t>
      </w:r>
      <w:r w:rsidR="002A4674" w:rsidRPr="00DF33A1">
        <w:t>zinsanpassung an die Orts- oder Qua</w:t>
      </w:r>
      <w:r w:rsidR="002A4674" w:rsidRPr="00DF33A1">
        <w:t>r</w:t>
      </w:r>
      <w:r w:rsidR="002A4674" w:rsidRPr="00DF33A1">
        <w:t>tierüblichkeit im Vordergrund</w:t>
      </w:r>
      <w:r w:rsidR="004400C1" w:rsidRPr="00DF33A1">
        <w:t xml:space="preserve">, weil in der Regel Belege für die zur Berechnung des Ertrages (der </w:t>
      </w:r>
      <w:r w:rsidR="00504343">
        <w:t>«</w:t>
      </w:r>
      <w:r w:rsidR="004400C1" w:rsidRPr="00E80DB5">
        <w:t>Nettorendite</w:t>
      </w:r>
      <w:r w:rsidR="00504343">
        <w:t>»</w:t>
      </w:r>
      <w:r w:rsidR="004400C1" w:rsidRPr="00E80DB5">
        <w:t>) erforderlichen Kosten oder I</w:t>
      </w:r>
      <w:r w:rsidR="004400C1" w:rsidRPr="00AB420B">
        <w:t>nvestitionen fehlen oder weil eine B</w:t>
      </w:r>
      <w:r w:rsidR="004400C1" w:rsidRPr="00D41E31">
        <w:t>erechnung unter B</w:t>
      </w:r>
      <w:r w:rsidR="004400C1" w:rsidRPr="00D41E31">
        <w:t>e</w:t>
      </w:r>
      <w:r w:rsidR="004400C1" w:rsidRPr="00D41E31">
        <w:t>zugnahme auf allenfalls vorhandene Unterlagen zu wirtschaftlich unrealistischen Ergeb</w:t>
      </w:r>
      <w:r w:rsidR="00804816" w:rsidRPr="00185624">
        <w:t>nissen führen würde (BGE </w:t>
      </w:r>
      <w:r w:rsidR="004400C1" w:rsidRPr="00A74099">
        <w:t>140 III 433</w:t>
      </w:r>
      <w:r w:rsidR="004400C1" w:rsidRPr="00DF33A1">
        <w:t xml:space="preserve"> E. 3.1 mit Hinweisen, kritisch kommentiert von </w:t>
      </w:r>
      <w:r w:rsidR="00114CC9" w:rsidRPr="00DF33A1">
        <w:rPr>
          <w:smallCaps/>
        </w:rPr>
        <w:t>Beat Rohrer</w:t>
      </w:r>
      <w:r w:rsidR="00804816" w:rsidRPr="00DF33A1">
        <w:t xml:space="preserve"> in</w:t>
      </w:r>
      <w:r w:rsidR="00915E32">
        <w:t xml:space="preserve"> </w:t>
      </w:r>
      <w:r w:rsidR="00804816" w:rsidRPr="00E80DB5">
        <w:t>MRA </w:t>
      </w:r>
      <w:r w:rsidR="00F929AD" w:rsidRPr="00AB420B">
        <w:t>2015</w:t>
      </w:r>
      <w:r w:rsidR="004400C1" w:rsidRPr="00AB420B">
        <w:t xml:space="preserve">, </w:t>
      </w:r>
      <w:r w:rsidR="00ED1770" w:rsidRPr="00D41E31">
        <w:t>S. 16 ff</w:t>
      </w:r>
      <w:r w:rsidR="00915E32" w:rsidRPr="00A74099">
        <w:t>.</w:t>
      </w:r>
      <w:r w:rsidR="00915E32">
        <w:t>,</w:t>
      </w:r>
      <w:r w:rsidR="00915E32" w:rsidRPr="00E80DB5">
        <w:t xml:space="preserve"> </w:t>
      </w:r>
      <w:r w:rsidR="00ED1770" w:rsidRPr="00E80DB5">
        <w:t xml:space="preserve">vgl. auch </w:t>
      </w:r>
      <w:r w:rsidR="00F247FC" w:rsidRPr="00AB420B">
        <w:rPr>
          <w:smallCaps/>
        </w:rPr>
        <w:t>Koller</w:t>
      </w:r>
      <w:r w:rsidR="00ED1770" w:rsidRPr="00AB420B">
        <w:t xml:space="preserve"> in</w:t>
      </w:r>
      <w:r w:rsidR="00ED1770" w:rsidRPr="00185624">
        <w:t xml:space="preserve"> ZBJV </w:t>
      </w:r>
      <w:r w:rsidR="00ED1770" w:rsidRPr="00EF7C69">
        <w:t>2016, S. 22 ff.</w:t>
      </w:r>
      <w:r w:rsidR="004400C1" w:rsidRPr="00DF33A1">
        <w:t>)</w:t>
      </w:r>
      <w:r w:rsidR="00F12C76" w:rsidRPr="00DF33A1">
        <w:t xml:space="preserve"> </w:t>
      </w:r>
      <w:r w:rsidR="00E713F9" w:rsidRPr="00DF33A1">
        <w:t xml:space="preserve">Noch keine </w:t>
      </w:r>
      <w:r w:rsidR="00504343">
        <w:t>«</w:t>
      </w:r>
      <w:r w:rsidR="00E713F9" w:rsidRPr="00E80DB5">
        <w:t>Altba</w:t>
      </w:r>
      <w:r w:rsidR="00E713F9" w:rsidRPr="00AB420B">
        <w:t>uten</w:t>
      </w:r>
      <w:r w:rsidR="00504343">
        <w:t>»</w:t>
      </w:r>
      <w:r w:rsidR="00E713F9" w:rsidRPr="00E80DB5">
        <w:t xml:space="preserve"> sind nach neuerer Rechtspr</w:t>
      </w:r>
      <w:r w:rsidR="00E713F9" w:rsidRPr="00E80DB5">
        <w:t>e</w:t>
      </w:r>
      <w:r w:rsidR="00E713F9" w:rsidRPr="00E80DB5">
        <w:t>chung des Bunde</w:t>
      </w:r>
      <w:r w:rsidR="00E713F9" w:rsidRPr="00AB420B">
        <w:t>sgeric</w:t>
      </w:r>
      <w:r w:rsidR="00860452" w:rsidRPr="00AB420B">
        <w:t>htes Liegenschaften, die vor 26 </w:t>
      </w:r>
      <w:r w:rsidR="00E713F9" w:rsidRPr="00D41E31">
        <w:t xml:space="preserve">bzw. 27 Jahren erstellt oder erworben worden sind (BGE 140 III 433 </w:t>
      </w:r>
      <w:r w:rsidR="00E713F9" w:rsidRPr="00DF33A1">
        <w:t xml:space="preserve">E. 3.1.2; vgl. </w:t>
      </w:r>
      <w:r w:rsidR="007050C7" w:rsidRPr="00DF33A1">
        <w:t xml:space="preserve">jedoch </w:t>
      </w:r>
      <w:r w:rsidR="00E713F9" w:rsidRPr="00DF33A1">
        <w:t xml:space="preserve">BGE 112 II 149 E. 3, in welchem das Bundesgericht zu </w:t>
      </w:r>
      <w:r w:rsidR="0015056A" w:rsidRPr="00DF33A1">
        <w:t>R</w:t>
      </w:r>
      <w:r w:rsidR="00E713F9" w:rsidRPr="00DF33A1">
        <w:t xml:space="preserve">echt ein Gebäude, das vor 23 Jahren erstellt worden war, in diesem Zusammenhang als </w:t>
      </w:r>
      <w:r w:rsidR="00504343" w:rsidRPr="00DF33A1">
        <w:t>«</w:t>
      </w:r>
      <w:r w:rsidR="00E713F9" w:rsidRPr="00DF33A1">
        <w:t>Altbaute</w:t>
      </w:r>
      <w:r w:rsidR="00504343" w:rsidRPr="00DF33A1">
        <w:t>»</w:t>
      </w:r>
      <w:r w:rsidR="00E713F9" w:rsidRPr="00E80DB5">
        <w:t xml:space="preserve"> b</w:t>
      </w:r>
      <w:r w:rsidR="00E713F9" w:rsidRPr="00E80DB5">
        <w:t>e</w:t>
      </w:r>
      <w:r w:rsidR="00E713F9" w:rsidRPr="00E80DB5">
        <w:t>trachtet</w:t>
      </w:r>
      <w:r w:rsidR="000E0E48" w:rsidRPr="00E80DB5">
        <w:t xml:space="preserve"> hatt</w:t>
      </w:r>
      <w:r w:rsidR="00E713F9" w:rsidRPr="00AB420B">
        <w:t xml:space="preserve">e). </w:t>
      </w:r>
    </w:p>
    <w:p w:rsidR="00F16A34" w:rsidRPr="00A74099" w:rsidRDefault="00F16A34" w:rsidP="00DF33A1">
      <w:pPr>
        <w:pStyle w:val="MustertextTitelEbene2"/>
        <w:rPr>
          <w:rStyle w:val="fettMuster"/>
          <w:i/>
          <w:szCs w:val="16"/>
        </w:rPr>
      </w:pPr>
      <w:r w:rsidRPr="00A74099">
        <w:rPr>
          <w:rStyle w:val="fettMuster"/>
          <w:b/>
        </w:rPr>
        <w:t>B.</w:t>
      </w:r>
      <w:r w:rsidRPr="00A74099">
        <w:rPr>
          <w:rStyle w:val="fettMuster"/>
          <w:b/>
        </w:rPr>
        <w:tab/>
        <w:t>Anpassung des Mietzinses an die Orts- oder Quartierüblichkeit</w:t>
      </w:r>
    </w:p>
    <w:p w:rsidR="00F16A34" w:rsidRPr="00DF33A1" w:rsidRDefault="004C7E9E" w:rsidP="00DF33A1">
      <w:pPr>
        <w:pStyle w:val="MustertextTitelEbene3"/>
        <w:rPr>
          <w:rStyle w:val="fettMuster"/>
          <w:b/>
          <w:i/>
          <w:szCs w:val="16"/>
        </w:rPr>
      </w:pPr>
      <w:r w:rsidRPr="00A74099">
        <w:rPr>
          <w:rStyle w:val="fettMuster"/>
          <w:b/>
        </w:rPr>
        <w:t>a)</w:t>
      </w:r>
      <w:r w:rsidR="00F16A34" w:rsidRPr="00A74099">
        <w:rPr>
          <w:rStyle w:val="fettMuster"/>
          <w:b/>
        </w:rPr>
        <w:tab/>
        <w:t>Zum Begriff der Orts- oder Quartierüblichkeit</w:t>
      </w:r>
    </w:p>
    <w:p w:rsidR="00F16A34" w:rsidRPr="00936C8E" w:rsidRDefault="002241B9">
      <w:pPr>
        <w:pStyle w:val="MustertextListe0"/>
      </w:pPr>
      <w:r w:rsidRPr="002241B9">
        <w:t xml:space="preserve">Weder dem Gesetz selbst noch den parlamentarischen Beratungen (Materialien) kann eine Definition des Begriffes des </w:t>
      </w:r>
      <w:r w:rsidR="00504343">
        <w:t>«</w:t>
      </w:r>
      <w:r w:rsidRPr="002241B9">
        <w:t>orts- oder quartierüblichen Mietzinses</w:t>
      </w:r>
      <w:r w:rsidR="00504343">
        <w:t>»</w:t>
      </w:r>
      <w:r w:rsidRPr="002241B9">
        <w:t xml:space="preserve"> bzw. der </w:t>
      </w:r>
      <w:r w:rsidR="00504343">
        <w:t>«</w:t>
      </w:r>
      <w:r w:rsidRPr="002241B9">
        <w:t>Orts- und Quartierüblichkeit</w:t>
      </w:r>
      <w:r w:rsidR="00504343">
        <w:t>»</w:t>
      </w:r>
      <w:r w:rsidRPr="002241B9">
        <w:t xml:space="preserve"> entnommen wer</w:t>
      </w:r>
      <w:r>
        <w:t>den. Gemäss Rechtspre</w:t>
      </w:r>
      <w:r w:rsidRPr="002241B9">
        <w:t>chung des Bundesgerichts sind zum Nachweis der Orts- oder Quartierüblichkeit fünf nach Lage, Grösse, Ausstattung, Z</w:t>
      </w:r>
      <w:r w:rsidRPr="002241B9">
        <w:t>u</w:t>
      </w:r>
      <w:r w:rsidRPr="002241B9">
        <w:t>stand und Bauperiode (Art. 11 VMWG) vergleichbare Objekte in unterschiedlichen Gebä</w:t>
      </w:r>
      <w:r w:rsidRPr="002241B9">
        <w:t>u</w:t>
      </w:r>
      <w:r>
        <w:t>den und von verschiedenen Ei</w:t>
      </w:r>
      <w:r w:rsidRPr="002241B9">
        <w:t>gentümern zu nennen (vgl. statt Vieler</w:t>
      </w:r>
      <w:r w:rsidRPr="00F75F31">
        <w:t xml:space="preserve">: </w:t>
      </w:r>
      <w:r w:rsidR="0015056A">
        <w:t xml:space="preserve">BGer </w:t>
      </w:r>
      <w:r w:rsidR="00472F83" w:rsidRPr="00F75F31">
        <w:t xml:space="preserve">4A_179/2015 vom 16.12.2015 E. 2.2.3; </w:t>
      </w:r>
      <w:r w:rsidRPr="00F75F31">
        <w:t xml:space="preserve">4A_675/2011 vom </w:t>
      </w:r>
      <w:r w:rsidR="00472F83" w:rsidRPr="00F75F31">
        <w:t>09.02.</w:t>
      </w:r>
      <w:r w:rsidRPr="00F75F31">
        <w:t>2012 E. 2; BGE 136 III 74 E. 2). Der Nac</w:t>
      </w:r>
      <w:r w:rsidRPr="00F75F31">
        <w:t>h</w:t>
      </w:r>
      <w:r w:rsidRPr="00F75F31">
        <w:t>weis der orts- oder quartierüblichen</w:t>
      </w:r>
      <w:r w:rsidRPr="002241B9">
        <w:t xml:space="preserve"> Verhältnisse kann auch durch amtliche Statistiken e</w:t>
      </w:r>
      <w:r w:rsidRPr="002241B9">
        <w:t>r</w:t>
      </w:r>
      <w:r w:rsidRPr="002241B9">
        <w:t>bracht werden (Art. 11 Abs. 4 VMWG).</w:t>
      </w:r>
      <w:r w:rsidR="00907CBC">
        <w:t xml:space="preserve"> Ausserdem muss der Nachweis </w:t>
      </w:r>
      <w:r w:rsidR="0015056A">
        <w:t>auch</w:t>
      </w:r>
      <w:r w:rsidR="00907CBC">
        <w:t xml:space="preserve"> mittels des pr</w:t>
      </w:r>
      <w:r w:rsidR="00907CBC">
        <w:t>o</w:t>
      </w:r>
      <w:r w:rsidR="00907CBC">
        <w:t xml:space="preserve">zessrechtlich vorgesehenen Beweismittels der Expertise möglich </w:t>
      </w:r>
      <w:r w:rsidR="00907CBC" w:rsidRPr="00936C8E">
        <w:t xml:space="preserve">sein (vgl. </w:t>
      </w:r>
      <w:r w:rsidR="00936C8E" w:rsidRPr="00936C8E">
        <w:t>Art. 168 Abs. 1 lit. d i.V.m. Art. 183 ff. ZPO)</w:t>
      </w:r>
      <w:r w:rsidR="00907CBC" w:rsidRPr="00936C8E">
        <w:t xml:space="preserve">. </w:t>
      </w:r>
    </w:p>
    <w:p w:rsidR="00F75F31" w:rsidRPr="00DF33A1" w:rsidRDefault="002241B9" w:rsidP="00177658">
      <w:pPr>
        <w:pStyle w:val="Mustertextklein"/>
      </w:pPr>
      <w:r w:rsidRPr="00E80DB5">
        <w:tab/>
      </w:r>
      <w:r w:rsidRPr="00E80DB5">
        <w:rPr>
          <w:rStyle w:val="fettMuster"/>
          <w:sz w:val="16"/>
        </w:rPr>
        <w:t xml:space="preserve">Bemerkung </w:t>
      </w:r>
      <w:r w:rsidR="00F75F31" w:rsidRPr="00AB420B">
        <w:rPr>
          <w:rStyle w:val="fettMuster"/>
          <w:sz w:val="16"/>
        </w:rPr>
        <w:t>1</w:t>
      </w:r>
      <w:r w:rsidR="00D40191" w:rsidRPr="00AB420B">
        <w:rPr>
          <w:rStyle w:val="fettMuster"/>
          <w:sz w:val="16"/>
        </w:rPr>
        <w:t>6</w:t>
      </w:r>
      <w:r w:rsidRPr="00D41E31">
        <w:rPr>
          <w:rStyle w:val="fettMuster"/>
          <w:sz w:val="16"/>
        </w:rPr>
        <w:t>:</w:t>
      </w:r>
      <w:r w:rsidRPr="00185624">
        <w:t xml:space="preserve"> </w:t>
      </w:r>
      <w:r w:rsidR="0015056A" w:rsidRPr="00A74099">
        <w:t xml:space="preserve">Zum Beweis angerufene </w:t>
      </w:r>
      <w:r w:rsidR="00D95744" w:rsidRPr="00EF7C69">
        <w:t>Statistiken</w:t>
      </w:r>
      <w:r w:rsidR="0015056A" w:rsidRPr="00DF33A1">
        <w:t xml:space="preserve"> </w:t>
      </w:r>
      <w:r w:rsidR="00F75F31" w:rsidRPr="00DF33A1">
        <w:t>müssen inhaltlich den Anforderungen von Art. 11 Abs. 1 VMWG entsprechen. Der Gebrauch einer amtlichen Statistik kommt demnach nur in Frage, wenn diese Lage, Grösse, Ausstattung, Zustand und Bauperiode der erfassten Objekte gebührend b</w:t>
      </w:r>
      <w:r w:rsidR="00F75F31" w:rsidRPr="00DF33A1">
        <w:t>e</w:t>
      </w:r>
      <w:r w:rsidR="00F75F31" w:rsidRPr="00DF33A1">
        <w:t>rücksichtigt (</w:t>
      </w:r>
      <w:r w:rsidR="0015056A" w:rsidRPr="00DF33A1">
        <w:t>BGer</w:t>
      </w:r>
      <w:r w:rsidR="005269AA" w:rsidRPr="00DF33A1">
        <w:t xml:space="preserve"> 4A_669/2010 vom 28.04.2011 E. </w:t>
      </w:r>
      <w:r w:rsidR="00F75F31" w:rsidRPr="00DF33A1">
        <w:t xml:space="preserve">6.1 mit weiteren Hinweisen auf </w:t>
      </w:r>
      <w:r w:rsidR="0015056A" w:rsidRPr="00DF33A1">
        <w:t xml:space="preserve">die </w:t>
      </w:r>
      <w:r w:rsidR="00F75F31" w:rsidRPr="00DF33A1">
        <w:t>ältere Rech</w:t>
      </w:r>
      <w:r w:rsidR="00F75F31" w:rsidRPr="00DF33A1">
        <w:t>t</w:t>
      </w:r>
      <w:r w:rsidR="00F75F31" w:rsidRPr="00DF33A1">
        <w:t>sprechung).</w:t>
      </w:r>
    </w:p>
    <w:p w:rsidR="002241B9" w:rsidRPr="00AB420B" w:rsidRDefault="00F75F31" w:rsidP="00177658">
      <w:pPr>
        <w:pStyle w:val="Mustertextklein"/>
      </w:pPr>
      <w:r w:rsidRPr="00DF33A1">
        <w:tab/>
      </w:r>
      <w:r w:rsidRPr="00DF33A1">
        <w:rPr>
          <w:rStyle w:val="fettMuster"/>
          <w:sz w:val="16"/>
        </w:rPr>
        <w:t>Bemerkung 1</w:t>
      </w:r>
      <w:r w:rsidR="00D40191" w:rsidRPr="00DF33A1">
        <w:rPr>
          <w:rStyle w:val="fettMuster"/>
          <w:sz w:val="16"/>
        </w:rPr>
        <w:t>7</w:t>
      </w:r>
      <w:r w:rsidRPr="00DF33A1">
        <w:rPr>
          <w:rStyle w:val="fettMuster"/>
          <w:sz w:val="16"/>
        </w:rPr>
        <w:t>:</w:t>
      </w:r>
      <w:r w:rsidRPr="00DF33A1">
        <w:rPr>
          <w:rStyle w:val="fettMuster"/>
          <w:i w:val="0"/>
          <w:sz w:val="16"/>
        </w:rPr>
        <w:t xml:space="preserve"> </w:t>
      </w:r>
      <w:r w:rsidR="0015056A" w:rsidRPr="00DF33A1">
        <w:rPr>
          <w:rStyle w:val="fettMuster"/>
          <w:b w:val="0"/>
          <w:sz w:val="16"/>
        </w:rPr>
        <w:t>Die</w:t>
      </w:r>
      <w:r w:rsidR="002241B9" w:rsidRPr="00DF33A1">
        <w:t xml:space="preserve"> herrschende Lehre geht aufgrund der relativ eng formulierten Vergleichskriterien in Art. 11 VMWG – zu Recht – davon aus, dass der Begriff der </w:t>
      </w:r>
      <w:r w:rsidR="00504343">
        <w:t>«</w:t>
      </w:r>
      <w:r w:rsidR="002241B9" w:rsidRPr="00E80DB5">
        <w:t>Orts- oder Quartierüblichkeit</w:t>
      </w:r>
      <w:r w:rsidR="00504343">
        <w:t>»</w:t>
      </w:r>
      <w:r w:rsidR="002241B9" w:rsidRPr="00E80DB5">
        <w:t xml:space="preserve"> gros</w:t>
      </w:r>
      <w:r w:rsidR="002241B9" w:rsidRPr="00AB420B">
        <w:t>s</w:t>
      </w:r>
      <w:r w:rsidR="002241B9" w:rsidRPr="00AB420B">
        <w:t>zügig auszulegen ist und deshalb kein allzu strenger Mass</w:t>
      </w:r>
      <w:r w:rsidR="002241B9" w:rsidRPr="00D41E31">
        <w:t>stab an die Bestimmungen der Ve</w:t>
      </w:r>
      <w:r w:rsidR="002241B9" w:rsidRPr="00185624">
        <w:t>r</w:t>
      </w:r>
      <w:r w:rsidR="002241B9" w:rsidRPr="00A74099">
        <w:t>gleic</w:t>
      </w:r>
      <w:r w:rsidR="002241B9" w:rsidRPr="00A74099">
        <w:t>h</w:t>
      </w:r>
      <w:r w:rsidR="002241B9" w:rsidRPr="00A74099">
        <w:t>barkeit einzelner Objekte angewendet werden d</w:t>
      </w:r>
      <w:r w:rsidR="0015056A" w:rsidRPr="00EF7C69">
        <w:t>arf</w:t>
      </w:r>
      <w:r w:rsidR="002241B9" w:rsidRPr="00DF33A1">
        <w:t xml:space="preserve"> (SVIT-Kommentar,</w:t>
      </w:r>
      <w:r w:rsidR="0015056A" w:rsidRPr="00DF33A1">
        <w:t xml:space="preserve"> </w:t>
      </w:r>
      <w:r w:rsidR="002241B9" w:rsidRPr="00DF33A1">
        <w:rPr>
          <w:lang w:val="en-US"/>
        </w:rPr>
        <w:t>Art. 269a OR</w:t>
      </w:r>
      <w:r w:rsidRPr="00DF33A1">
        <w:rPr>
          <w:lang w:val="en-US"/>
        </w:rPr>
        <w:t xml:space="preserve"> N 23</w:t>
      </w:r>
      <w:r w:rsidR="002241B9" w:rsidRPr="00DF33A1">
        <w:rPr>
          <w:lang w:val="en-US"/>
        </w:rPr>
        <w:t>; sinn</w:t>
      </w:r>
      <w:r w:rsidR="00EF7C69">
        <w:rPr>
          <w:lang w:val="en-US"/>
        </w:rPr>
        <w:t>-</w:t>
      </w:r>
      <w:r w:rsidR="002241B9" w:rsidRPr="00DF33A1">
        <w:rPr>
          <w:lang w:val="en-US"/>
        </w:rPr>
        <w:t>gemäss auch</w:t>
      </w:r>
      <w:r w:rsidRPr="00DF33A1">
        <w:rPr>
          <w:lang w:val="en-US"/>
        </w:rPr>
        <w:t xml:space="preserve"> ZK</w:t>
      </w:r>
      <w:r w:rsidR="00BD7C79">
        <w:rPr>
          <w:lang w:val="en-US"/>
        </w:rPr>
        <w:t xml:space="preserve"> OR</w:t>
      </w:r>
      <w:r w:rsidRPr="00DF33A1">
        <w:rPr>
          <w:lang w:val="en-US"/>
        </w:rPr>
        <w:t>-</w:t>
      </w:r>
      <w:r w:rsidRPr="00DF33A1">
        <w:rPr>
          <w:smallCaps/>
          <w:lang w:val="en-US"/>
        </w:rPr>
        <w:t>Higi</w:t>
      </w:r>
      <w:r w:rsidR="002241B9" w:rsidRPr="00DF33A1">
        <w:rPr>
          <w:lang w:val="en-US"/>
        </w:rPr>
        <w:t>, Art. 269a</w:t>
      </w:r>
      <w:r w:rsidR="005269AA" w:rsidRPr="00DF33A1">
        <w:rPr>
          <w:lang w:val="en-US"/>
        </w:rPr>
        <w:t xml:space="preserve"> N </w:t>
      </w:r>
      <w:r w:rsidRPr="00DF33A1">
        <w:rPr>
          <w:lang w:val="en-US"/>
        </w:rPr>
        <w:t>137)</w:t>
      </w:r>
      <w:r w:rsidR="002241B9" w:rsidRPr="00DF33A1">
        <w:rPr>
          <w:lang w:val="en-US"/>
        </w:rPr>
        <w:t xml:space="preserve">. </w:t>
      </w:r>
      <w:r w:rsidR="002241B9" w:rsidRPr="00E80DB5">
        <w:t xml:space="preserve">Eine andere Auffassung vertritt jedoch das </w:t>
      </w:r>
      <w:r w:rsidR="0015056A" w:rsidRPr="00AB420B">
        <w:t>Bundesgericht</w:t>
      </w:r>
      <w:r w:rsidRPr="00AB420B">
        <w:t xml:space="preserve"> (vgl. insbesond</w:t>
      </w:r>
      <w:r w:rsidRPr="00D41E31">
        <w:t xml:space="preserve">ere </w:t>
      </w:r>
      <w:r w:rsidR="0015056A" w:rsidRPr="00185624">
        <w:t xml:space="preserve">in dem erst vor kurzem ergangenen </w:t>
      </w:r>
      <w:r w:rsidRPr="00A74099">
        <w:t>Urteil 4A_179/2015 vom 16.12.2015)</w:t>
      </w:r>
      <w:r w:rsidR="00400011" w:rsidRPr="00A74099">
        <w:t>:</w:t>
      </w:r>
      <w:r w:rsidR="002241B9" w:rsidRPr="00EF7C69">
        <w:t xml:space="preserve"> G</w:t>
      </w:r>
      <w:r w:rsidR="002241B9" w:rsidRPr="00EF7C69">
        <w:t>e</w:t>
      </w:r>
      <w:r w:rsidR="002241B9" w:rsidRPr="00EF7C69">
        <w:t xml:space="preserve">mäss bundesgerichtlicher Praxis sind </w:t>
      </w:r>
      <w:r w:rsidR="00400011" w:rsidRPr="00DF33A1">
        <w:t xml:space="preserve">mindestens </w:t>
      </w:r>
      <w:r w:rsidR="002241B9" w:rsidRPr="00DF33A1">
        <w:t>fünf Vergleichsobjekte zu nennen</w:t>
      </w:r>
      <w:r w:rsidR="00400011" w:rsidRPr="00DF33A1">
        <w:t xml:space="preserve">, welche praktisch </w:t>
      </w:r>
      <w:r w:rsidR="0015056A" w:rsidRPr="00DF33A1">
        <w:t xml:space="preserve">bezüglich sämtlicher Vergleichskriterien </w:t>
      </w:r>
      <w:r w:rsidR="00400011" w:rsidRPr="00DF33A1">
        <w:t>eins zu eins mit dem Referenzobjekt übereinzustimmen h</w:t>
      </w:r>
      <w:r w:rsidR="00400011" w:rsidRPr="00DF33A1">
        <w:t>a</w:t>
      </w:r>
      <w:r w:rsidR="00400011" w:rsidRPr="00DF33A1">
        <w:t>ben.</w:t>
      </w:r>
      <w:r w:rsidR="002241B9" w:rsidRPr="00DF33A1">
        <w:t xml:space="preserve"> </w:t>
      </w:r>
      <w:r w:rsidR="0015056A" w:rsidRPr="00DF33A1">
        <w:t>Dabei verlangt das Bundesgericht erst noch, das</w:t>
      </w:r>
      <w:r w:rsidR="00567D01" w:rsidRPr="00DF33A1">
        <w:t>s</w:t>
      </w:r>
      <w:r w:rsidR="0015056A" w:rsidRPr="00DF33A1">
        <w:t xml:space="preserve"> bezüglich der Orts- </w:t>
      </w:r>
      <w:r w:rsidR="005269AA" w:rsidRPr="00DF33A1">
        <w:t xml:space="preserve"> </w:t>
      </w:r>
      <w:r w:rsidR="0015056A" w:rsidRPr="00DF33A1">
        <w:t>oder Quartierüblichkeit der strikte Beweis und nicht etwa nur der Beweis einer hohen Wahrscheinlichkeit zu erbringen ist. Deutlicher als in diesem Entscheid hatte das Bundesgericht noch nie erkennen lassen, dass die Hü</w:t>
      </w:r>
      <w:r w:rsidR="0015056A" w:rsidRPr="00DF33A1">
        <w:t>r</w:t>
      </w:r>
      <w:r w:rsidR="0015056A" w:rsidRPr="00DF33A1">
        <w:t xml:space="preserve">den für den Nachweis der Orts- oder Quartierüblichkeit derart hoch sind, dass der Nachweis faktisch unmöglich geworden ist </w:t>
      </w:r>
      <w:r w:rsidR="00400011" w:rsidRPr="00DF33A1">
        <w:t>(</w:t>
      </w:r>
      <w:r w:rsidR="00D84D3F">
        <w:t>w</w:t>
      </w:r>
      <w:r w:rsidR="00D84D3F" w:rsidRPr="00DF33A1">
        <w:t xml:space="preserve">eitergehende </w:t>
      </w:r>
      <w:r w:rsidR="00400011" w:rsidRPr="00DF33A1">
        <w:t xml:space="preserve">Ausführungen </w:t>
      </w:r>
      <w:r w:rsidR="00D84D3F">
        <w:t xml:space="preserve">unter </w:t>
      </w:r>
      <w:r w:rsidR="00AA726F">
        <w:t xml:space="preserve">III. Ergänzende Hinweise, 4. Die </w:t>
      </w:r>
      <w:r w:rsidR="00D84D3F">
        <w:t>[</w:t>
      </w:r>
      <w:r w:rsidR="00AA726F">
        <w:t>übe</w:t>
      </w:r>
      <w:r w:rsidR="00AA726F">
        <w:t>r</w:t>
      </w:r>
      <w:r w:rsidR="00AA726F">
        <w:t>höhten</w:t>
      </w:r>
      <w:r w:rsidR="00D84D3F">
        <w:t>]</w:t>
      </w:r>
      <w:r w:rsidR="00AA726F">
        <w:t xml:space="preserve"> Anforderungen an die Substantiierungspflicht sowie die Vergleichbarkeit gemäss bundesg</w:t>
      </w:r>
      <w:r w:rsidR="00AA726F">
        <w:t>e</w:t>
      </w:r>
      <w:r w:rsidR="00AA726F">
        <w:t xml:space="preserve">richtlicher Rechtsprechung, </w:t>
      </w:r>
      <w:r w:rsidR="00AA726F" w:rsidRPr="00E80DB5">
        <w:t>R</w:t>
      </w:r>
      <w:r w:rsidR="00AA726F">
        <w:t>z</w:t>
      </w:r>
      <w:r w:rsidR="00AA726F" w:rsidRPr="00E80DB5">
        <w:t xml:space="preserve"> </w:t>
      </w:r>
      <w:r w:rsidR="000E0E48" w:rsidRPr="00E80DB5">
        <w:t>24 ff.</w:t>
      </w:r>
      <w:r w:rsidR="00400011" w:rsidRPr="00AB420B">
        <w:t>)</w:t>
      </w:r>
      <w:r w:rsidR="002241B9" w:rsidRPr="00AB420B">
        <w:t>.</w:t>
      </w:r>
    </w:p>
    <w:p w:rsidR="002241B9" w:rsidRDefault="002241B9">
      <w:pPr>
        <w:pStyle w:val="MustertextListe0"/>
      </w:pPr>
      <w:r w:rsidRPr="002241B9">
        <w:t>Während der vergangenen Monate wurden im Hinblick auf ein Beweisverfahren sämtliche Liegenschaften in der näheren Umgebung der Mustergasse 10 ausfindig gemacht, die nach Massgabe der Vergleichbarkeitskriterien – vor allem hinsichtlich Lage und Bauperiode – mit der streitgegenständlichen Liegenschaft im Wesentlichen übereinstimmen. Anschliessend wurden diese Objekte anhand der Qualitätsmerkmale Ausstattung und Zustand auf die Ve</w:t>
      </w:r>
      <w:r w:rsidRPr="002241B9">
        <w:t>r</w:t>
      </w:r>
      <w:r w:rsidRPr="002241B9">
        <w:t xml:space="preserve">gleichbarkeit mit dem </w:t>
      </w:r>
      <w:r w:rsidR="007050C7">
        <w:t xml:space="preserve">vom Beklagten genutzten </w:t>
      </w:r>
      <w:r w:rsidRPr="002241B9">
        <w:t>Mietobjekt (</w:t>
      </w:r>
      <w:r w:rsidR="00567D01">
        <w:t xml:space="preserve">dem </w:t>
      </w:r>
      <w:r w:rsidR="00504343">
        <w:t>«</w:t>
      </w:r>
      <w:r w:rsidRPr="002241B9">
        <w:t>Referenzobjekt</w:t>
      </w:r>
      <w:r w:rsidR="00504343">
        <w:t>»</w:t>
      </w:r>
      <w:r w:rsidRPr="002241B9">
        <w:t>) geprüft.</w:t>
      </w:r>
    </w:p>
    <w:p w:rsidR="00BB2A8B" w:rsidRPr="000E0E48" w:rsidRDefault="00BB2A8B">
      <w:pPr>
        <w:pStyle w:val="MustertextListe0"/>
      </w:pPr>
      <w:r w:rsidRPr="002241B9">
        <w:t xml:space="preserve">Das in Art. 11 Abs. 1 VMWG ebenfalls genannte Kriterium der </w:t>
      </w:r>
      <w:r w:rsidR="00504343">
        <w:t>«</w:t>
      </w:r>
      <w:r w:rsidRPr="002241B9">
        <w:t>vergleichbaren Grösse</w:t>
      </w:r>
      <w:r w:rsidR="00504343">
        <w:t>»</w:t>
      </w:r>
      <w:r w:rsidRPr="002241B9">
        <w:t xml:space="preserve"> ist demgegenüber irrelevant, da es sich vorliegen</w:t>
      </w:r>
      <w:r w:rsidR="00D41995">
        <w:t xml:space="preserve">d um eine </w:t>
      </w:r>
      <w:r w:rsidR="00D41995" w:rsidRPr="00CA0547">
        <w:rPr>
          <w:b/>
        </w:rPr>
        <w:t>Geschäfts</w:t>
      </w:r>
      <w:r w:rsidRPr="00CA0547">
        <w:rPr>
          <w:b/>
        </w:rPr>
        <w:t>raummiete</w:t>
      </w:r>
      <w:r w:rsidRPr="002241B9">
        <w:t xml:space="preserve"> handelt, bei </w:t>
      </w:r>
      <w:r w:rsidRPr="002241B9">
        <w:lastRenderedPageBreak/>
        <w:t>welcher d</w:t>
      </w:r>
      <w:r w:rsidR="00567D01">
        <w:t>er</w:t>
      </w:r>
      <w:r w:rsidRPr="002241B9">
        <w:t xml:space="preserve"> Vergleich gemäss Art. 11 Abs. 2 VMWG </w:t>
      </w:r>
      <w:r w:rsidR="00567D01">
        <w:t xml:space="preserve">auf der Grundlage der </w:t>
      </w:r>
      <w:r w:rsidR="00D95744">
        <w:t>q</w:t>
      </w:r>
      <w:r w:rsidRPr="002241B9">
        <w:t xml:space="preserve">uartierüblichen Quadratmeterpreise gleichartiger Objekte erfolgen kann (so </w:t>
      </w:r>
      <w:r w:rsidR="00567D01">
        <w:t>auch das</w:t>
      </w:r>
      <w:r w:rsidRPr="00692B12">
        <w:t xml:space="preserve"> </w:t>
      </w:r>
      <w:r w:rsidRPr="00E80DB5">
        <w:t>Urteil des Mietge</w:t>
      </w:r>
      <w:r w:rsidRPr="00AB420B">
        <w:t>richts Zürich vom 14.02.2014 [Geschäft-Nr. MB130001-L</w:t>
      </w:r>
      <w:r w:rsidR="00692B12" w:rsidRPr="00AB420B">
        <w:t>]</w:t>
      </w:r>
      <w:r w:rsidRPr="00E80DB5">
        <w:t xml:space="preserve"> E. 3.3</w:t>
      </w:r>
      <w:r w:rsidRPr="00692B12">
        <w:t>). Nicht e</w:t>
      </w:r>
      <w:r w:rsidRPr="002241B9">
        <w:t>rforderlich ist, dass die zum Vergleich angerufenen Objekte auch bezüglich der Flächenausdehnung mit dem zu b</w:t>
      </w:r>
      <w:r w:rsidRPr="002241B9">
        <w:t>e</w:t>
      </w:r>
      <w:r w:rsidRPr="002241B9">
        <w:t>urteilenden Mietobjekt vergleichbar sind. Ebenso wenig ist die Art der Nutzung der einze</w:t>
      </w:r>
      <w:r w:rsidRPr="002241B9">
        <w:t>l</w:t>
      </w:r>
      <w:r w:rsidRPr="002241B9">
        <w:t>nen Flächen massgebend, da diese kein Kriterium für die Vergleichbarkeit eines Mietobje</w:t>
      </w:r>
      <w:r w:rsidRPr="002241B9">
        <w:t>k</w:t>
      </w:r>
      <w:r w:rsidRPr="002241B9">
        <w:t xml:space="preserve">tes im Sinne von Art. 11 </w:t>
      </w:r>
      <w:r w:rsidRPr="00692B12">
        <w:t xml:space="preserve">Abs. 2 VMWG darstellt (vgl. </w:t>
      </w:r>
      <w:r w:rsidRPr="00E80DB5">
        <w:t>SVIT-Kommentar</w:t>
      </w:r>
      <w:r w:rsidR="00E80DB5" w:rsidRPr="00DF33A1">
        <w:t xml:space="preserve">, </w:t>
      </w:r>
      <w:r w:rsidRPr="00AB420B">
        <w:t>Art. 269a OR N 14</w:t>
      </w:r>
      <w:r w:rsidRPr="00692B12">
        <w:t>; ZK</w:t>
      </w:r>
      <w:r w:rsidR="00BD7C79">
        <w:t xml:space="preserve"> OR</w:t>
      </w:r>
      <w:r w:rsidRPr="00692B12">
        <w:t>-</w:t>
      </w:r>
      <w:r w:rsidRPr="00692B12">
        <w:rPr>
          <w:smallCaps/>
        </w:rPr>
        <w:t>Higi</w:t>
      </w:r>
      <w:r w:rsidRPr="00692B12">
        <w:t xml:space="preserve"> Art. 269a N 125; </w:t>
      </w:r>
      <w:r w:rsidRPr="00E80DB5">
        <w:t>Urteil des Mietgerichts Zürich vom 14.02.2014 [Ge</w:t>
      </w:r>
      <w:r w:rsidRPr="00AB420B">
        <w:t>schäft-Nr. MB130001-L</w:t>
      </w:r>
      <w:r w:rsidR="00692B12" w:rsidRPr="00AB420B">
        <w:t>]</w:t>
      </w:r>
      <w:r w:rsidRPr="00E80DB5">
        <w:t xml:space="preserve"> E. 3.4</w:t>
      </w:r>
      <w:r w:rsidRPr="00692B12">
        <w:t xml:space="preserve">). </w:t>
      </w:r>
      <w:r w:rsidR="00567D01">
        <w:t>Schliesslich sind auch Objekte zum Vergleich geeignet, die sich hinsich</w:t>
      </w:r>
      <w:r w:rsidR="00567D01">
        <w:t>t</w:t>
      </w:r>
      <w:r w:rsidR="00567D01">
        <w:t>lich Lage und Ausstattung vom Referenzobjekt unterscheiden, wird doch gerade bei Ve</w:t>
      </w:r>
      <w:r w:rsidR="00567D01">
        <w:t>r</w:t>
      </w:r>
      <w:r w:rsidR="00567D01">
        <w:t xml:space="preserve">kaufsflächen der Quadratmeterpreis eines Mietobjektes massgebend durch die Lage und die damit verbundene Passantenfrequenz sowie durch die Ausstattung mitbeeinflusst. </w:t>
      </w:r>
      <w:r w:rsidR="00CA0547" w:rsidRPr="00692B12">
        <w:t>Darauf w</w:t>
      </w:r>
      <w:r w:rsidR="00CA0547" w:rsidRPr="002241B9">
        <w:t xml:space="preserve">ird zurückzukommen sein </w:t>
      </w:r>
      <w:r w:rsidR="00CA0547" w:rsidRPr="000E0E48">
        <w:t xml:space="preserve">(vgl. nachfolgend </w:t>
      </w:r>
      <w:r w:rsidR="00AB420B">
        <w:t xml:space="preserve">III. Ergänzende Hinweise, 4. Die </w:t>
      </w:r>
      <w:r w:rsidR="00D84D3F">
        <w:t>[</w:t>
      </w:r>
      <w:r w:rsidR="00AB420B">
        <w:t>überhöhten</w:t>
      </w:r>
      <w:r w:rsidR="00D84D3F">
        <w:t>]</w:t>
      </w:r>
      <w:r w:rsidR="00AB420B">
        <w:t xml:space="preserve"> Anforderungen an die Substantiierungspflicht sowie die Vergleichbarkeit gemäss bundesg</w:t>
      </w:r>
      <w:r w:rsidR="00AB420B">
        <w:t>e</w:t>
      </w:r>
      <w:r w:rsidR="00AB420B">
        <w:t xml:space="preserve">richtlicher </w:t>
      </w:r>
      <w:r w:rsidR="00AB420B" w:rsidRPr="00AB420B">
        <w:t xml:space="preserve">Rechtsprechung, </w:t>
      </w:r>
      <w:r w:rsidR="00C97919" w:rsidRPr="00AB420B">
        <w:t>Rz</w:t>
      </w:r>
      <w:r w:rsidR="00AA726F" w:rsidRPr="00AB420B">
        <w:t xml:space="preserve"> </w:t>
      </w:r>
      <w:r w:rsidR="00CA0547" w:rsidRPr="00AB420B">
        <w:t>25 ff.).</w:t>
      </w:r>
    </w:p>
    <w:p w:rsidR="002241B9" w:rsidRDefault="002241B9">
      <w:pPr>
        <w:pStyle w:val="MustertextListe0"/>
      </w:pPr>
      <w:r w:rsidRPr="002241B9">
        <w:t>Die Klägerin offeriert in diesem Zusammenhang nachfolgende Vergleichsobjekte, welche sich nicht nur in der Nähe zur Mustergasse befinden (Lage), sondern auch hinsichtlich der restl</w:t>
      </w:r>
      <w:r w:rsidRPr="002241B9">
        <w:t>i</w:t>
      </w:r>
      <w:r w:rsidRPr="002241B9">
        <w:t xml:space="preserve">chen Kriterien gemäss Art. 11 Abs. 1 VMWG (Ausstattung, Zustand und Bauperiode) mit dem streitbetroffenen Mietobjekt vergleichbar sind. </w:t>
      </w:r>
      <w:r w:rsidR="00BD1D63">
        <w:t>Diese Objekte wurden der Übersichtlichkeit und Einfachheit halber in einer Übersicht zusammengefasst; d</w:t>
      </w:r>
      <w:r w:rsidRPr="002241B9">
        <w:t>er Inhalt d</w:t>
      </w:r>
      <w:r w:rsidR="00BD1D63">
        <w:t>ies</w:t>
      </w:r>
      <w:r w:rsidRPr="002241B9">
        <w:t xml:space="preserve">er Liste </w:t>
      </w:r>
      <w:r w:rsidR="00504343">
        <w:t>«</w:t>
      </w:r>
      <w:r w:rsidRPr="002241B9">
        <w:t>Ve</w:t>
      </w:r>
      <w:r w:rsidRPr="002241B9">
        <w:t>r</w:t>
      </w:r>
      <w:r w:rsidRPr="002241B9">
        <w:t>gleichsobjekte</w:t>
      </w:r>
      <w:r w:rsidR="00504343">
        <w:t>»</w:t>
      </w:r>
      <w:r w:rsidRPr="002241B9">
        <w:t xml:space="preserve"> wird zum integrierenden Bestandteil dieser Eingabe er</w:t>
      </w:r>
      <w:r w:rsidR="00BD1D63">
        <w:t>klärt:</w:t>
      </w:r>
    </w:p>
    <w:p w:rsidR="00BD1D63" w:rsidRDefault="00DB744E" w:rsidP="00DF33A1">
      <w:pPr>
        <w:pStyle w:val="MustertextListe"/>
      </w:pPr>
      <w:r w:rsidRPr="00BB2A8B">
        <w:t>[Adresse</w:t>
      </w:r>
      <w:r w:rsidR="004C7E9E">
        <w:t>]</w:t>
      </w:r>
      <w:r w:rsidRPr="00BB2A8B">
        <w:t xml:space="preserve">, </w:t>
      </w:r>
      <w:r w:rsidR="004C7E9E">
        <w:t>[</w:t>
      </w:r>
      <w:r w:rsidRPr="00BB2A8B">
        <w:t>Ort]</w:t>
      </w:r>
    </w:p>
    <w:p w:rsidR="00DB744E" w:rsidRDefault="004C7E9E" w:rsidP="00DF33A1">
      <w:pPr>
        <w:pStyle w:val="MustertextListe"/>
      </w:pPr>
      <w:r w:rsidRPr="00BB2A8B">
        <w:t>[Adresse</w:t>
      </w:r>
      <w:r>
        <w:t>]</w:t>
      </w:r>
      <w:r w:rsidRPr="00BB2A8B">
        <w:t xml:space="preserve">, </w:t>
      </w:r>
      <w:r>
        <w:t>[</w:t>
      </w:r>
      <w:r w:rsidRPr="00BB2A8B">
        <w:t>Ort]</w:t>
      </w:r>
    </w:p>
    <w:p w:rsidR="00DB744E" w:rsidRDefault="004C7E9E" w:rsidP="00DF33A1">
      <w:pPr>
        <w:pStyle w:val="MustertextListe"/>
      </w:pPr>
      <w:r w:rsidRPr="00BB2A8B">
        <w:t>[Adresse</w:t>
      </w:r>
      <w:r>
        <w:t>]</w:t>
      </w:r>
      <w:r w:rsidRPr="00BB2A8B">
        <w:t xml:space="preserve">, </w:t>
      </w:r>
      <w:r>
        <w:t>[</w:t>
      </w:r>
      <w:r w:rsidRPr="00BB2A8B">
        <w:t>Ort]</w:t>
      </w:r>
    </w:p>
    <w:p w:rsidR="00DB744E" w:rsidRDefault="004C7E9E" w:rsidP="00DF33A1">
      <w:pPr>
        <w:pStyle w:val="MustertextListe"/>
      </w:pPr>
      <w:r w:rsidRPr="00BB2A8B">
        <w:t>[Adresse</w:t>
      </w:r>
      <w:r>
        <w:t>]</w:t>
      </w:r>
      <w:r w:rsidRPr="00BB2A8B">
        <w:t xml:space="preserve">, </w:t>
      </w:r>
      <w:r>
        <w:t>[</w:t>
      </w:r>
      <w:r w:rsidRPr="00BB2A8B">
        <w:t>Ort]</w:t>
      </w:r>
    </w:p>
    <w:p w:rsidR="00DB744E" w:rsidRDefault="00DB744E" w:rsidP="00DF33A1">
      <w:pPr>
        <w:pStyle w:val="MustertextListe"/>
      </w:pPr>
      <w:r>
        <w:t>etc.</w:t>
      </w:r>
    </w:p>
    <w:p w:rsidR="004C7E9E" w:rsidRDefault="00972CD3" w:rsidP="00DF33A1">
      <w:pPr>
        <w:pStyle w:val="MustertextBO"/>
        <w:rPr>
          <w:rStyle w:val="fettMuster"/>
        </w:rPr>
      </w:pPr>
      <w:r>
        <w:tab/>
      </w:r>
      <w:r w:rsidRPr="002257D5">
        <w:rPr>
          <w:rStyle w:val="fettMuster"/>
        </w:rPr>
        <w:t>BO:</w:t>
      </w:r>
      <w:r w:rsidRPr="00DC0FC4">
        <w:t xml:space="preserve"> Liste </w:t>
      </w:r>
      <w:r w:rsidR="00504343">
        <w:t>«</w:t>
      </w:r>
      <w:r w:rsidRPr="00DC0FC4">
        <w:t>Vergleichsobjekte</w:t>
      </w:r>
      <w:r w:rsidR="00504343">
        <w:t>»</w:t>
      </w:r>
      <w:r w:rsidRPr="00DC0FC4">
        <w:t>, datiert 28.08.2015</w:t>
      </w:r>
      <w:r w:rsidRPr="00DC0FC4">
        <w:tab/>
      </w:r>
      <w:r w:rsidRPr="00DC0FC4">
        <w:tab/>
      </w:r>
      <w:r w:rsidRPr="00DC0FC4">
        <w:tab/>
      </w:r>
      <w:r w:rsidR="0051115E" w:rsidRPr="00DC0FC4">
        <w:tab/>
      </w:r>
      <w:r w:rsidRPr="002257D5">
        <w:rPr>
          <w:rStyle w:val="fettMuster"/>
        </w:rPr>
        <w:t>Beilage</w:t>
      </w:r>
      <w:r w:rsidR="00B74180" w:rsidRPr="002257D5">
        <w:rPr>
          <w:rStyle w:val="fettMuster"/>
        </w:rPr>
        <w:t xml:space="preserve"> </w:t>
      </w:r>
      <w:r w:rsidR="0051115E" w:rsidRPr="002257D5">
        <w:rPr>
          <w:rStyle w:val="fettMuster"/>
        </w:rPr>
        <w:t>3</w:t>
      </w:r>
    </w:p>
    <w:p w:rsidR="00972CD3" w:rsidRPr="00DC0FC4" w:rsidRDefault="00972CD3" w:rsidP="00DF33A1">
      <w:pPr>
        <w:pStyle w:val="Mustertextleer"/>
      </w:pPr>
      <w:r w:rsidRPr="00DC0FC4">
        <w:rPr>
          <w:rStyle w:val="fettMuster"/>
          <w:i/>
        </w:rPr>
        <w:t xml:space="preserve"> </w:t>
      </w:r>
    </w:p>
    <w:p w:rsidR="004C7E9E" w:rsidRDefault="00E80DB5" w:rsidP="00DF33A1">
      <w:pPr>
        <w:pStyle w:val="MustertextBO"/>
      </w:pPr>
      <w:r>
        <w:tab/>
      </w:r>
      <w:r w:rsidR="004C7E9E" w:rsidRPr="002257D5">
        <w:rPr>
          <w:rStyle w:val="fettMuster"/>
        </w:rPr>
        <w:t>BO:</w:t>
      </w:r>
      <w:r w:rsidR="004C7E9E" w:rsidRPr="00DC0FC4">
        <w:t xml:space="preserve"> </w:t>
      </w:r>
      <w:r w:rsidR="00972CD3" w:rsidRPr="00DC0FC4">
        <w:t>Augenschein</w:t>
      </w:r>
    </w:p>
    <w:p w:rsidR="004C7E9E" w:rsidRDefault="004C7E9E" w:rsidP="00DF33A1">
      <w:pPr>
        <w:pStyle w:val="Mustertextleer"/>
      </w:pPr>
    </w:p>
    <w:p w:rsidR="004C7E9E" w:rsidRDefault="004C7E9E" w:rsidP="00177658">
      <w:pPr>
        <w:pStyle w:val="MustertextBO"/>
        <w:ind w:left="879" w:hanging="879"/>
      </w:pPr>
      <w:r>
        <w:tab/>
      </w:r>
      <w:r w:rsidRPr="002257D5">
        <w:rPr>
          <w:rStyle w:val="fettMuster"/>
        </w:rPr>
        <w:t>BO:</w:t>
      </w:r>
      <w:r>
        <w:t xml:space="preserve"> </w:t>
      </w:r>
      <w:r w:rsidR="00972CD3" w:rsidRPr="00DC0FC4">
        <w:rPr>
          <w:b/>
        </w:rPr>
        <w:t>Edition</w:t>
      </w:r>
      <w:r w:rsidR="00972CD3" w:rsidRPr="00DC0FC4">
        <w:t xml:space="preserve"> der Mietverträge und Mietvertragsanpassungen der Vergleichsobjekte </w:t>
      </w:r>
    </w:p>
    <w:p w:rsidR="00972CD3" w:rsidRDefault="004C7E9E" w:rsidP="00177658">
      <w:pPr>
        <w:pStyle w:val="MustertextBO"/>
        <w:ind w:left="879" w:hanging="879"/>
      </w:pPr>
      <w:r>
        <w:tab/>
      </w:r>
      <w:r>
        <w:tab/>
      </w:r>
      <w:r w:rsidR="00972CD3" w:rsidRPr="00DC0FC4">
        <w:t>durch die jeweil</w:t>
      </w:r>
      <w:r w:rsidR="00B74180" w:rsidRPr="00DC0FC4">
        <w:t xml:space="preserve">igen Eigentümer bzw. Verwalter </w:t>
      </w:r>
      <w:r w:rsidR="00972CD3" w:rsidRPr="00DC0FC4">
        <w:t xml:space="preserve">gemäss Liste </w:t>
      </w:r>
      <w:r w:rsidR="00504343">
        <w:t>«</w:t>
      </w:r>
      <w:r w:rsidR="00972CD3" w:rsidRPr="00DC0FC4">
        <w:t>Vergleichsobjekte</w:t>
      </w:r>
      <w:r w:rsidR="00504343">
        <w:t>»</w:t>
      </w:r>
      <w:r w:rsidR="00972CD3" w:rsidRPr="00DC0FC4">
        <w:t>, unter Wahrung des Geheimhaltungsinteresses der jeweiligen Eigentümer</w:t>
      </w:r>
    </w:p>
    <w:p w:rsidR="00E80DB5" w:rsidRPr="00DC0FC4" w:rsidRDefault="00E80DB5" w:rsidP="00DF33A1">
      <w:pPr>
        <w:pStyle w:val="Mustertextleer"/>
      </w:pPr>
    </w:p>
    <w:p w:rsidR="004C7E9E" w:rsidRDefault="00B74180" w:rsidP="00DF33A1">
      <w:pPr>
        <w:pStyle w:val="MustertextBO"/>
      </w:pPr>
      <w:r w:rsidRPr="00DC0FC4">
        <w:tab/>
      </w:r>
      <w:r w:rsidR="004C7E9E" w:rsidRPr="002257D5">
        <w:rPr>
          <w:rStyle w:val="fettMuster"/>
        </w:rPr>
        <w:t>BO:</w:t>
      </w:r>
      <w:r w:rsidR="004C7E9E">
        <w:t xml:space="preserve"> </w:t>
      </w:r>
      <w:r w:rsidR="00BB2A8B" w:rsidRPr="00DC0FC4">
        <w:rPr>
          <w:b/>
        </w:rPr>
        <w:t>Herr Andreas Meier</w:t>
      </w:r>
      <w:r w:rsidR="00BB2A8B" w:rsidRPr="00DC0FC4">
        <w:t>, zuständiger Bewirtschafter, c/o [Liegenschaftenv</w:t>
      </w:r>
      <w:r w:rsidRPr="00DC0FC4">
        <w:t xml:space="preserve">erwaltung], </w:t>
      </w:r>
    </w:p>
    <w:p w:rsidR="00BB2A8B" w:rsidRDefault="004C7E9E" w:rsidP="00DF33A1">
      <w:pPr>
        <w:pStyle w:val="MustertextBO"/>
        <w:rPr>
          <w:b/>
        </w:rPr>
      </w:pPr>
      <w:r>
        <w:tab/>
      </w:r>
      <w:r>
        <w:tab/>
      </w:r>
      <w:r w:rsidR="00B74180" w:rsidRPr="00DC0FC4">
        <w:t>[Adresse</w:t>
      </w:r>
      <w:r w:rsidR="00AA726F">
        <w:t>]</w:t>
      </w:r>
      <w:r w:rsidR="00B74180" w:rsidRPr="00DC0FC4">
        <w:t xml:space="preserve">, </w:t>
      </w:r>
      <w:r w:rsidR="00AA726F">
        <w:t>[</w:t>
      </w:r>
      <w:r w:rsidR="00B74180" w:rsidRPr="00DC0FC4">
        <w:t>Ort]</w:t>
      </w:r>
      <w:r w:rsidR="00B74180" w:rsidRPr="00DC0FC4">
        <w:tab/>
      </w:r>
      <w:r w:rsidR="00B74180" w:rsidRPr="00DC0FC4">
        <w:tab/>
      </w:r>
      <w:r w:rsidR="00B74180" w:rsidRPr="00DC0FC4">
        <w:tab/>
      </w:r>
      <w:r w:rsidR="00B74180" w:rsidRPr="00DC0FC4">
        <w:tab/>
      </w:r>
      <w:r w:rsidR="00B74180" w:rsidRPr="00DC0FC4">
        <w:tab/>
      </w:r>
      <w:r>
        <w:tab/>
      </w:r>
      <w:r>
        <w:tab/>
      </w:r>
      <w:r>
        <w:tab/>
      </w:r>
      <w:r w:rsidR="00BB2A8B" w:rsidRPr="00DC0FC4">
        <w:rPr>
          <w:b/>
        </w:rPr>
        <w:t>als Zeuge</w:t>
      </w:r>
    </w:p>
    <w:p w:rsidR="00E80DB5" w:rsidRPr="00DC0FC4" w:rsidRDefault="00E80DB5" w:rsidP="00DF33A1">
      <w:pPr>
        <w:pStyle w:val="Mustertextleer"/>
      </w:pPr>
    </w:p>
    <w:p w:rsidR="00567D01" w:rsidRPr="00DC0FC4" w:rsidRDefault="00567D01" w:rsidP="007A1FBC">
      <w:pPr>
        <w:pStyle w:val="Mustertext"/>
      </w:pPr>
      <w:r w:rsidRPr="00DC0FC4">
        <w:tab/>
      </w:r>
      <w:r w:rsidR="00203021">
        <w:t xml:space="preserve">  </w:t>
      </w:r>
      <w:r w:rsidR="002257D5">
        <w:t xml:space="preserve">  </w:t>
      </w:r>
      <w:r w:rsidR="00203021">
        <w:t xml:space="preserve">  </w:t>
      </w:r>
      <w:r w:rsidR="002257D5">
        <w:t xml:space="preserve"> </w:t>
      </w:r>
      <w:r w:rsidR="00E80DB5" w:rsidRPr="002257D5">
        <w:rPr>
          <w:rStyle w:val="fettMuster"/>
        </w:rPr>
        <w:t>BO:</w:t>
      </w:r>
      <w:r w:rsidR="00E80DB5">
        <w:t xml:space="preserve"> </w:t>
      </w:r>
      <w:r w:rsidRPr="00AB420B">
        <w:t>Expertise</w:t>
      </w:r>
    </w:p>
    <w:p w:rsidR="00BD1D63" w:rsidRPr="00FF5870" w:rsidRDefault="00BD1D63" w:rsidP="00177658">
      <w:pPr>
        <w:pStyle w:val="Mustertextklein"/>
      </w:pPr>
      <w:r>
        <w:tab/>
      </w:r>
      <w:r w:rsidRPr="00AB00E2">
        <w:rPr>
          <w:b/>
        </w:rPr>
        <w:t>Bemerkung 1</w:t>
      </w:r>
      <w:r w:rsidR="00D40191" w:rsidRPr="00AB00E2">
        <w:rPr>
          <w:b/>
        </w:rPr>
        <w:t>8</w:t>
      </w:r>
      <w:r w:rsidRPr="00AB00E2">
        <w:rPr>
          <w:b/>
        </w:rPr>
        <w:t>:</w:t>
      </w:r>
      <w:r>
        <w:t xml:space="preserve"> </w:t>
      </w:r>
      <w:r w:rsidRPr="00860452">
        <w:t>Es ist empfehlenswert, sämtliche mittels dieser Zusammenstellung offerierten Ve</w:t>
      </w:r>
      <w:r w:rsidRPr="00860452">
        <w:t>r</w:t>
      </w:r>
      <w:r w:rsidRPr="00860452">
        <w:t xml:space="preserve">gleichsobjekte, zumindest </w:t>
      </w:r>
      <w:r w:rsidR="00E913C4" w:rsidRPr="00860452">
        <w:t xml:space="preserve">jedoch </w:t>
      </w:r>
      <w:r w:rsidRPr="00860452">
        <w:t>deren Anschrift zu nennen. Ein blosser Verweis auf eingereichte Unterlagen genügt unter Umständen den Anforderungen an die</w:t>
      </w:r>
      <w:r w:rsidR="00B06ED1" w:rsidRPr="00860452">
        <w:t xml:space="preserve"> Substantiierungslast nicht</w:t>
      </w:r>
      <w:r w:rsidR="006B6B12" w:rsidRPr="00860452">
        <w:t>.</w:t>
      </w:r>
    </w:p>
    <w:p w:rsidR="00AB00E2" w:rsidRPr="00860452" w:rsidRDefault="002241B9">
      <w:pPr>
        <w:pStyle w:val="MustertextListe0"/>
        <w:rPr>
          <w:rStyle w:val="fettMuster"/>
          <w:b w:val="0"/>
        </w:rPr>
      </w:pPr>
      <w:r w:rsidRPr="002241B9">
        <w:t>Wie von der Rechtsprechung sodann gefordert,</w:t>
      </w:r>
      <w:r>
        <w:t xml:space="preserve"> hat die Klägerin bei jenen Ver</w:t>
      </w:r>
      <w:r w:rsidRPr="002241B9">
        <w:t>gleichsobje</w:t>
      </w:r>
      <w:r w:rsidRPr="002241B9">
        <w:t>k</w:t>
      </w:r>
      <w:r w:rsidRPr="002241B9">
        <w:t xml:space="preserve">ten, deren Mietzins nicht auf dem aktuellen </w:t>
      </w:r>
      <w:r w:rsidR="00567D01">
        <w:t>Referenz</w:t>
      </w:r>
      <w:r w:rsidR="00567D01" w:rsidRPr="002241B9">
        <w:t xml:space="preserve">zinssatz </w:t>
      </w:r>
      <w:r w:rsidRPr="002241B9">
        <w:t xml:space="preserve">von 1.75% </w:t>
      </w:r>
      <w:r w:rsidR="00D84D3F" w:rsidRPr="002241B9">
        <w:t>b</w:t>
      </w:r>
      <w:r w:rsidR="00D84D3F">
        <w:t>eruht</w:t>
      </w:r>
      <w:r w:rsidRPr="002241B9">
        <w:t>, die Mietzi</w:t>
      </w:r>
      <w:r w:rsidRPr="002241B9">
        <w:t>n</w:t>
      </w:r>
      <w:r w:rsidRPr="002241B9">
        <w:t>se nach der relativen Methode bis auf diesen Zinssatz von 1.75% angepasst bzw. bereinigt (</w:t>
      </w:r>
      <w:r w:rsidRPr="004B7400">
        <w:t>BGE 123 III 317 E. 4</w:t>
      </w:r>
      <w:r w:rsidR="00AA726F">
        <w:t>.</w:t>
      </w:r>
      <w:r w:rsidRPr="004B7400">
        <w:t>d.). Der</w:t>
      </w:r>
      <w:r w:rsidRPr="002241B9">
        <w:t xml:space="preserve"> Einfachheit halber wurde (einstweilen) auf die Aufrechnung der restlichen Kostenfaktoren (allgemeine Kostensteigerungen</w:t>
      </w:r>
      <w:r>
        <w:t xml:space="preserve"> und Teuerung auf dem risikotr</w:t>
      </w:r>
      <w:r>
        <w:t>a</w:t>
      </w:r>
      <w:r w:rsidRPr="002241B9">
        <w:t xml:space="preserve">genden Kapital) verzichtet. Die Vergleichsobjekte, bei welchen diese Anpassung notwendig war, wurden in der Liste </w:t>
      </w:r>
      <w:r w:rsidR="00504343">
        <w:t>«</w:t>
      </w:r>
      <w:r w:rsidRPr="002241B9">
        <w:t>Vergleichsobjekte</w:t>
      </w:r>
      <w:r w:rsidR="00504343">
        <w:t>»</w:t>
      </w:r>
      <w:r w:rsidRPr="002241B9">
        <w:t xml:space="preserve"> mit einem </w:t>
      </w:r>
      <w:r w:rsidR="00504343">
        <w:t>«</w:t>
      </w:r>
      <w:r w:rsidRPr="002241B9">
        <w:t>*</w:t>
      </w:r>
      <w:r w:rsidR="00504343">
        <w:t>»</w:t>
      </w:r>
      <w:r w:rsidRPr="002241B9">
        <w:t xml:space="preserve"> bezeichnet.</w:t>
      </w:r>
    </w:p>
    <w:p w:rsidR="00E80DB5" w:rsidRDefault="00E80DB5">
      <w:pPr>
        <w:rPr>
          <w:rStyle w:val="fettMuster"/>
        </w:rPr>
      </w:pPr>
      <w:r>
        <w:rPr>
          <w:rStyle w:val="fettMuster"/>
        </w:rPr>
        <w:br w:type="page"/>
      </w:r>
    </w:p>
    <w:p w:rsidR="002241B9" w:rsidRPr="00A74099" w:rsidRDefault="004C7E9E" w:rsidP="00DF33A1">
      <w:pPr>
        <w:pStyle w:val="MustertextTitelEbene3"/>
        <w:rPr>
          <w:rStyle w:val="fettMuster"/>
          <w:i/>
        </w:rPr>
      </w:pPr>
      <w:r w:rsidRPr="00A74099">
        <w:rPr>
          <w:rStyle w:val="fettMuster"/>
          <w:b/>
        </w:rPr>
        <w:lastRenderedPageBreak/>
        <w:t>b)</w:t>
      </w:r>
      <w:r w:rsidR="002241B9" w:rsidRPr="00A74099">
        <w:rPr>
          <w:rStyle w:val="fettMuster"/>
          <w:b/>
        </w:rPr>
        <w:tab/>
        <w:t>Zu den einzelnen Vergleichskriterien (unter Bezugnahme auf offerierte Vergleichs</w:t>
      </w:r>
      <w:r w:rsidR="00332B91" w:rsidRPr="00A74099">
        <w:rPr>
          <w:rStyle w:val="fettMuster"/>
          <w:b/>
        </w:rPr>
        <w:softHyphen/>
      </w:r>
      <w:r w:rsidR="002241B9" w:rsidRPr="00A74099">
        <w:rPr>
          <w:rStyle w:val="fettMuster"/>
          <w:b/>
        </w:rPr>
        <w:t>objekte)</w:t>
      </w:r>
    </w:p>
    <w:p w:rsidR="002241B9" w:rsidRPr="00DF33A1" w:rsidRDefault="004C7E9E" w:rsidP="00DF33A1">
      <w:pPr>
        <w:pStyle w:val="MustertextTitelEbene4"/>
        <w:rPr>
          <w:rStyle w:val="fettMuster"/>
          <w:b/>
          <w:i/>
        </w:rPr>
      </w:pPr>
      <w:r w:rsidRPr="00A74099">
        <w:rPr>
          <w:rStyle w:val="fettMuster"/>
          <w:b/>
        </w:rPr>
        <w:tab/>
      </w:r>
      <w:r w:rsidR="002241B9" w:rsidRPr="00A74099">
        <w:rPr>
          <w:rStyle w:val="fettMuster"/>
          <w:b/>
        </w:rPr>
        <w:t>Die Lage</w:t>
      </w:r>
    </w:p>
    <w:p w:rsidR="002241B9" w:rsidRDefault="002241B9">
      <w:pPr>
        <w:pStyle w:val="MustertextListe0"/>
      </w:pPr>
      <w:r w:rsidRPr="002241B9">
        <w:t>Es werden Vergleichsobjekte aus insgesamt 15 ve</w:t>
      </w:r>
      <w:r w:rsidR="00BB2A8B">
        <w:t>rschiedenen Liegenschaften offe</w:t>
      </w:r>
      <w:r w:rsidRPr="002241B9">
        <w:t xml:space="preserve">riert. Es </w:t>
      </w:r>
      <w:r w:rsidR="000E0E48">
        <w:t>ist</w:t>
      </w:r>
      <w:r w:rsidRPr="002241B9">
        <w:t xml:space="preserve"> ersichtlich, dass die konkreten Ve</w:t>
      </w:r>
      <w:r w:rsidR="00BB2A8B">
        <w:t>rgleichsobjekte entweder demsel</w:t>
      </w:r>
      <w:r w:rsidR="00FD27D7">
        <w:t>ben Stadtkreis (1 </w:t>
      </w:r>
      <w:r w:rsidRPr="002241B9">
        <w:t>[</w:t>
      </w:r>
      <w:r w:rsidR="00504343">
        <w:t>«</w:t>
      </w:r>
      <w:r w:rsidRPr="002241B9">
        <w:t>City</w:t>
      </w:r>
      <w:r w:rsidR="00504343">
        <w:t>»</w:t>
      </w:r>
      <w:r w:rsidRPr="002241B9">
        <w:t>]) angehören oder direkt im Grenzgebiet der benachbarten Stadtkr</w:t>
      </w:r>
      <w:r w:rsidR="00BB2A8B">
        <w:t>ei</w:t>
      </w:r>
      <w:r w:rsidRPr="002241B9">
        <w:t>se (2 [</w:t>
      </w:r>
      <w:r w:rsidR="00504343">
        <w:t>«</w:t>
      </w:r>
      <w:r w:rsidRPr="002241B9">
        <w:t>Enge</w:t>
      </w:r>
      <w:r w:rsidR="00504343">
        <w:t>»</w:t>
      </w:r>
      <w:r w:rsidRPr="002241B9">
        <w:t>] und 8 [</w:t>
      </w:r>
      <w:r w:rsidR="00504343">
        <w:t>«</w:t>
      </w:r>
      <w:r w:rsidRPr="002241B9">
        <w:t>Mühlebach/Seefeld</w:t>
      </w:r>
      <w:r w:rsidR="00504343">
        <w:t>»</w:t>
      </w:r>
      <w:r w:rsidRPr="002241B9">
        <w:t>]) liegen.</w:t>
      </w:r>
    </w:p>
    <w:p w:rsidR="00A81A4E" w:rsidRPr="00A74099" w:rsidRDefault="00972CD3" w:rsidP="00177658">
      <w:pPr>
        <w:pStyle w:val="Mustertextklein"/>
      </w:pPr>
      <w:r w:rsidRPr="00E80DB5">
        <w:tab/>
      </w:r>
      <w:r w:rsidRPr="00E80DB5">
        <w:rPr>
          <w:rStyle w:val="fettMuster"/>
          <w:sz w:val="16"/>
        </w:rPr>
        <w:t xml:space="preserve">Bemerkung </w:t>
      </w:r>
      <w:r w:rsidR="000F456E" w:rsidRPr="00E80DB5">
        <w:rPr>
          <w:rStyle w:val="fettMuster"/>
          <w:sz w:val="16"/>
        </w:rPr>
        <w:t>1</w:t>
      </w:r>
      <w:r w:rsidR="00D40191" w:rsidRPr="00AB420B">
        <w:rPr>
          <w:rStyle w:val="fettMuster"/>
          <w:sz w:val="16"/>
        </w:rPr>
        <w:t>9</w:t>
      </w:r>
      <w:r w:rsidRPr="00AB420B">
        <w:rPr>
          <w:rStyle w:val="fettMuster"/>
          <w:sz w:val="16"/>
        </w:rPr>
        <w:t>:</w:t>
      </w:r>
      <w:r w:rsidRPr="00D41E31">
        <w:t xml:space="preserve"> Das Bundesgericht hatte erst kürzlich Gelegenheit, den Quartierbegriff am Beispiel einer in Genf gelegenen Wohnung etwas näher zu erörtern (vgl. BGE 136 III 74). Es hat dabei festg</w:t>
      </w:r>
      <w:r w:rsidRPr="00185624">
        <w:t>e</w:t>
      </w:r>
      <w:r w:rsidRPr="00A74099">
        <w:t>halten, dass Liegenschaften auch dann demselben Quartier angehören können,</w:t>
      </w:r>
      <w:r w:rsidRPr="00EF7C69">
        <w:t xml:space="preserve"> wenn</w:t>
      </w:r>
      <w:r w:rsidR="00A548BC" w:rsidRPr="00DF33A1">
        <w:t xml:space="preserve"> sie sich in G</w:t>
      </w:r>
      <w:r w:rsidR="00A548BC" w:rsidRPr="00DF33A1">
        <w:t>e</w:t>
      </w:r>
      <w:r w:rsidR="00A548BC" w:rsidRPr="00DF33A1">
        <w:t>bieten mit unter</w:t>
      </w:r>
      <w:r w:rsidRPr="00DF33A1">
        <w:t xml:space="preserve">schiedlichen Postleitzahlen (oder in unterschiedlichen </w:t>
      </w:r>
      <w:r w:rsidR="00BB2A8B" w:rsidRPr="00DF33A1">
        <w:t xml:space="preserve">politisch definierten </w:t>
      </w:r>
      <w:r w:rsidRPr="00DF33A1">
        <w:t>Stadtkre</w:t>
      </w:r>
      <w:r w:rsidRPr="00DF33A1">
        <w:t>i</w:t>
      </w:r>
      <w:r w:rsidRPr="00DF33A1">
        <w:t xml:space="preserve">sen) befinden. Zudem beschränke sich der Begriff des Quartiers nicht auf einen </w:t>
      </w:r>
      <w:r w:rsidR="00504343">
        <w:t>«</w:t>
      </w:r>
      <w:r w:rsidRPr="00E80DB5">
        <w:t>architektonisch homogenen Komplex</w:t>
      </w:r>
      <w:r w:rsidR="00504343">
        <w:t>»</w:t>
      </w:r>
      <w:r w:rsidRPr="00E80DB5">
        <w:t>. Ebenfalls dürfe der Perimeter, welcher zum Nachweis der Orts- oder Qua</w:t>
      </w:r>
      <w:r w:rsidRPr="00AB420B">
        <w:t>r</w:t>
      </w:r>
      <w:r w:rsidRPr="00D41E31">
        <w:t>ti</w:t>
      </w:r>
      <w:r w:rsidRPr="00D41E31">
        <w:t>e</w:t>
      </w:r>
      <w:r w:rsidRPr="00D41E31">
        <w:t>rüblichkeit herangezogen wird, nicht nach sturen administrati</w:t>
      </w:r>
      <w:r w:rsidR="00A548BC" w:rsidRPr="00185624">
        <w:t xml:space="preserve">ven, </w:t>
      </w:r>
      <w:r w:rsidR="007050C7" w:rsidRPr="00A74099">
        <w:t>p</w:t>
      </w:r>
      <w:r w:rsidR="00A548BC" w:rsidRPr="00DF33A1">
        <w:t>ost</w:t>
      </w:r>
      <w:r w:rsidRPr="00DF33A1">
        <w:t>organisatorischen oder gar historischen Gesichts</w:t>
      </w:r>
      <w:r w:rsidR="00BB2A8B" w:rsidRPr="00DF33A1">
        <w:t>punkten definiert wer</w:t>
      </w:r>
      <w:r w:rsidRPr="00DF33A1">
        <w:t xml:space="preserve">den. Auch sei es durchaus möglich, dass das Quartier </w:t>
      </w:r>
      <w:r w:rsidR="00504343">
        <w:t>«</w:t>
      </w:r>
      <w:r w:rsidRPr="00E80DB5">
        <w:t>verschiedenartige Bauten</w:t>
      </w:r>
      <w:r w:rsidR="00504343">
        <w:t>»</w:t>
      </w:r>
      <w:r w:rsidRPr="00E80DB5">
        <w:t xml:space="preserve"> und </w:t>
      </w:r>
      <w:r w:rsidR="00504343">
        <w:t>«</w:t>
      </w:r>
      <w:r w:rsidRPr="00E80DB5">
        <w:t>verschiedene Gebäudearten</w:t>
      </w:r>
      <w:r w:rsidR="00504343">
        <w:t>»</w:t>
      </w:r>
      <w:r w:rsidRPr="00E80DB5">
        <w:t xml:space="preserve"> umfasse. Die Begriffe </w:t>
      </w:r>
      <w:r w:rsidR="00504343">
        <w:t>«</w:t>
      </w:r>
      <w:r w:rsidRPr="00E80DB5">
        <w:t>Ort</w:t>
      </w:r>
      <w:r w:rsidR="00504343">
        <w:t>»</w:t>
      </w:r>
      <w:r w:rsidRPr="00E80DB5">
        <w:t xml:space="preserve"> und </w:t>
      </w:r>
      <w:r w:rsidR="00504343">
        <w:t>«</w:t>
      </w:r>
      <w:r w:rsidRPr="00E80DB5">
        <w:t>Quartier</w:t>
      </w:r>
      <w:r w:rsidR="00504343">
        <w:t>»</w:t>
      </w:r>
      <w:r w:rsidRPr="00E80DB5">
        <w:t xml:space="preserve"> seien gleichbedeutend (</w:t>
      </w:r>
      <w:r w:rsidR="00A750D0" w:rsidRPr="00E80DB5">
        <w:t>vgl. BGE 136 III 74</w:t>
      </w:r>
      <w:r w:rsidR="00A750D0" w:rsidRPr="00AB420B">
        <w:t xml:space="preserve"> </w:t>
      </w:r>
      <w:r w:rsidRPr="00D41E31">
        <w:t>E. 2.2.1</w:t>
      </w:r>
      <w:r w:rsidR="007A1FBC" w:rsidRPr="00A74099">
        <w:t xml:space="preserve"> mit Verweis auf ZK</w:t>
      </w:r>
      <w:r w:rsidR="00BD7C79">
        <w:t xml:space="preserve"> OR</w:t>
      </w:r>
      <w:r w:rsidR="007A1FBC" w:rsidRPr="00E80DB5">
        <w:noBreakHyphen/>
      </w:r>
      <w:r w:rsidRPr="00E80DB5">
        <w:rPr>
          <w:smallCaps/>
        </w:rPr>
        <w:t>Higi</w:t>
      </w:r>
      <w:r w:rsidRPr="00E80DB5">
        <w:t>, Art. 269a</w:t>
      </w:r>
      <w:r w:rsidR="00A750D0" w:rsidRPr="00D41E31">
        <w:t xml:space="preserve"> N 34</w:t>
      </w:r>
      <w:r w:rsidRPr="00185624">
        <w:t>).</w:t>
      </w:r>
    </w:p>
    <w:p w:rsidR="002241B9" w:rsidRPr="009C387B" w:rsidRDefault="002241B9">
      <w:pPr>
        <w:pStyle w:val="MustertextListe0"/>
      </w:pPr>
      <w:r w:rsidRPr="002241B9">
        <w:t xml:space="preserve">Die Liegenschaft Mustergasse 10 gehört zum Stadtkreis 1, </w:t>
      </w:r>
      <w:r w:rsidR="00504343">
        <w:t>«</w:t>
      </w:r>
      <w:r w:rsidRPr="002241B9">
        <w:t>City</w:t>
      </w:r>
      <w:r w:rsidR="00504343">
        <w:t>»</w:t>
      </w:r>
      <w:r w:rsidRPr="002241B9">
        <w:t xml:space="preserve">. Allerdings sind auch Teile der Stadtquartiere </w:t>
      </w:r>
      <w:r w:rsidR="00504343">
        <w:t>«</w:t>
      </w:r>
      <w:r w:rsidRPr="002241B9">
        <w:t>Enge</w:t>
      </w:r>
      <w:r w:rsidR="00504343">
        <w:t>»</w:t>
      </w:r>
      <w:r w:rsidRPr="002241B9">
        <w:t xml:space="preserve"> und </w:t>
      </w:r>
      <w:r w:rsidR="00504343">
        <w:t>«</w:t>
      </w:r>
      <w:r w:rsidRPr="002241B9">
        <w:t>Mühlebach/Seefeld</w:t>
      </w:r>
      <w:r w:rsidR="00504343">
        <w:t>»</w:t>
      </w:r>
      <w:r w:rsidRPr="002241B9">
        <w:t xml:space="preserve"> mit seinen Bauten der repräsentativen Architektur zum hier </w:t>
      </w:r>
      <w:r w:rsidR="003007F8" w:rsidRPr="002241B9">
        <w:t>massgebenden</w:t>
      </w:r>
      <w:r w:rsidRPr="002241B9">
        <w:t xml:space="preserve"> Perimeter zu zählen. Dieser lässt sich daher </w:t>
      </w:r>
      <w:r w:rsidR="00567D01">
        <w:t>ungefähr</w:t>
      </w:r>
      <w:r w:rsidRPr="002241B9">
        <w:t xml:space="preserve"> durch die Eckpunkte Mythenquai – Bahnhof Enge – Hauptbahnhof – Bellevue – Z</w:t>
      </w:r>
      <w:r w:rsidR="003007F8">
        <w:t>ü</w:t>
      </w:r>
      <w:r w:rsidRPr="002241B9">
        <w:t xml:space="preserve">richhorn umschreiben. Unter Berücksichtigung </w:t>
      </w:r>
      <w:r w:rsidRPr="009C387B">
        <w:t xml:space="preserve">dieser bundesgerichtlichen Rechtsprechung ist dem Kriterium der </w:t>
      </w:r>
      <w:r w:rsidR="00504343">
        <w:rPr>
          <w:b/>
        </w:rPr>
        <w:t>«</w:t>
      </w:r>
      <w:r w:rsidRPr="009C387B">
        <w:rPr>
          <w:b/>
        </w:rPr>
        <w:t>Lage</w:t>
      </w:r>
      <w:r w:rsidR="00504343">
        <w:rPr>
          <w:b/>
        </w:rPr>
        <w:t>»</w:t>
      </w:r>
      <w:r w:rsidRPr="009C387B">
        <w:t xml:space="preserve"> in casu mehr als Genüge getan.</w:t>
      </w:r>
    </w:p>
    <w:p w:rsidR="00EB5C8A" w:rsidRPr="00DF33A1" w:rsidRDefault="00424A97" w:rsidP="00177658">
      <w:pPr>
        <w:pStyle w:val="Mustertextklein"/>
      </w:pPr>
      <w:r w:rsidRPr="00E80DB5">
        <w:rPr>
          <w:rStyle w:val="fettMuster"/>
          <w:sz w:val="16"/>
        </w:rPr>
        <w:tab/>
        <w:t xml:space="preserve">Bemerkung </w:t>
      </w:r>
      <w:r w:rsidR="00D40191" w:rsidRPr="00E80DB5">
        <w:rPr>
          <w:rStyle w:val="fettMuster"/>
          <w:sz w:val="16"/>
        </w:rPr>
        <w:t>20</w:t>
      </w:r>
      <w:r w:rsidRPr="00E80DB5">
        <w:rPr>
          <w:rStyle w:val="fettMuster"/>
          <w:sz w:val="16"/>
        </w:rPr>
        <w:t>:</w:t>
      </w:r>
      <w:r w:rsidRPr="00AB420B">
        <w:t xml:space="preserve"> Anzumerken ist, dass für den Betrieb von Arztpraxen oder Anwaltsbüros andere Massstäbe bezüglich</w:t>
      </w:r>
      <w:r w:rsidR="009C387B" w:rsidRPr="00AB420B">
        <w:t xml:space="preserve"> des</w:t>
      </w:r>
      <w:r w:rsidRPr="00D41E31">
        <w:t xml:space="preserve"> Lage</w:t>
      </w:r>
      <w:r w:rsidR="009C387B" w:rsidRPr="00185624">
        <w:t>kriteriums</w:t>
      </w:r>
      <w:r w:rsidRPr="00A74099">
        <w:t xml:space="preserve"> gelten als für den Betrieb von Ladengeschäften. Bei Letzt</w:t>
      </w:r>
      <w:r w:rsidRPr="00EF7C69">
        <w:t>e</w:t>
      </w:r>
      <w:r w:rsidRPr="00DF33A1">
        <w:t xml:space="preserve">ren </w:t>
      </w:r>
      <w:r w:rsidR="009C387B" w:rsidRPr="00DF33A1">
        <w:t xml:space="preserve">ist im Hinblick auf </w:t>
      </w:r>
      <w:r w:rsidRPr="00DF33A1">
        <w:t>ei</w:t>
      </w:r>
      <w:r w:rsidR="009C387B" w:rsidRPr="00DF33A1">
        <w:t xml:space="preserve">ne </w:t>
      </w:r>
      <w:r w:rsidRPr="00DF33A1">
        <w:t>vergleichbare Lage praktisch ausschliesslich die Passantenfrequenz</w:t>
      </w:r>
      <w:r w:rsidR="009C387B" w:rsidRPr="00DF33A1">
        <w:t xml:space="preserve"> mass</w:t>
      </w:r>
      <w:r w:rsidR="00D84D3F">
        <w:t>-</w:t>
      </w:r>
      <w:r w:rsidR="009C387B" w:rsidRPr="00DF33A1">
        <w:t>gebend</w:t>
      </w:r>
      <w:r w:rsidRPr="00DF33A1">
        <w:t>. Diese kann sich teilweise innerhalb weniger Meter und damit auch zwischen benachbarten Strassenzügen verändern</w:t>
      </w:r>
      <w:r w:rsidR="00643AB4" w:rsidRPr="00DF33A1">
        <w:t xml:space="preserve"> (</w:t>
      </w:r>
      <w:r w:rsidR="00567D01" w:rsidRPr="00DF33A1">
        <w:t>so weichen zum Beispiel die marktüblichen Quadratmeterpreise für Ve</w:t>
      </w:r>
      <w:r w:rsidR="00567D01" w:rsidRPr="00DF33A1">
        <w:t>r</w:t>
      </w:r>
      <w:r w:rsidR="00567D01" w:rsidRPr="00DF33A1">
        <w:t>kaufsflächen an der Bahnhofstrasse</w:t>
      </w:r>
      <w:r w:rsidR="00FF5870" w:rsidRPr="00DF33A1">
        <w:t xml:space="preserve"> </w:t>
      </w:r>
      <w:r w:rsidR="00567D01" w:rsidRPr="00DF33A1">
        <w:t>in Zürich gegenüber den</w:t>
      </w:r>
      <w:r w:rsidR="000E0E48" w:rsidRPr="00DF33A1">
        <w:t>jenig</w:t>
      </w:r>
      <w:r w:rsidR="00567D01" w:rsidRPr="00DF33A1">
        <w:t>en an der Löwenstrasse trotz räu</w:t>
      </w:r>
      <w:r w:rsidR="00567D01" w:rsidRPr="00DF33A1">
        <w:t>m</w:t>
      </w:r>
      <w:r w:rsidR="00567D01" w:rsidRPr="00DF33A1">
        <w:t>licher Nähe deutlich ab</w:t>
      </w:r>
      <w:r w:rsidR="00F70235" w:rsidRPr="00DF33A1">
        <w:t>)</w:t>
      </w:r>
      <w:r w:rsidRPr="00DF33A1">
        <w:t>. Entsprechende Detailerhebungen sind dementsprechend von immenser Wichtigkeit im Hinblick auf den erfolgreichen Nachweis</w:t>
      </w:r>
      <w:r w:rsidR="00643AB4" w:rsidRPr="00DF33A1">
        <w:t xml:space="preserve"> der </w:t>
      </w:r>
      <w:r w:rsidR="00504343">
        <w:t>«</w:t>
      </w:r>
      <w:r w:rsidR="00643AB4" w:rsidRPr="00E80DB5">
        <w:t>vergleichba</w:t>
      </w:r>
      <w:r w:rsidR="009C387B" w:rsidRPr="00AB420B">
        <w:t>ren Lage</w:t>
      </w:r>
      <w:r w:rsidR="00504343">
        <w:t>»</w:t>
      </w:r>
      <w:r w:rsidR="009C387B" w:rsidRPr="00E80DB5">
        <w:t>. D</w:t>
      </w:r>
      <w:r w:rsidR="00643AB4" w:rsidRPr="00E80DB5">
        <w:t>er</w:t>
      </w:r>
      <w:r w:rsidRPr="00AB420B">
        <w:t>artige Er</w:t>
      </w:r>
      <w:r w:rsidRPr="00D41E31">
        <w:t>h</w:t>
      </w:r>
      <w:r w:rsidRPr="00D41E31">
        <w:t>e</w:t>
      </w:r>
      <w:r w:rsidRPr="00D41E31">
        <w:t xml:space="preserve">bungen werden </w:t>
      </w:r>
      <w:r w:rsidRPr="00185624">
        <w:t>unter anderem durc</w:t>
      </w:r>
      <w:r w:rsidR="00643AB4" w:rsidRPr="00A74099">
        <w:t xml:space="preserve">h </w:t>
      </w:r>
      <w:r w:rsidR="00F70235" w:rsidRPr="00EF7C69">
        <w:t xml:space="preserve">private </w:t>
      </w:r>
      <w:r w:rsidR="00FF5870" w:rsidRPr="00DF33A1">
        <w:t>Unternehmungen</w:t>
      </w:r>
      <w:r w:rsidR="00F70235" w:rsidRPr="00DF33A1">
        <w:t xml:space="preserve"> </w:t>
      </w:r>
      <w:r w:rsidR="00643AB4" w:rsidRPr="00DF33A1">
        <w:t>durch</w:t>
      </w:r>
      <w:r w:rsidR="009C387B" w:rsidRPr="00DF33A1">
        <w:t>geführt</w:t>
      </w:r>
      <w:r w:rsidR="00643AB4" w:rsidRPr="00DF33A1">
        <w:t>. Entsprechende Erge</w:t>
      </w:r>
      <w:r w:rsidR="00643AB4" w:rsidRPr="00DF33A1">
        <w:t>b</w:t>
      </w:r>
      <w:r w:rsidR="00643AB4" w:rsidRPr="00DF33A1">
        <w:t xml:space="preserve">nisse </w:t>
      </w:r>
      <w:r w:rsidR="00F70235" w:rsidRPr="00DF33A1">
        <w:t xml:space="preserve">mit verdeutlichenden Grafiken </w:t>
      </w:r>
      <w:r w:rsidR="00643AB4" w:rsidRPr="00DF33A1">
        <w:t>sind im Rahmen einer Klage als Beweismittel ins Recht zu legen.</w:t>
      </w:r>
    </w:p>
    <w:p w:rsidR="002241B9" w:rsidRPr="00A74099" w:rsidRDefault="004C7E9E" w:rsidP="00DF33A1">
      <w:pPr>
        <w:pStyle w:val="MustertextTitelEbene4"/>
        <w:rPr>
          <w:rStyle w:val="fettMuster"/>
          <w:i/>
          <w:szCs w:val="16"/>
        </w:rPr>
      </w:pPr>
      <w:r w:rsidRPr="00A74099">
        <w:rPr>
          <w:rStyle w:val="fettMuster"/>
          <w:b/>
        </w:rPr>
        <w:tab/>
      </w:r>
      <w:r w:rsidR="002241B9" w:rsidRPr="00A74099">
        <w:rPr>
          <w:rStyle w:val="fettMuster"/>
          <w:b/>
        </w:rPr>
        <w:t>Die Ausstattung</w:t>
      </w:r>
    </w:p>
    <w:p w:rsidR="00972CD3" w:rsidRDefault="00ED1608">
      <w:pPr>
        <w:pStyle w:val="MustertextListe0"/>
      </w:pPr>
      <w:r>
        <w:t>D</w:t>
      </w:r>
      <w:r w:rsidR="00972CD3" w:rsidRPr="00972CD3">
        <w:t>as Referenzobjekt wurde</w:t>
      </w:r>
      <w:r>
        <w:t xml:space="preserve"> der Beklagten</w:t>
      </w:r>
      <w:r w:rsidR="00972CD3" w:rsidRPr="00972CD3">
        <w:t xml:space="preserve"> im </w:t>
      </w:r>
      <w:r>
        <w:t>so</w:t>
      </w:r>
      <w:r w:rsidR="00F70235">
        <w:t xml:space="preserve"> genannten</w:t>
      </w:r>
      <w:r>
        <w:t xml:space="preserve"> </w:t>
      </w:r>
      <w:r w:rsidR="00504343">
        <w:t>«</w:t>
      </w:r>
      <w:r>
        <w:t>Edelr</w:t>
      </w:r>
      <w:r w:rsidR="00972CD3" w:rsidRPr="00972CD3">
        <w:t>ohbau</w:t>
      </w:r>
      <w:r w:rsidR="00504343">
        <w:t>»</w:t>
      </w:r>
      <w:r w:rsidR="00972CD3" w:rsidRPr="00972CD3">
        <w:t xml:space="preserve"> </w:t>
      </w:r>
      <w:r w:rsidR="00A750D0">
        <w:t>verm</w:t>
      </w:r>
      <w:r>
        <w:t>ietet: die Klägerin stellte der Beklagten nebst ausgebauten Treppenhäusern auch sanitäre Anlagen zur Verfügung. Der Boden wurde mit einem Zementüberzug, die Wände mit einem Grundputz überlassen. Die Elektro- und Haustechnikinstallationen wurden bis ans Stockwerk geführt. Ausserdem verfügt das Referenzo</w:t>
      </w:r>
      <w:r w:rsidR="00972CD3">
        <w:t>bjek</w:t>
      </w:r>
      <w:r>
        <w:t>t</w:t>
      </w:r>
      <w:r w:rsidR="00972CD3" w:rsidRPr="00972CD3">
        <w:t xml:space="preserve"> über eine Zweifachverglasung sowie moderne Mu</w:t>
      </w:r>
      <w:r w:rsidR="00972CD3" w:rsidRPr="00972CD3">
        <w:t>l</w:t>
      </w:r>
      <w:r w:rsidR="00972CD3" w:rsidRPr="00972CD3">
        <w:t>timedia-Anschlüsse.</w:t>
      </w:r>
      <w:r w:rsidR="005B49E1">
        <w:t xml:space="preserve"> </w:t>
      </w:r>
    </w:p>
    <w:p w:rsidR="006D54B1" w:rsidRDefault="00ED1608">
      <w:pPr>
        <w:pStyle w:val="MustertextListe0"/>
      </w:pPr>
      <w:r>
        <w:t xml:space="preserve">Auch die Vergleichsobjekte wurden allesamt im Zustand </w:t>
      </w:r>
      <w:r w:rsidR="00504343">
        <w:t>«</w:t>
      </w:r>
      <w:r>
        <w:t>Edelrohbau</w:t>
      </w:r>
      <w:r w:rsidR="00504343">
        <w:t>»</w:t>
      </w:r>
      <w:r>
        <w:t xml:space="preserve"> vermietet. </w:t>
      </w:r>
      <w:r w:rsidR="005B49E1">
        <w:t>Zu</w:t>
      </w:r>
      <w:r>
        <w:t>r Au</w:t>
      </w:r>
      <w:r>
        <w:t>s</w:t>
      </w:r>
      <w:r>
        <w:t>stattung der</w:t>
      </w:r>
      <w:r w:rsidR="005B49E1">
        <w:t xml:space="preserve"> einzelnen </w:t>
      </w:r>
      <w:r>
        <w:t>Vergleichsobjekte was folgt:</w:t>
      </w:r>
    </w:p>
    <w:p w:rsidR="00ED1608" w:rsidRDefault="00ED1608" w:rsidP="00DF33A1">
      <w:pPr>
        <w:pStyle w:val="MustertextListe"/>
      </w:pPr>
      <w:r w:rsidRPr="00BB2A8B">
        <w:t>[Adresse</w:t>
      </w:r>
      <w:r w:rsidR="00AA726F">
        <w:t>]</w:t>
      </w:r>
      <w:r w:rsidRPr="00BB2A8B">
        <w:t xml:space="preserve">, </w:t>
      </w:r>
      <w:r w:rsidR="00AA726F">
        <w:t>[</w:t>
      </w:r>
      <w:r w:rsidRPr="00BB2A8B">
        <w:t>Ort]</w:t>
      </w:r>
      <w:r>
        <w:t xml:space="preserve"> </w:t>
      </w:r>
    </w:p>
    <w:p w:rsidR="00AA726F" w:rsidRDefault="00AA726F" w:rsidP="00AA726F">
      <w:pPr>
        <w:pStyle w:val="MustertextListe"/>
      </w:pPr>
      <w:r w:rsidRPr="00BB2A8B">
        <w:t>[Adresse</w:t>
      </w:r>
      <w:r>
        <w:t>]</w:t>
      </w:r>
      <w:r w:rsidRPr="00BB2A8B">
        <w:t xml:space="preserve">, </w:t>
      </w:r>
      <w:r>
        <w:t>[</w:t>
      </w:r>
      <w:r w:rsidRPr="00BB2A8B">
        <w:t>Ort]</w:t>
      </w:r>
      <w:r>
        <w:t xml:space="preserve"> </w:t>
      </w:r>
    </w:p>
    <w:p w:rsidR="00AA726F" w:rsidRDefault="00AA726F" w:rsidP="00AA726F">
      <w:pPr>
        <w:pStyle w:val="MustertextListe"/>
      </w:pPr>
      <w:r w:rsidRPr="00BB2A8B">
        <w:t>[Adresse</w:t>
      </w:r>
      <w:r>
        <w:t>]</w:t>
      </w:r>
      <w:r w:rsidRPr="00BB2A8B">
        <w:t xml:space="preserve">, </w:t>
      </w:r>
      <w:r>
        <w:t>[</w:t>
      </w:r>
      <w:r w:rsidRPr="00BB2A8B">
        <w:t>Ort]</w:t>
      </w:r>
      <w:r>
        <w:t xml:space="preserve"> </w:t>
      </w:r>
    </w:p>
    <w:p w:rsidR="00AA726F" w:rsidRDefault="00AA726F" w:rsidP="00AA726F">
      <w:pPr>
        <w:pStyle w:val="MustertextListe"/>
      </w:pPr>
      <w:r w:rsidRPr="00BB2A8B">
        <w:t>[Adresse</w:t>
      </w:r>
      <w:r>
        <w:t>]</w:t>
      </w:r>
      <w:r w:rsidRPr="00BB2A8B">
        <w:t xml:space="preserve">, </w:t>
      </w:r>
      <w:r>
        <w:t>[</w:t>
      </w:r>
      <w:r w:rsidRPr="00BB2A8B">
        <w:t>Ort]</w:t>
      </w:r>
      <w:r>
        <w:t xml:space="preserve"> </w:t>
      </w:r>
    </w:p>
    <w:p w:rsidR="00ED1608" w:rsidRDefault="00ED1608" w:rsidP="00DF33A1">
      <w:pPr>
        <w:pStyle w:val="MustertextListe"/>
      </w:pPr>
      <w:r>
        <w:t>etc.</w:t>
      </w:r>
    </w:p>
    <w:p w:rsidR="00C51CAD" w:rsidRPr="00DF33A1" w:rsidRDefault="00C51CAD" w:rsidP="00177658">
      <w:pPr>
        <w:pStyle w:val="Mustertextklein"/>
      </w:pPr>
      <w:r w:rsidRPr="00E80DB5">
        <w:rPr>
          <w:rStyle w:val="fettMuster"/>
          <w:sz w:val="16"/>
        </w:rPr>
        <w:lastRenderedPageBreak/>
        <w:tab/>
        <w:t>Bemerkung 2</w:t>
      </w:r>
      <w:r w:rsidR="00D40191" w:rsidRPr="00AB420B">
        <w:rPr>
          <w:rStyle w:val="fettMuster"/>
          <w:sz w:val="16"/>
        </w:rPr>
        <w:t>1</w:t>
      </w:r>
      <w:r w:rsidRPr="00AB420B">
        <w:rPr>
          <w:rStyle w:val="fettMuster"/>
          <w:sz w:val="16"/>
        </w:rPr>
        <w:t>:</w:t>
      </w:r>
      <w:r w:rsidRPr="00D41E31">
        <w:t xml:space="preserve"> Um die (strengen) Substantiierungs-Anforderungen zu erfüllen, ist für jedes Ve</w:t>
      </w:r>
      <w:r w:rsidRPr="00185624">
        <w:t>r</w:t>
      </w:r>
      <w:r w:rsidRPr="00A74099">
        <w:t xml:space="preserve">gleichsobjekt detailliert </w:t>
      </w:r>
      <w:r w:rsidR="0005426D" w:rsidRPr="00EF7C69">
        <w:t>darzuleg</w:t>
      </w:r>
      <w:r w:rsidRPr="00DF33A1">
        <w:t xml:space="preserve">en, </w:t>
      </w:r>
      <w:r w:rsidR="00B51B3E" w:rsidRPr="00DF33A1">
        <w:t>mit welcher Ausstattung bzw. in welchem Ausbauzustand</w:t>
      </w:r>
      <w:r w:rsidRPr="00DF33A1">
        <w:t xml:space="preserve"> es vermietet wurde, für welche Gebäudeteile und Ausbauten die Vermieterin bzw. die Mieterin zustä</w:t>
      </w:r>
      <w:r w:rsidRPr="00DF33A1">
        <w:t>n</w:t>
      </w:r>
      <w:r w:rsidRPr="00DF33A1">
        <w:t>dig war (</w:t>
      </w:r>
      <w:r w:rsidR="00F70235" w:rsidRPr="00DF33A1">
        <w:t xml:space="preserve">unter Hinweis auf die in der Regel Vertragsbestandteil </w:t>
      </w:r>
      <w:r w:rsidR="00FF5870" w:rsidRPr="00DF33A1">
        <w:t>bildenden</w:t>
      </w:r>
      <w:r w:rsidR="00F70235" w:rsidRPr="00DF33A1">
        <w:t xml:space="preserve"> </w:t>
      </w:r>
      <w:r w:rsidRPr="00DF33A1">
        <w:t>Baubeschriebe oder Schnittstellenpapier</w:t>
      </w:r>
      <w:r w:rsidR="00F70235" w:rsidRPr="00DF33A1">
        <w:t>e</w:t>
      </w:r>
      <w:r w:rsidRPr="00DF33A1">
        <w:t>)</w:t>
      </w:r>
      <w:r w:rsidR="00B51B3E" w:rsidRPr="00DF33A1">
        <w:t>, wann der Edelrohbau allenfalls saniert wurde</w:t>
      </w:r>
      <w:r w:rsidRPr="00DF33A1">
        <w:t xml:space="preserve"> und über welche (</w:t>
      </w:r>
      <w:r w:rsidR="00B51B3E" w:rsidRPr="00DF33A1">
        <w:t xml:space="preserve">weiteren, </w:t>
      </w:r>
      <w:r w:rsidRPr="00DF33A1">
        <w:t xml:space="preserve">gleichen) Eigenschaften es verfügt, </w:t>
      </w:r>
      <w:r w:rsidR="00B51B3E" w:rsidRPr="00DF33A1">
        <w:t>di</w:t>
      </w:r>
      <w:r w:rsidRPr="00DF33A1">
        <w:t xml:space="preserve">e für </w:t>
      </w:r>
      <w:r w:rsidR="00B51B3E" w:rsidRPr="00DF33A1">
        <w:t>eine</w:t>
      </w:r>
      <w:r w:rsidRPr="00DF33A1">
        <w:t xml:space="preserve"> Vergleichbarkeit wesentlich sind.</w:t>
      </w:r>
    </w:p>
    <w:p w:rsidR="00EB5C8A" w:rsidRDefault="00972CD3">
      <w:pPr>
        <w:pStyle w:val="MustertextListe0"/>
      </w:pPr>
      <w:r w:rsidRPr="00972CD3">
        <w:t>Zusammenfassend kann festgehalten werden, dass sich bezüglich der Ausstattung der Ve</w:t>
      </w:r>
      <w:r w:rsidRPr="00972CD3">
        <w:t>r</w:t>
      </w:r>
      <w:r w:rsidRPr="00972CD3">
        <w:t>gleichsobjekte keine bedeutsamen Unt</w:t>
      </w:r>
      <w:r>
        <w:t>erschiede zum Referenzobjekt er</w:t>
      </w:r>
      <w:r w:rsidRPr="00972CD3">
        <w:t xml:space="preserve">geben. </w:t>
      </w:r>
      <w:r w:rsidR="00A750D0">
        <w:t>Alle zum Ve</w:t>
      </w:r>
      <w:r w:rsidR="00A750D0">
        <w:t>r</w:t>
      </w:r>
      <w:r w:rsidR="00A750D0">
        <w:t>gleich angerufenen Objekte sind unter d</w:t>
      </w:r>
      <w:r w:rsidRPr="00972CD3">
        <w:t xml:space="preserve">em Kriterium der </w:t>
      </w:r>
      <w:r w:rsidR="00504343">
        <w:rPr>
          <w:b/>
        </w:rPr>
        <w:t>«</w:t>
      </w:r>
      <w:r w:rsidRPr="00972CD3">
        <w:rPr>
          <w:b/>
        </w:rPr>
        <w:t>Ausstattung</w:t>
      </w:r>
      <w:r w:rsidR="00504343">
        <w:rPr>
          <w:b/>
        </w:rPr>
        <w:t>»</w:t>
      </w:r>
      <w:r w:rsidRPr="00972CD3">
        <w:t xml:space="preserve"> </w:t>
      </w:r>
      <w:r w:rsidR="00A750D0">
        <w:t>somit dem hier i</w:t>
      </w:r>
      <w:r w:rsidR="00A750D0">
        <w:t>n</w:t>
      </w:r>
      <w:r w:rsidR="00A750D0">
        <w:t>teressierenden Objekt ähnlich</w:t>
      </w:r>
      <w:r w:rsidRPr="00972CD3">
        <w:t>.</w:t>
      </w:r>
    </w:p>
    <w:p w:rsidR="002241B9" w:rsidRPr="00DF33A1" w:rsidRDefault="00B31184" w:rsidP="00DF33A1">
      <w:pPr>
        <w:pStyle w:val="MustertextTitelEbene4"/>
        <w:rPr>
          <w:rStyle w:val="fettMuster"/>
        </w:rPr>
      </w:pPr>
      <w:r w:rsidRPr="00A74099">
        <w:rPr>
          <w:rStyle w:val="fettMuster"/>
          <w:b/>
        </w:rPr>
        <w:tab/>
      </w:r>
      <w:r w:rsidR="002241B9" w:rsidRPr="00A74099">
        <w:rPr>
          <w:rStyle w:val="fettMuster"/>
          <w:b/>
        </w:rPr>
        <w:t xml:space="preserve">Der Zustand </w:t>
      </w:r>
    </w:p>
    <w:p w:rsidR="00972CD3" w:rsidRDefault="002A7DEA">
      <w:pPr>
        <w:pStyle w:val="MustertextListe0"/>
      </w:pPr>
      <w:r>
        <w:t>Das Referenzobjekt</w:t>
      </w:r>
      <w:r w:rsidR="00972CD3" w:rsidRPr="00972CD3">
        <w:t xml:space="preserve"> befinde</w:t>
      </w:r>
      <w:r>
        <w:t>t</w:t>
      </w:r>
      <w:r w:rsidR="00972CD3" w:rsidRPr="00972CD3">
        <w:t xml:space="preserve"> sich in einem guten Gesamtzustand: Die Liegenschaften wurden in den 80er bzw. 90er Jahren letztmals renoviert</w:t>
      </w:r>
      <w:r>
        <w:t>.</w:t>
      </w:r>
      <w:r w:rsidR="00972CD3" w:rsidRPr="00972CD3">
        <w:t xml:space="preserve"> </w:t>
      </w:r>
      <w:r>
        <w:t>D</w:t>
      </w:r>
      <w:r w:rsidR="00972CD3" w:rsidRPr="00972CD3">
        <w:t>as Dach sowie die Fassade befinden sich in einem guten Zustand. Die Liegenschaf</w:t>
      </w:r>
      <w:r>
        <w:t>t</w:t>
      </w:r>
      <w:r w:rsidR="00972CD3" w:rsidRPr="00972CD3">
        <w:t xml:space="preserve"> verfüg</w:t>
      </w:r>
      <w:r>
        <w:t>t</w:t>
      </w:r>
      <w:r w:rsidR="00972CD3" w:rsidRPr="00972CD3">
        <w:t xml:space="preserve"> sowohl über eine Öl-Heizung als auch e</w:t>
      </w:r>
      <w:r w:rsidR="00972CD3" w:rsidRPr="00972CD3">
        <w:t>i</w:t>
      </w:r>
      <w:r w:rsidR="00972CD3" w:rsidRPr="00972CD3">
        <w:t>nen Lift.</w:t>
      </w:r>
    </w:p>
    <w:p w:rsidR="0005426D" w:rsidRDefault="0005426D">
      <w:pPr>
        <w:pStyle w:val="MustertextListe0"/>
      </w:pPr>
      <w:r>
        <w:t xml:space="preserve">Auch die Vergleichsobjekte wurden allesamt im Zustand </w:t>
      </w:r>
      <w:r w:rsidR="00504343">
        <w:t>«</w:t>
      </w:r>
      <w:r>
        <w:t>Edelrohbau</w:t>
      </w:r>
      <w:r w:rsidR="00504343">
        <w:t>»</w:t>
      </w:r>
      <w:r>
        <w:t xml:space="preserve"> vermietet. Zur Au</w:t>
      </w:r>
      <w:r>
        <w:t>s</w:t>
      </w:r>
      <w:r>
        <w:t>stattung der einzelnen Vergleichsobjekte was folgt:</w:t>
      </w:r>
    </w:p>
    <w:p w:rsidR="00AA726F" w:rsidRDefault="00AA726F" w:rsidP="00AA726F">
      <w:pPr>
        <w:pStyle w:val="MustertextListe"/>
      </w:pPr>
      <w:r w:rsidRPr="00BB2A8B">
        <w:t>[Adresse</w:t>
      </w:r>
      <w:r>
        <w:t>]</w:t>
      </w:r>
      <w:r w:rsidRPr="00BB2A8B">
        <w:t xml:space="preserve">, </w:t>
      </w:r>
      <w:r>
        <w:t>[</w:t>
      </w:r>
      <w:r w:rsidRPr="00BB2A8B">
        <w:t>Ort]</w:t>
      </w:r>
      <w:r>
        <w:t xml:space="preserve"> </w:t>
      </w:r>
    </w:p>
    <w:p w:rsidR="00AA726F" w:rsidRDefault="00AA726F" w:rsidP="00AA726F">
      <w:pPr>
        <w:pStyle w:val="MustertextListe"/>
      </w:pPr>
      <w:r w:rsidRPr="00BB2A8B">
        <w:t>[Adresse</w:t>
      </w:r>
      <w:r>
        <w:t>]</w:t>
      </w:r>
      <w:r w:rsidRPr="00BB2A8B">
        <w:t xml:space="preserve">, </w:t>
      </w:r>
      <w:r>
        <w:t>[</w:t>
      </w:r>
      <w:r w:rsidRPr="00BB2A8B">
        <w:t>Ort]</w:t>
      </w:r>
      <w:r>
        <w:t xml:space="preserve"> </w:t>
      </w:r>
    </w:p>
    <w:p w:rsidR="00AA726F" w:rsidRDefault="00AA726F" w:rsidP="00AA726F">
      <w:pPr>
        <w:pStyle w:val="MustertextListe"/>
      </w:pPr>
      <w:r w:rsidRPr="00BB2A8B">
        <w:t>[Adresse</w:t>
      </w:r>
      <w:r>
        <w:t>]</w:t>
      </w:r>
      <w:r w:rsidRPr="00BB2A8B">
        <w:t xml:space="preserve">, </w:t>
      </w:r>
      <w:r>
        <w:t>[</w:t>
      </w:r>
      <w:r w:rsidRPr="00BB2A8B">
        <w:t>Ort]</w:t>
      </w:r>
      <w:r>
        <w:t xml:space="preserve"> </w:t>
      </w:r>
    </w:p>
    <w:p w:rsidR="00AA726F" w:rsidRDefault="00AA726F" w:rsidP="00AA726F">
      <w:pPr>
        <w:pStyle w:val="MustertextListe"/>
      </w:pPr>
      <w:r w:rsidRPr="00BB2A8B">
        <w:t>[Adresse</w:t>
      </w:r>
      <w:r>
        <w:t>]</w:t>
      </w:r>
      <w:r w:rsidRPr="00BB2A8B">
        <w:t xml:space="preserve">, </w:t>
      </w:r>
      <w:r>
        <w:t>[</w:t>
      </w:r>
      <w:r w:rsidRPr="00BB2A8B">
        <w:t>Ort]</w:t>
      </w:r>
      <w:r>
        <w:t xml:space="preserve"> </w:t>
      </w:r>
    </w:p>
    <w:p w:rsidR="0005426D" w:rsidRDefault="0005426D" w:rsidP="00DF33A1">
      <w:pPr>
        <w:pStyle w:val="MustertextListe"/>
      </w:pPr>
      <w:r>
        <w:t>etc.</w:t>
      </w:r>
    </w:p>
    <w:p w:rsidR="00B51B3E" w:rsidRPr="00DF33A1" w:rsidRDefault="00B51B3E" w:rsidP="00177658">
      <w:pPr>
        <w:pStyle w:val="Mustertextklein"/>
      </w:pPr>
      <w:r w:rsidRPr="00E80DB5">
        <w:rPr>
          <w:rStyle w:val="fettMuster"/>
          <w:sz w:val="16"/>
        </w:rPr>
        <w:tab/>
        <w:t>Bemerkung 2</w:t>
      </w:r>
      <w:r w:rsidR="00D40191" w:rsidRPr="00AB420B">
        <w:rPr>
          <w:rStyle w:val="fettMuster"/>
          <w:sz w:val="16"/>
        </w:rPr>
        <w:t>2</w:t>
      </w:r>
      <w:r w:rsidRPr="00AB420B">
        <w:rPr>
          <w:rStyle w:val="fettMuster"/>
          <w:sz w:val="16"/>
        </w:rPr>
        <w:t>:</w:t>
      </w:r>
      <w:r w:rsidRPr="00D41E31">
        <w:t xml:space="preserve"> Um die (strengen) Substantiierungs-Anforderungen zu erfüllen, ist für jedes Ve</w:t>
      </w:r>
      <w:r w:rsidRPr="00185624">
        <w:t>r</w:t>
      </w:r>
      <w:r w:rsidRPr="00A74099">
        <w:t xml:space="preserve">gleichsobjekt detailliert </w:t>
      </w:r>
      <w:r w:rsidR="0005426D" w:rsidRPr="00EF7C69">
        <w:t>darzuleg</w:t>
      </w:r>
      <w:r w:rsidRPr="00DF33A1">
        <w:t xml:space="preserve">en, </w:t>
      </w:r>
      <w:r w:rsidR="0005426D" w:rsidRPr="00DF33A1">
        <w:t>in welchem Zustan</w:t>
      </w:r>
      <w:r w:rsidRPr="00DF33A1">
        <w:t xml:space="preserve">d </w:t>
      </w:r>
      <w:r w:rsidR="0005426D" w:rsidRPr="00DF33A1">
        <w:t>(</w:t>
      </w:r>
      <w:r w:rsidR="00504343">
        <w:t>«</w:t>
      </w:r>
      <w:r w:rsidR="0005426D" w:rsidRPr="00AB420B">
        <w:t>einfach</w:t>
      </w:r>
      <w:r w:rsidR="00504343">
        <w:t>»/«</w:t>
      </w:r>
      <w:r w:rsidR="0005426D" w:rsidRPr="00AB420B">
        <w:t>gut</w:t>
      </w:r>
      <w:r w:rsidR="00504343">
        <w:t>»</w:t>
      </w:r>
      <w:r w:rsidR="0005426D" w:rsidRPr="00AB420B">
        <w:t>/</w:t>
      </w:r>
      <w:r w:rsidR="00504343">
        <w:t>«</w:t>
      </w:r>
      <w:r w:rsidR="0005426D" w:rsidRPr="00AB420B">
        <w:t>überdurch</w:t>
      </w:r>
      <w:r w:rsidR="0005426D" w:rsidRPr="00D41E31">
        <w:t>schnittlich</w:t>
      </w:r>
      <w:r w:rsidR="00504343">
        <w:t>»</w:t>
      </w:r>
      <w:r w:rsidR="0005426D" w:rsidRPr="00AB420B">
        <w:t xml:space="preserve">) </w:t>
      </w:r>
      <w:r w:rsidRPr="00AB420B">
        <w:t xml:space="preserve">es vermietet wurde, </w:t>
      </w:r>
      <w:r w:rsidR="0005426D" w:rsidRPr="00D41E31">
        <w:rPr>
          <w:b/>
        </w:rPr>
        <w:t>wann was saniert wurde</w:t>
      </w:r>
      <w:r w:rsidR="0005426D" w:rsidRPr="00185624">
        <w:t xml:space="preserve"> </w:t>
      </w:r>
      <w:r w:rsidRPr="00A74099">
        <w:t>und über welche (gleichen) Eigenscha</w:t>
      </w:r>
      <w:r w:rsidRPr="00EF7C69">
        <w:t>f</w:t>
      </w:r>
      <w:r w:rsidRPr="00DF33A1">
        <w:t>ten es verfügt, welche für die Vergleichbarkeit wesentlich sind.</w:t>
      </w:r>
    </w:p>
    <w:p w:rsidR="00EB5C8A" w:rsidRDefault="00972CD3">
      <w:pPr>
        <w:pStyle w:val="MustertextListe0"/>
      </w:pPr>
      <w:r w:rsidRPr="00972CD3">
        <w:t xml:space="preserve">Auch bezüglich des Zustands ergeben sich damit keine bedeutsamen Unterschiede zum Referenzobjekt, keine der Liegenschaften wurde total saniert </w:t>
      </w:r>
      <w:r w:rsidR="00D84D3F" w:rsidRPr="00972CD3">
        <w:t>und</w:t>
      </w:r>
      <w:r w:rsidR="00D84D3F">
        <w:t xml:space="preserve"> sie </w:t>
      </w:r>
      <w:r w:rsidRPr="00972CD3">
        <w:t>befinden sich deme</w:t>
      </w:r>
      <w:r w:rsidRPr="00972CD3">
        <w:t>n</w:t>
      </w:r>
      <w:r w:rsidRPr="00972CD3">
        <w:t>sprechen</w:t>
      </w:r>
      <w:r>
        <w:t>d</w:t>
      </w:r>
      <w:r w:rsidRPr="00972CD3">
        <w:t xml:space="preserve"> nicht in sehr gutem Zus</w:t>
      </w:r>
      <w:r>
        <w:t xml:space="preserve">tand. </w:t>
      </w:r>
      <w:r w:rsidR="00F70235">
        <w:t>Der Nachweis der Vergleichbarkeit aller zum Ve</w:t>
      </w:r>
      <w:r w:rsidR="00F70235">
        <w:t>r</w:t>
      </w:r>
      <w:r w:rsidR="00F70235">
        <w:t xml:space="preserve">gleich angerufenen Objekte ist somit auch mit Bezug auf das </w:t>
      </w:r>
      <w:r>
        <w:t xml:space="preserve">Kriterium des </w:t>
      </w:r>
      <w:r w:rsidR="00504343">
        <w:rPr>
          <w:b/>
        </w:rPr>
        <w:t>«</w:t>
      </w:r>
      <w:r w:rsidRPr="00972CD3">
        <w:rPr>
          <w:b/>
        </w:rPr>
        <w:t>Zustandes</w:t>
      </w:r>
      <w:r w:rsidR="00504343">
        <w:rPr>
          <w:b/>
        </w:rPr>
        <w:t>»</w:t>
      </w:r>
      <w:r w:rsidRPr="00972CD3">
        <w:t xml:space="preserve"> </w:t>
      </w:r>
      <w:r w:rsidR="00F70235">
        <w:t>e</w:t>
      </w:r>
      <w:r w:rsidR="00F70235">
        <w:t>r</w:t>
      </w:r>
      <w:r w:rsidR="00F70235">
        <w:t xml:space="preserve">bracht. </w:t>
      </w:r>
    </w:p>
    <w:p w:rsidR="002241B9" w:rsidRPr="00A74099" w:rsidRDefault="00B31184" w:rsidP="00DF33A1">
      <w:pPr>
        <w:pStyle w:val="MustertextTitelEbene4"/>
        <w:rPr>
          <w:rStyle w:val="fettMuster"/>
          <w:i/>
          <w:szCs w:val="16"/>
        </w:rPr>
      </w:pPr>
      <w:r w:rsidRPr="00A74099">
        <w:rPr>
          <w:rStyle w:val="fettMuster"/>
          <w:b/>
        </w:rPr>
        <w:tab/>
      </w:r>
      <w:r w:rsidR="002241B9" w:rsidRPr="00A74099">
        <w:rPr>
          <w:rStyle w:val="fettMuster"/>
          <w:b/>
        </w:rPr>
        <w:t>Die Bauperiode</w:t>
      </w:r>
    </w:p>
    <w:p w:rsidR="00972CD3" w:rsidRDefault="00972CD3">
      <w:pPr>
        <w:pStyle w:val="MustertextListe0"/>
      </w:pPr>
      <w:r w:rsidRPr="00972CD3">
        <w:t xml:space="preserve">Unter Berücksichtigung der bundesgerichtlichen </w:t>
      </w:r>
      <w:r>
        <w:t>Rechtsprechung hat sich die Klä</w:t>
      </w:r>
      <w:r w:rsidRPr="00972CD3">
        <w:t xml:space="preserve">gerin auf die Nennung von Vergleichsobjekten </w:t>
      </w:r>
      <w:r w:rsidR="00A750D0">
        <w:t>beschränkt, deren Baujahr (</w:t>
      </w:r>
      <w:r w:rsidR="00504343">
        <w:t>«</w:t>
      </w:r>
      <w:r w:rsidR="00A750D0">
        <w:t>Bau</w:t>
      </w:r>
      <w:r w:rsidRPr="00972CD3">
        <w:t>periode</w:t>
      </w:r>
      <w:r w:rsidR="00504343">
        <w:t>»</w:t>
      </w:r>
      <w:r w:rsidRPr="00972CD3">
        <w:t xml:space="preserve">) innerhalb einer maximalen Spanne von </w:t>
      </w:r>
      <w:r w:rsidR="00A750D0" w:rsidRPr="00F404BF">
        <w:t xml:space="preserve">+/- </w:t>
      </w:r>
      <w:r w:rsidR="00F70235">
        <w:t>1</w:t>
      </w:r>
      <w:r w:rsidRPr="00F404BF">
        <w:t xml:space="preserve">0 Jahren liegt: sämtliche auf der Liste </w:t>
      </w:r>
      <w:r w:rsidR="00504343">
        <w:t>«</w:t>
      </w:r>
      <w:r w:rsidRPr="00F404BF">
        <w:t>Vergleichsobjekte</w:t>
      </w:r>
      <w:r w:rsidR="00504343">
        <w:t>»</w:t>
      </w:r>
      <w:r w:rsidRPr="00F404BF">
        <w:t xml:space="preserve"> b</w:t>
      </w:r>
      <w:r w:rsidRPr="00F404BF">
        <w:t>e</w:t>
      </w:r>
      <w:r w:rsidRPr="00F404BF">
        <w:t>zeichneten Liegenschaften wurden zwischen 18</w:t>
      </w:r>
      <w:r w:rsidR="00F70235">
        <w:t>9</w:t>
      </w:r>
      <w:r w:rsidRPr="00F404BF">
        <w:t>0 und 19</w:t>
      </w:r>
      <w:r w:rsidR="00F70235">
        <w:t>10</w:t>
      </w:r>
      <w:r w:rsidRPr="00972CD3">
        <w:t xml:space="preserve"> erstellt.</w:t>
      </w:r>
    </w:p>
    <w:p w:rsidR="00EB5C8A" w:rsidRPr="00DF33A1" w:rsidRDefault="00972CD3" w:rsidP="00177658">
      <w:pPr>
        <w:pStyle w:val="Mustertextklein"/>
      </w:pPr>
      <w:r w:rsidRPr="00E80DB5">
        <w:tab/>
      </w:r>
      <w:r w:rsidRPr="00AB420B">
        <w:rPr>
          <w:rStyle w:val="fettMuster"/>
          <w:sz w:val="16"/>
        </w:rPr>
        <w:t xml:space="preserve">Bemerkung </w:t>
      </w:r>
      <w:r w:rsidR="00AD72C5" w:rsidRPr="00AB420B">
        <w:rPr>
          <w:rStyle w:val="fettMuster"/>
          <w:sz w:val="16"/>
        </w:rPr>
        <w:t>2</w:t>
      </w:r>
      <w:r w:rsidR="00D40191" w:rsidRPr="00D41E31">
        <w:rPr>
          <w:rStyle w:val="fettMuster"/>
          <w:sz w:val="16"/>
        </w:rPr>
        <w:t>3</w:t>
      </w:r>
      <w:r w:rsidR="000F456E" w:rsidRPr="00185624">
        <w:rPr>
          <w:rStyle w:val="fettMuster"/>
          <w:sz w:val="16"/>
        </w:rPr>
        <w:t>:</w:t>
      </w:r>
      <w:r w:rsidRPr="00A74099">
        <w:t xml:space="preserve"> Die Auffassung des Bundesgerichts, wonach das Baujahr der Vergleichsobjekte innerhalb einer maximalen Spanne von 20 Jahren liegen muss, wurde – zu Recht – stark kritisiert: </w:t>
      </w:r>
      <w:r w:rsidR="00D24350" w:rsidRPr="00EF7C69">
        <w:t>D</w:t>
      </w:r>
      <w:r w:rsidRPr="00DF33A1">
        <w:t>ie bundesgerichtliche Rechtsprechung möge zwar für Nachkriegsbauten zutreffen (eine 1960 erstellte Wohnbaute ist demnach noch mit einer aus dem Jahre 1980 zu vergleichen), kritikwürdig sei sie hi</w:t>
      </w:r>
      <w:r w:rsidRPr="00DF33A1">
        <w:t>n</w:t>
      </w:r>
      <w:r w:rsidRPr="00DF33A1">
        <w:t>gegen in Bezug auf sehr alte Bauten, bei denen das Baujahr 80 und mehr Jahre (vorvorige Jahrhu</w:t>
      </w:r>
      <w:r w:rsidRPr="00DF33A1">
        <w:t>n</w:t>
      </w:r>
      <w:r w:rsidRPr="00DF33A1">
        <w:t>dertwende) zurückliege. Hier sei das Festhalten des Bundesgerichts an der schematischen 20-Jahre-Regel kaum mit bautypischen Unterschieden zu begründen, für deren Feststellung es ausserdem a</w:t>
      </w:r>
      <w:r w:rsidRPr="00DF33A1">
        <w:t>r</w:t>
      </w:r>
      <w:r w:rsidRPr="00DF33A1">
        <w:t xml:space="preserve">chitekturhistorischer Kenntnisse bedürfe (vgl. die Kritik von </w:t>
      </w:r>
      <w:r w:rsidR="00A750D0" w:rsidRPr="00DF33A1">
        <w:rPr>
          <w:smallCaps/>
        </w:rPr>
        <w:t>Hans Bättig</w:t>
      </w:r>
      <w:r w:rsidRPr="00DF33A1">
        <w:t xml:space="preserve"> zum </w:t>
      </w:r>
      <w:r w:rsidR="00A750D0" w:rsidRPr="00DF33A1">
        <w:t xml:space="preserve">Urteil </w:t>
      </w:r>
      <w:r w:rsidR="00F70235" w:rsidRPr="00DF33A1">
        <w:t>B</w:t>
      </w:r>
      <w:r w:rsidR="00860452" w:rsidRPr="00DF33A1">
        <w:t>Ger </w:t>
      </w:r>
      <w:r w:rsidRPr="00DF33A1">
        <w:t xml:space="preserve">4A_341/2009 vom </w:t>
      </w:r>
      <w:r w:rsidR="00114CC9" w:rsidRPr="00DF33A1">
        <w:t>01.04</w:t>
      </w:r>
      <w:r w:rsidR="00F70235" w:rsidRPr="00DF33A1">
        <w:t>.2009</w:t>
      </w:r>
      <w:r w:rsidR="00AA726F">
        <w:t xml:space="preserve"> </w:t>
      </w:r>
      <w:r w:rsidR="00E80DB5">
        <w:t>[recte wohl: 06.10.2009]</w:t>
      </w:r>
      <w:r w:rsidR="00F70235" w:rsidRPr="00E80DB5">
        <w:t>, auszug</w:t>
      </w:r>
      <w:r w:rsidR="00F70235" w:rsidRPr="00AB420B">
        <w:t>sweise wiedergegeben in deu</w:t>
      </w:r>
      <w:r w:rsidR="00F70235" w:rsidRPr="00AB420B">
        <w:t>t</w:t>
      </w:r>
      <w:r w:rsidR="00F70235" w:rsidRPr="00D41E31">
        <w:t>scher Übersetzung und kommentiert</w:t>
      </w:r>
      <w:r w:rsidRPr="00185624">
        <w:t xml:space="preserve"> in</w:t>
      </w:r>
      <w:r w:rsidRPr="00EF7C69">
        <w:t xml:space="preserve"> MRA </w:t>
      </w:r>
      <w:r w:rsidR="00F929AD" w:rsidRPr="00DF33A1">
        <w:t>20</w:t>
      </w:r>
      <w:r w:rsidRPr="00DF33A1">
        <w:t>10,</w:t>
      </w:r>
      <w:r w:rsidR="00E6279A" w:rsidRPr="00DF33A1">
        <w:t xml:space="preserve"> S.</w:t>
      </w:r>
      <w:r w:rsidRPr="00DF33A1">
        <w:t xml:space="preserve"> 60</w:t>
      </w:r>
      <w:r w:rsidR="00E6279A" w:rsidRPr="00DF33A1">
        <w:t xml:space="preserve"> ff.</w:t>
      </w:r>
      <w:r w:rsidRPr="00DF33A1">
        <w:t xml:space="preserve">). Die Begründung des Bundesgerichts, für das Festhalten an der schematischen 20-Jahre-Regel sprächen das Gebot der Rechtsgleichheit und </w:t>
      </w:r>
      <w:r w:rsidRPr="00DF33A1">
        <w:lastRenderedPageBreak/>
        <w:t xml:space="preserve">Rechtssicherheit (BGE 136 III 74 E. 3.2.1), erscheint wenig überzeugend. Es stellt sich hingegen die Frage, welcher Vorschlag denn tatsächlich besser wäre. </w:t>
      </w:r>
      <w:r w:rsidRPr="00DF33A1">
        <w:rPr>
          <w:smallCaps/>
        </w:rPr>
        <w:t>Elmar Gratz</w:t>
      </w:r>
      <w:r w:rsidRPr="00DF33A1">
        <w:t xml:space="preserve"> sprach sich bereits in den 90er-Jahren dahingehend aus, dass die Bausubstanz in lediglich drei Bauperioden (die vor 1947 erstellten, die bis 1970 erstellten, sowie die seither entstandenen Bauten) eingeordnet werden solle, was wohl ebenfalls zu einfach wäre (vgl. </w:t>
      </w:r>
      <w:r w:rsidR="00F247FC" w:rsidRPr="00DF33A1">
        <w:rPr>
          <w:smallCaps/>
        </w:rPr>
        <w:t>Gratz</w:t>
      </w:r>
      <w:r w:rsidRPr="00DF33A1">
        <w:t>, Mietzinsgestaltung,</w:t>
      </w:r>
      <w:r w:rsidR="00C97919">
        <w:t xml:space="preserve"> S.</w:t>
      </w:r>
      <w:r w:rsidRPr="00E80DB5">
        <w:t xml:space="preserve"> 85) </w:t>
      </w:r>
      <w:r w:rsidR="00644662" w:rsidRPr="00AB420B">
        <w:rPr>
          <w:smallCaps/>
        </w:rPr>
        <w:t>Beat Rohrer</w:t>
      </w:r>
      <w:r w:rsidR="00644662" w:rsidRPr="00AB420B">
        <w:t xml:space="preserve"> postuliert, dass der Zeithorizont – gerade unter Berücksicht</w:t>
      </w:r>
      <w:r w:rsidR="00644662" w:rsidRPr="00D41E31">
        <w:t>igung zwischenzeitlich durchgeführte</w:t>
      </w:r>
      <w:r w:rsidR="00D24350" w:rsidRPr="00185624">
        <w:t>r</w:t>
      </w:r>
      <w:r w:rsidR="00644662" w:rsidRPr="00EF7C69">
        <w:t xml:space="preserve"> Sanierungen – bei Li</w:t>
      </w:r>
      <w:r w:rsidR="00644662" w:rsidRPr="00EF7C69">
        <w:t>e</w:t>
      </w:r>
      <w:r w:rsidR="00644662" w:rsidRPr="00EF7C69">
        <w:t xml:space="preserve">genschaften, welche vor mehr als 80 Jahren erstellt wurden, auf 30 bis 40 Jahre ausgedehnt werden </w:t>
      </w:r>
      <w:r w:rsidR="00644662" w:rsidRPr="00DF33A1">
        <w:t>müsse, bei solchen</w:t>
      </w:r>
      <w:r w:rsidR="00D84D3F">
        <w:t>,</w:t>
      </w:r>
      <w:r w:rsidR="00644662" w:rsidRPr="00DF33A1">
        <w:t xml:space="preserve"> d</w:t>
      </w:r>
      <w:r w:rsidR="00860452" w:rsidRPr="00DF33A1">
        <w:t>ie später erbaut wurden, auf 20 </w:t>
      </w:r>
      <w:r w:rsidR="00644662" w:rsidRPr="00DF33A1">
        <w:t xml:space="preserve">bis 25 Jahre (vgl. </w:t>
      </w:r>
      <w:r w:rsidR="00644662" w:rsidRPr="00DF33A1">
        <w:rPr>
          <w:smallCaps/>
        </w:rPr>
        <w:t>Rohrer</w:t>
      </w:r>
      <w:r w:rsidR="00644662" w:rsidRPr="00DF33A1">
        <w:t xml:space="preserve">, Revisionspostulate, S. 180 ff.). </w:t>
      </w:r>
      <w:r w:rsidR="00195DE6" w:rsidRPr="00DF33A1">
        <w:t>Z</w:t>
      </w:r>
      <w:r w:rsidRPr="00DF33A1">
        <w:t xml:space="preserve">umindest bei Altbauten </w:t>
      </w:r>
      <w:r w:rsidR="00195DE6" w:rsidRPr="00DF33A1">
        <w:t xml:space="preserve">dürfte in der Tat </w:t>
      </w:r>
      <w:r w:rsidRPr="00DF33A1">
        <w:t xml:space="preserve">nicht primär das </w:t>
      </w:r>
      <w:r w:rsidR="007310F3">
        <w:t>«</w:t>
      </w:r>
      <w:r w:rsidR="00195DE6" w:rsidRPr="00AB420B">
        <w:t>statistische</w:t>
      </w:r>
      <w:r w:rsidR="007310F3">
        <w:t>»</w:t>
      </w:r>
      <w:r w:rsidR="00195DE6" w:rsidRPr="00AB420B">
        <w:t xml:space="preserve"> </w:t>
      </w:r>
      <w:r w:rsidRPr="00AB420B">
        <w:t>Alter, sondern vie</w:t>
      </w:r>
      <w:r w:rsidRPr="00D41E31">
        <w:t>l</w:t>
      </w:r>
      <w:r w:rsidRPr="00185624">
        <w:t>mehr der unterschiedliche Zustand bezüglich Unterhalt und Erneuerung</w:t>
      </w:r>
      <w:r w:rsidR="00195DE6" w:rsidRPr="00A74099">
        <w:t xml:space="preserve">, also das </w:t>
      </w:r>
      <w:r w:rsidR="007310F3">
        <w:t>«</w:t>
      </w:r>
      <w:r w:rsidR="00195DE6" w:rsidRPr="00AB420B">
        <w:t>wirtschaftl</w:t>
      </w:r>
      <w:r w:rsidR="00195DE6" w:rsidRPr="00AB420B">
        <w:t>i</w:t>
      </w:r>
      <w:r w:rsidR="00195DE6" w:rsidRPr="00D41E31">
        <w:t>che</w:t>
      </w:r>
      <w:r w:rsidR="007310F3">
        <w:t>»</w:t>
      </w:r>
      <w:r w:rsidR="00195DE6" w:rsidRPr="00AB420B">
        <w:t xml:space="preserve"> Alter </w:t>
      </w:r>
      <w:r w:rsidRPr="00AB420B">
        <w:t>den Gebrauchswert präg</w:t>
      </w:r>
      <w:r w:rsidR="00195DE6" w:rsidRPr="00D41E31">
        <w:t>en und daher die Vergleichbarkeit bestimmen</w:t>
      </w:r>
      <w:r w:rsidRPr="00185624">
        <w:t xml:space="preserve"> (vgl. ZK</w:t>
      </w:r>
      <w:r w:rsidR="00BD7C79">
        <w:t xml:space="preserve"> OR</w:t>
      </w:r>
      <w:r w:rsidRPr="00E80DB5">
        <w:t>-</w:t>
      </w:r>
      <w:r w:rsidR="00F247FC" w:rsidRPr="00AB420B">
        <w:rPr>
          <w:smallCaps/>
        </w:rPr>
        <w:t>Higi</w:t>
      </w:r>
      <w:r w:rsidRPr="00AB420B">
        <w:rPr>
          <w:smallCaps/>
        </w:rPr>
        <w:t>,</w:t>
      </w:r>
      <w:r w:rsidRPr="00D41E31">
        <w:t xml:space="preserve"> Art. 269a </w:t>
      </w:r>
      <w:r w:rsidR="00A750D0" w:rsidRPr="00EF7C69">
        <w:t>N 122 ff.</w:t>
      </w:r>
      <w:r w:rsidRPr="00DF33A1">
        <w:t>). Wird die höchstrichterliche Rechtsprechung zu diesem Thema analysiert, b</w:t>
      </w:r>
      <w:r w:rsidRPr="00DF33A1">
        <w:t>e</w:t>
      </w:r>
      <w:r w:rsidRPr="00DF33A1">
        <w:t xml:space="preserve">merkt </w:t>
      </w:r>
      <w:r w:rsidRPr="00DF33A1">
        <w:rPr>
          <w:smallCaps/>
        </w:rPr>
        <w:t>Higi</w:t>
      </w:r>
      <w:r w:rsidRPr="00DF33A1">
        <w:t xml:space="preserve"> in diesem Zusammenhang wohl zu Recht, das Kriterium der Bauperiode diene vorab dem Zweck, </w:t>
      </w:r>
      <w:r w:rsidR="007310F3">
        <w:t>«</w:t>
      </w:r>
      <w:r w:rsidRPr="00AB420B">
        <w:t>auf bequeme Weise Unvergleich</w:t>
      </w:r>
      <w:r w:rsidRPr="00D41E31">
        <w:t>barkeit herzustellen</w:t>
      </w:r>
      <w:r w:rsidR="007310F3">
        <w:t>»</w:t>
      </w:r>
      <w:r w:rsidRPr="00AB420B">
        <w:t xml:space="preserve"> (vgl. ZK</w:t>
      </w:r>
      <w:r w:rsidR="00BD7C79">
        <w:t xml:space="preserve"> OR</w:t>
      </w:r>
      <w:r w:rsidRPr="00E80DB5">
        <w:t>-</w:t>
      </w:r>
      <w:r w:rsidR="00F247FC" w:rsidRPr="00AB420B">
        <w:rPr>
          <w:smallCaps/>
        </w:rPr>
        <w:t>Higi</w:t>
      </w:r>
      <w:r w:rsidRPr="00AB420B">
        <w:rPr>
          <w:smallCaps/>
        </w:rPr>
        <w:t>,</w:t>
      </w:r>
      <w:r w:rsidRPr="00D41E31">
        <w:t xml:space="preserve"> Art. 269a</w:t>
      </w:r>
      <w:r w:rsidR="00A750D0" w:rsidRPr="00EF7C69">
        <w:t xml:space="preserve"> N 123</w:t>
      </w:r>
      <w:r w:rsidRPr="00DF33A1">
        <w:t>). Dementsprechend hätte das Kriterium zumindest dann in den Hintergrund zu treten, wenn sich ergibt, dass Vergleichsobjekte hinsichtlich der übrigen Vergleichskriterien die notwendige Ähn</w:t>
      </w:r>
      <w:r w:rsidR="00644662" w:rsidRPr="00DF33A1">
        <w:t xml:space="preserve">lichkeit aufweisen (vgl. auch </w:t>
      </w:r>
      <w:r w:rsidR="00C97919">
        <w:t xml:space="preserve">III. Ergänzende Hinweise, 4. Die </w:t>
      </w:r>
      <w:r w:rsidR="00D84D3F">
        <w:t>[überhöhten]</w:t>
      </w:r>
      <w:r w:rsidR="00C97919">
        <w:t xml:space="preserve"> Anforderungen an die Substant</w:t>
      </w:r>
      <w:r w:rsidR="00C97919">
        <w:t>i</w:t>
      </w:r>
      <w:r w:rsidR="00C97919">
        <w:t xml:space="preserve">ierungspflicht sowie die Vergleichbarkeit gemäss bundesgerichtlicher Rechtsprechung, </w:t>
      </w:r>
      <w:r w:rsidR="000E0E48" w:rsidRPr="00E80DB5">
        <w:t>Rz 24 ff.</w:t>
      </w:r>
      <w:r w:rsidR="00644662" w:rsidRPr="00DF33A1">
        <w:t>).</w:t>
      </w:r>
    </w:p>
    <w:p w:rsidR="002241B9" w:rsidRPr="00A74099" w:rsidRDefault="00B31184" w:rsidP="00DF33A1">
      <w:pPr>
        <w:pStyle w:val="MustertextTitelEbene4"/>
        <w:rPr>
          <w:rStyle w:val="fettMuster"/>
          <w:i/>
          <w:szCs w:val="16"/>
        </w:rPr>
      </w:pPr>
      <w:r w:rsidRPr="00A74099">
        <w:rPr>
          <w:rStyle w:val="fettMuster"/>
          <w:b/>
        </w:rPr>
        <w:tab/>
      </w:r>
      <w:r w:rsidR="002241B9" w:rsidRPr="00A74099">
        <w:rPr>
          <w:rStyle w:val="fettMuster"/>
          <w:b/>
        </w:rPr>
        <w:t xml:space="preserve">Die </w:t>
      </w:r>
      <w:r w:rsidR="007310F3" w:rsidRPr="00A74099">
        <w:rPr>
          <w:rStyle w:val="fettMuster"/>
          <w:b/>
        </w:rPr>
        <w:t>«</w:t>
      </w:r>
      <w:r w:rsidR="002241B9" w:rsidRPr="00A74099">
        <w:rPr>
          <w:rStyle w:val="fettMuster"/>
          <w:b/>
        </w:rPr>
        <w:t>quartierüblichen Quadratmeterpreise</w:t>
      </w:r>
      <w:r w:rsidR="007310F3" w:rsidRPr="00A74099">
        <w:rPr>
          <w:rStyle w:val="fettMuster"/>
          <w:b/>
        </w:rPr>
        <w:t>»</w:t>
      </w:r>
    </w:p>
    <w:p w:rsidR="00972CD3" w:rsidRDefault="00972CD3">
      <w:pPr>
        <w:pStyle w:val="MustertextListe0"/>
      </w:pPr>
      <w:r w:rsidRPr="00972CD3">
        <w:t xml:space="preserve">Wie bereits </w:t>
      </w:r>
      <w:r w:rsidR="00AB420B">
        <w:t xml:space="preserve">in </w:t>
      </w:r>
      <w:r w:rsidR="00AB420B" w:rsidRPr="00DF33A1">
        <w:t>Ziff.</w:t>
      </w:r>
      <w:r w:rsidR="00AB420B">
        <w:t xml:space="preserve"> </w:t>
      </w:r>
      <w:r w:rsidRPr="00AB420B">
        <w:t>1</w:t>
      </w:r>
      <w:r w:rsidR="00AB420B" w:rsidRPr="00DF33A1">
        <w:t>6</w:t>
      </w:r>
      <w:r w:rsidRPr="00AB420B">
        <w:t xml:space="preserve"> erwähnt</w:t>
      </w:r>
      <w:r w:rsidR="00A750D0">
        <w:t xml:space="preserve"> worden ist</w:t>
      </w:r>
      <w:r w:rsidRPr="00972CD3">
        <w:t xml:space="preserve">, ist das in Art. 11 Abs. 1 VMWG ebenfalls genannte Kriterium der </w:t>
      </w:r>
      <w:r w:rsidR="007310F3">
        <w:t>«</w:t>
      </w:r>
      <w:r w:rsidRPr="00972CD3">
        <w:t>vergleichbaren Grösse</w:t>
      </w:r>
      <w:r w:rsidR="007310F3">
        <w:t>»</w:t>
      </w:r>
      <w:r w:rsidRPr="00972CD3">
        <w:t xml:space="preserve"> bei der Geschäftsraummiete</w:t>
      </w:r>
      <w:r>
        <w:t xml:space="preserve"> irrelevant</w:t>
      </w:r>
      <w:r w:rsidR="00A750D0">
        <w:t>.</w:t>
      </w:r>
      <w:r>
        <w:t xml:space="preserve"> </w:t>
      </w:r>
      <w:r w:rsidR="00A750D0">
        <w:t>Mit Bezug auf</w:t>
      </w:r>
      <w:r w:rsidRPr="00972CD3">
        <w:t xml:space="preserve"> die Vergleichbarkeit gemäss Art. 11 Abs.</w:t>
      </w:r>
      <w:r>
        <w:t xml:space="preserve"> 2 VMWG darf auf den quartierüb</w:t>
      </w:r>
      <w:r w:rsidRPr="00972CD3">
        <w:t>lichen Quadratm</w:t>
      </w:r>
      <w:r w:rsidRPr="00972CD3">
        <w:t>e</w:t>
      </w:r>
      <w:r w:rsidRPr="00972CD3">
        <w:t xml:space="preserve">terpreis für gleichartige Objekte </w:t>
      </w:r>
      <w:r>
        <w:t>abgestellt werden</w:t>
      </w:r>
      <w:r w:rsidR="006318C5">
        <w:t xml:space="preserve">, welcher (wie bereits in </w:t>
      </w:r>
      <w:r w:rsidR="00C97919" w:rsidRPr="000E0E48">
        <w:t>Ziff</w:t>
      </w:r>
      <w:r w:rsidR="00C97919">
        <w:t>.</w:t>
      </w:r>
      <w:r w:rsidR="00C97919" w:rsidRPr="000E0E48">
        <w:t xml:space="preserve"> </w:t>
      </w:r>
      <w:r w:rsidR="00D41995" w:rsidRPr="000E0E48">
        <w:t>16</w:t>
      </w:r>
      <w:r w:rsidR="006318C5">
        <w:t xml:space="preserve"> oben au</w:t>
      </w:r>
      <w:r w:rsidR="006318C5">
        <w:t>s</w:t>
      </w:r>
      <w:r w:rsidR="006318C5">
        <w:t>geführt</w:t>
      </w:r>
      <w:r w:rsidR="000E0E48">
        <w:t xml:space="preserve"> wurde</w:t>
      </w:r>
      <w:r w:rsidR="006318C5">
        <w:t>) hauptsächlich von der Passantenfrequenz und ausserdem auch vom Zustand und der Ausstattung (</w:t>
      </w:r>
      <w:r w:rsidR="007310F3">
        <w:t>«</w:t>
      </w:r>
      <w:r w:rsidR="006318C5">
        <w:t>Repräsentanz</w:t>
      </w:r>
      <w:r w:rsidR="007310F3">
        <w:t>»</w:t>
      </w:r>
      <w:r w:rsidR="006318C5">
        <w:t>) der Liegenschaft geprägt wird</w:t>
      </w:r>
      <w:r>
        <w:t>. Als gleichar</w:t>
      </w:r>
      <w:r w:rsidRPr="00972CD3">
        <w:t>tig gelten zum Beispiel Büro</w:t>
      </w:r>
      <w:r w:rsidR="006318C5">
        <w:t xml:space="preserve"> und Praxis</w:t>
      </w:r>
      <w:r w:rsidRPr="00972CD3">
        <w:t>räume, Ladenlokale im Erdgeschoss bzw. Unter- oder Oberg</w:t>
      </w:r>
      <w:r w:rsidRPr="00972CD3">
        <w:t>e</w:t>
      </w:r>
      <w:r w:rsidRPr="00972CD3">
        <w:t>schoss, sowie Lagerräume. Auf den jewei</w:t>
      </w:r>
      <w:r>
        <w:t>ligen spezifischen Verwendungs</w:t>
      </w:r>
      <w:r w:rsidRPr="00972CD3">
        <w:t>zweck kann es nicht ankommen, denn</w:t>
      </w:r>
      <w:r w:rsidR="00D84D3F">
        <w:t>,</w:t>
      </w:r>
      <w:r w:rsidRPr="00972CD3">
        <w:t xml:space="preserve"> ob ein Verkaufsge</w:t>
      </w:r>
      <w:r>
        <w:t>schäft einer internationa</w:t>
      </w:r>
      <w:r w:rsidRPr="00972CD3">
        <w:t xml:space="preserve">len Modekette vermietet ist oder aber einem alteingesessenen </w:t>
      </w:r>
      <w:r w:rsidR="00195DE6">
        <w:t>Juwelier</w:t>
      </w:r>
      <w:r w:rsidR="00D84D3F">
        <w:t>,</w:t>
      </w:r>
      <w:r w:rsidR="00195DE6" w:rsidRPr="00972CD3">
        <w:t xml:space="preserve"> </w:t>
      </w:r>
      <w:r w:rsidRPr="00972CD3">
        <w:t>ist für den Quadratmeterpreis an einer b</w:t>
      </w:r>
      <w:r w:rsidRPr="00972CD3">
        <w:t>e</w:t>
      </w:r>
      <w:r w:rsidRPr="00972CD3">
        <w:t>stimmten Lage nicht ausschlaggebend.</w:t>
      </w:r>
    </w:p>
    <w:p w:rsidR="00AD72C5" w:rsidRPr="00DF33A1" w:rsidRDefault="00AD72C5" w:rsidP="00177658">
      <w:pPr>
        <w:pStyle w:val="Mustertextklein"/>
      </w:pPr>
      <w:r w:rsidRPr="00E80DB5">
        <w:rPr>
          <w:rStyle w:val="fettMuster"/>
          <w:sz w:val="16"/>
        </w:rPr>
        <w:tab/>
        <w:t>Bemerkung 2</w:t>
      </w:r>
      <w:r w:rsidR="00D40191" w:rsidRPr="00AB420B">
        <w:rPr>
          <w:rStyle w:val="fettMuster"/>
          <w:sz w:val="16"/>
        </w:rPr>
        <w:t>4</w:t>
      </w:r>
      <w:r w:rsidRPr="00AB420B">
        <w:rPr>
          <w:rStyle w:val="fettMuster"/>
          <w:sz w:val="16"/>
        </w:rPr>
        <w:t>:</w:t>
      </w:r>
      <w:r w:rsidRPr="00D41E31">
        <w:t xml:space="preserve"> </w:t>
      </w:r>
      <w:r w:rsidR="00195DE6" w:rsidRPr="00185624">
        <w:t>Unerheblich ist, ob die zum Vergleich angerufenen Objekte über ähnliche Nebenei</w:t>
      </w:r>
      <w:r w:rsidR="00195DE6" w:rsidRPr="00A74099">
        <w:t>n</w:t>
      </w:r>
      <w:r w:rsidR="00195DE6" w:rsidRPr="00EF7C69">
        <w:t>r</w:t>
      </w:r>
      <w:r w:rsidR="00195DE6" w:rsidRPr="00DF33A1">
        <w:t>ichtungen oder –räume verfügen wie das Referenzobjekt, ob also im Zusammenhang mit den Hauptflächen Nebenräume (Lager, Archiv</w:t>
      </w:r>
      <w:r w:rsidR="00FF5870" w:rsidRPr="00DF33A1">
        <w:t>,</w:t>
      </w:r>
      <w:r w:rsidR="00195DE6" w:rsidRPr="00DF33A1">
        <w:t xml:space="preserve"> etc.) oder Parkplätze (mit</w:t>
      </w:r>
      <w:r w:rsidR="00FF5870" w:rsidRPr="00DF33A1">
        <w:t>-</w:t>
      </w:r>
      <w:r w:rsidR="00195DE6" w:rsidRPr="00DF33A1">
        <w:t>)vermietet worden sind, ob das Mietobjekt, wenn es sich um eine Lad</w:t>
      </w:r>
      <w:r w:rsidR="00FF5870" w:rsidRPr="00DF33A1">
        <w:t>en</w:t>
      </w:r>
      <w:r w:rsidR="00195DE6" w:rsidRPr="00DF33A1">
        <w:t xml:space="preserve">fläche handelt, zusätzlich über Verkaufsflächen </w:t>
      </w:r>
      <w:r w:rsidR="00FF5870" w:rsidRPr="00DF33A1">
        <w:t>i</w:t>
      </w:r>
      <w:r w:rsidR="00195DE6" w:rsidRPr="00DF33A1">
        <w:t>m UG (</w:t>
      </w:r>
      <w:r w:rsidR="007310F3">
        <w:t>«</w:t>
      </w:r>
      <w:r w:rsidR="00195DE6" w:rsidRPr="00AB420B">
        <w:t>Basement</w:t>
      </w:r>
      <w:r w:rsidR="007310F3">
        <w:t>»</w:t>
      </w:r>
      <w:r w:rsidR="00195DE6" w:rsidRPr="00AB420B">
        <w:t>) oder in höher gelegenen Stockwerken verfügt, ob ein Restaurantbetrieb in der Lage ist, in den Sommermonaten auch noch Aussenflächen zu bewirtschaften</w:t>
      </w:r>
      <w:r w:rsidR="00D84D3F">
        <w:t xml:space="preserve"> sind</w:t>
      </w:r>
      <w:r w:rsidR="00FF5870" w:rsidRPr="00AB420B">
        <w:t>,</w:t>
      </w:r>
      <w:r w:rsidR="00195DE6" w:rsidRPr="00D41E31">
        <w:t xml:space="preserve"> etc. Für alle diese N</w:t>
      </w:r>
      <w:r w:rsidR="00195DE6" w:rsidRPr="00D41E31">
        <w:t>e</w:t>
      </w:r>
      <w:r w:rsidR="00195DE6" w:rsidRPr="00D41E31">
        <w:t>be</w:t>
      </w:r>
      <w:r w:rsidR="00195DE6" w:rsidRPr="00185624">
        <w:t xml:space="preserve">nflächen ist allerdings individuell, sofern sie zum </w:t>
      </w:r>
      <w:r w:rsidR="00195DE6" w:rsidRPr="00A74099">
        <w:t>Mietobjekt gehören, der jeweilige orts- oder qua</w:t>
      </w:r>
      <w:r w:rsidR="00195DE6" w:rsidRPr="00EF7C69">
        <w:t>r</w:t>
      </w:r>
      <w:r w:rsidR="00195DE6" w:rsidRPr="00DF33A1">
        <w:t xml:space="preserve">tierübliche Quadratmeterpreis nachzuweisen. </w:t>
      </w:r>
    </w:p>
    <w:p w:rsidR="00972CD3" w:rsidRDefault="00972CD3">
      <w:pPr>
        <w:pStyle w:val="MustertextListe0"/>
      </w:pPr>
      <w:r w:rsidRPr="00972CD3">
        <w:t>Die Klägerin ist – unter anderem aufgrund privat in Auftrag gegebener Erhebungen (Gutac</w:t>
      </w:r>
      <w:r w:rsidRPr="00972CD3">
        <w:t>h</w:t>
      </w:r>
      <w:r w:rsidRPr="00972CD3">
        <w:t xml:space="preserve">ten) durch die </w:t>
      </w:r>
      <w:r w:rsidRPr="00AB420B">
        <w:t xml:space="preserve">Firma </w:t>
      </w:r>
      <w:r w:rsidR="002B2EA4">
        <w:t>Wüest &amp;</w:t>
      </w:r>
      <w:r w:rsidRPr="00972CD3">
        <w:t xml:space="preserve"> Partner AG – zum Ergebnis gelangt, dass der heute marktübl</w:t>
      </w:r>
      <w:r w:rsidRPr="00972CD3">
        <w:t>i</w:t>
      </w:r>
      <w:r w:rsidRPr="00972CD3">
        <w:t xml:space="preserve">che bzw. orts- oder quartierübliche Quadratmeterpreis für Ladenflächen an einer mit dem Mietobjekt vergleichbaren Lage im Erdgeschoss rund CHF </w:t>
      </w:r>
      <w:r w:rsidR="006318C5">
        <w:t>2</w:t>
      </w:r>
      <w:r w:rsidRPr="00972CD3">
        <w:t>'</w:t>
      </w:r>
      <w:r w:rsidR="006318C5">
        <w:t>2</w:t>
      </w:r>
      <w:r w:rsidRPr="00972CD3">
        <w:t>00.00 pro m</w:t>
      </w:r>
      <w:r w:rsidRPr="006318C5">
        <w:rPr>
          <w:vertAlign w:val="superscript"/>
        </w:rPr>
        <w:t>2</w:t>
      </w:r>
      <w:r w:rsidR="00CB2E43">
        <w:t xml:space="preserve"> und Jahr und im 1. </w:t>
      </w:r>
      <w:r w:rsidRPr="00972CD3">
        <w:t xml:space="preserve">Obergeschoss rund CHF </w:t>
      </w:r>
      <w:r w:rsidR="006318C5">
        <w:t>1</w:t>
      </w:r>
      <w:r w:rsidRPr="00972CD3">
        <w:t>'</w:t>
      </w:r>
      <w:r w:rsidR="006318C5">
        <w:t>0</w:t>
      </w:r>
      <w:r w:rsidRPr="00972CD3">
        <w:t>00.00 pro m</w:t>
      </w:r>
      <w:r w:rsidRPr="006318C5">
        <w:rPr>
          <w:vertAlign w:val="superscript"/>
        </w:rPr>
        <w:t>2</w:t>
      </w:r>
      <w:r w:rsidRPr="00972CD3">
        <w:t xml:space="preserve"> und Jahr beträgt. Für Lagerflächen beläuft sich der marktübliche bzw. orts- oder quartierübliche Quadratmeterpreis auf CHF 170.00 pro m</w:t>
      </w:r>
      <w:r w:rsidRPr="006318C5">
        <w:rPr>
          <w:vertAlign w:val="superscript"/>
        </w:rPr>
        <w:t>2</w:t>
      </w:r>
      <w:r w:rsidRPr="00972CD3">
        <w:t xml:space="preserve"> und Jahr.</w:t>
      </w:r>
    </w:p>
    <w:p w:rsidR="00F6287D" w:rsidRDefault="00F6287D" w:rsidP="00DF33A1">
      <w:pPr>
        <w:pStyle w:val="MustertextBO"/>
        <w:rPr>
          <w:b/>
        </w:rPr>
      </w:pPr>
      <w:r>
        <w:tab/>
      </w:r>
      <w:r w:rsidRPr="00862105">
        <w:rPr>
          <w:rStyle w:val="fettMuster"/>
        </w:rPr>
        <w:t>BO:</w:t>
      </w:r>
      <w:r w:rsidR="00B31184">
        <w:t xml:space="preserve"> </w:t>
      </w:r>
      <w:r w:rsidRPr="00862105">
        <w:t xml:space="preserve">Studie (Gutachten) der </w:t>
      </w:r>
      <w:r w:rsidRPr="00AB420B">
        <w:t>Firma Wü</w:t>
      </w:r>
      <w:r w:rsidR="006318C5" w:rsidRPr="00AB420B">
        <w:t>e</w:t>
      </w:r>
      <w:r w:rsidRPr="002B2EA4">
        <w:t xml:space="preserve">st </w:t>
      </w:r>
      <w:r w:rsidR="002B2EA4">
        <w:t>&amp;</w:t>
      </w:r>
      <w:r w:rsidR="002B2EA4" w:rsidRPr="00862105">
        <w:t xml:space="preserve"> </w:t>
      </w:r>
      <w:r w:rsidRPr="00862105">
        <w:t>Partner AG betreffend orts- oder quartier</w:t>
      </w:r>
      <w:r w:rsidR="00D84D3F">
        <w:t>-</w:t>
      </w:r>
      <w:r w:rsidRPr="00862105">
        <w:t>übliche Quadratmeterpreise für Laden- und Lagerflächen in den Stadt Zürich, datiert 02. August 2015</w:t>
      </w:r>
      <w:r w:rsidRPr="00862105">
        <w:tab/>
      </w:r>
      <w:r w:rsidR="00CE4D9E" w:rsidRPr="00862105">
        <w:tab/>
      </w:r>
      <w:r w:rsidR="0005426D" w:rsidRPr="00862105">
        <w:tab/>
      </w:r>
      <w:r w:rsidR="00F4325E">
        <w:tab/>
      </w:r>
      <w:r w:rsidR="00F4325E">
        <w:tab/>
      </w:r>
      <w:r w:rsidR="00F4325E">
        <w:tab/>
      </w:r>
      <w:r w:rsidR="00D84D3F">
        <w:tab/>
      </w:r>
      <w:r w:rsidR="00D84D3F">
        <w:tab/>
      </w:r>
      <w:r w:rsidRPr="00862105">
        <w:rPr>
          <w:b/>
        </w:rPr>
        <w:t>Beil</w:t>
      </w:r>
      <w:r w:rsidR="0005426D" w:rsidRPr="00862105">
        <w:rPr>
          <w:b/>
        </w:rPr>
        <w:t>age 4</w:t>
      </w:r>
    </w:p>
    <w:p w:rsidR="00B31184" w:rsidRPr="00862105" w:rsidRDefault="00B31184" w:rsidP="00DF33A1">
      <w:pPr>
        <w:pStyle w:val="Mustertextleer"/>
      </w:pPr>
    </w:p>
    <w:p w:rsidR="002241B9" w:rsidRPr="00862105" w:rsidRDefault="00862105" w:rsidP="00DF33A1">
      <w:pPr>
        <w:pStyle w:val="MustertextBO"/>
      </w:pPr>
      <w:r w:rsidRPr="00862105">
        <w:t xml:space="preserve">  </w:t>
      </w:r>
      <w:r w:rsidR="00B31184">
        <w:tab/>
      </w:r>
      <w:r w:rsidR="00B31184" w:rsidRPr="00862105">
        <w:rPr>
          <w:rStyle w:val="fettMuster"/>
        </w:rPr>
        <w:t>BO:</w:t>
      </w:r>
      <w:r w:rsidR="00B31184" w:rsidRPr="00862105">
        <w:t xml:space="preserve"> </w:t>
      </w:r>
      <w:r w:rsidR="00F6287D" w:rsidRPr="00862105">
        <w:rPr>
          <w:b/>
        </w:rPr>
        <w:t>Gerichtliches Gutachten</w:t>
      </w:r>
      <w:r w:rsidR="00F6287D" w:rsidRPr="00862105">
        <w:t xml:space="preserve"> </w:t>
      </w:r>
      <w:r w:rsidR="006F1909" w:rsidRPr="00862105">
        <w:t xml:space="preserve">(Expertise) </w:t>
      </w:r>
      <w:r w:rsidR="00F6287D" w:rsidRPr="00862105">
        <w:t>betreffend orts- oder quartierübliche Quadra</w:t>
      </w:r>
      <w:r w:rsidR="00F6287D" w:rsidRPr="00862105">
        <w:t>t</w:t>
      </w:r>
      <w:r w:rsidR="00F6287D" w:rsidRPr="00862105">
        <w:t>meterpreise für Laden- und Lagerflächen</w:t>
      </w:r>
      <w:r w:rsidR="00B84575">
        <w:t xml:space="preserve"> </w:t>
      </w:r>
      <w:r w:rsidR="00F6287D" w:rsidRPr="00862105">
        <w:t>in de</w:t>
      </w:r>
      <w:r w:rsidR="00B84575">
        <w:t>r</w:t>
      </w:r>
      <w:r w:rsidR="00F6287D" w:rsidRPr="00862105">
        <w:t xml:space="preserve"> Stadt Zürich</w:t>
      </w:r>
    </w:p>
    <w:p w:rsidR="00F16A34" w:rsidRDefault="00F16A34">
      <w:pPr>
        <w:pStyle w:val="MustertextListe0"/>
        <w:numPr>
          <w:ilvl w:val="0"/>
          <w:numId w:val="0"/>
        </w:numPr>
      </w:pPr>
      <w:r>
        <w:lastRenderedPageBreak/>
        <w:t xml:space="preserve">Abschliessend ersuche ich um </w:t>
      </w:r>
      <w:r w:rsidR="002241B9">
        <w:t xml:space="preserve">antragsgemässe </w:t>
      </w:r>
      <w:r>
        <w:t xml:space="preserve">Gutheissung </w:t>
      </w:r>
      <w:r w:rsidR="002241B9">
        <w:t>der Klage,</w:t>
      </w:r>
      <w:r>
        <w:t xml:space="preserve"> unter Kosten</w:t>
      </w:r>
      <w:r w:rsidR="002241B9">
        <w:t>- und En</w:t>
      </w:r>
      <w:r w:rsidR="002241B9">
        <w:t>t</w:t>
      </w:r>
      <w:r w:rsidR="002241B9">
        <w:t>schädigungs</w:t>
      </w:r>
      <w:r>
        <w:t xml:space="preserve">folgen zu Lasten der </w:t>
      </w:r>
      <w:r w:rsidR="002241B9">
        <w:t>Beklagten</w:t>
      </w:r>
      <w:r>
        <w:t>.</w:t>
      </w:r>
    </w:p>
    <w:p w:rsidR="00177658" w:rsidRDefault="00177658" w:rsidP="007A1FBC">
      <w:pPr>
        <w:pStyle w:val="Mustertext"/>
      </w:pPr>
    </w:p>
    <w:p w:rsidR="002241B9" w:rsidRDefault="002241B9" w:rsidP="007A1FBC">
      <w:pPr>
        <w:pStyle w:val="Mustertext"/>
      </w:pPr>
      <w:r>
        <w:t>Namens der Klägerin:</w:t>
      </w:r>
    </w:p>
    <w:p w:rsidR="002D63DC" w:rsidRDefault="002D63DC" w:rsidP="007A1FBC">
      <w:pPr>
        <w:pStyle w:val="Mustertext"/>
      </w:pPr>
      <w:r>
        <w:t>[Unterschrift de</w:t>
      </w:r>
      <w:r w:rsidR="000E0E48">
        <w:t>r</w:t>
      </w:r>
      <w:r>
        <w:t xml:space="preserve"> Rechtsanw</w:t>
      </w:r>
      <w:r w:rsidR="000E0E48">
        <w:t>ältin</w:t>
      </w:r>
      <w:r>
        <w:t xml:space="preserve"> de</w:t>
      </w:r>
      <w:r w:rsidR="000E0E48">
        <w:t>r</w:t>
      </w:r>
      <w:r>
        <w:t xml:space="preserve"> </w:t>
      </w:r>
      <w:r w:rsidR="000E0E48">
        <w:t>Klägerin</w:t>
      </w:r>
      <w:r>
        <w:t>]</w:t>
      </w:r>
    </w:p>
    <w:p w:rsidR="002241B9" w:rsidRDefault="000B65FE" w:rsidP="007A1FBC">
      <w:pPr>
        <w:pStyle w:val="Mustertext"/>
      </w:pPr>
      <w:r>
        <w:t>[Name de</w:t>
      </w:r>
      <w:r w:rsidR="000E0E48">
        <w:t>r</w:t>
      </w:r>
      <w:r>
        <w:t xml:space="preserve"> Rechtsanw</w:t>
      </w:r>
      <w:r w:rsidR="000E0E48">
        <w:t>ältin der Klägerin</w:t>
      </w:r>
      <w:r>
        <w:t>]</w:t>
      </w:r>
    </w:p>
    <w:p w:rsidR="000B65FE" w:rsidRDefault="002241B9" w:rsidP="007A1FBC">
      <w:pPr>
        <w:pStyle w:val="Mustertext"/>
      </w:pPr>
      <w:r>
        <w:t>Im Doppel</w:t>
      </w:r>
    </w:p>
    <w:p w:rsidR="000B65FE" w:rsidRDefault="002241B9" w:rsidP="007A1FBC">
      <w:pPr>
        <w:pStyle w:val="Mustertext"/>
      </w:pPr>
      <w:r>
        <w:t>Beweismittel gemäss separatem V</w:t>
      </w:r>
      <w:r w:rsidR="000B65FE">
        <w:t>erzeichnis</w:t>
      </w:r>
    </w:p>
    <w:p w:rsidR="00D41977" w:rsidRDefault="00D41977" w:rsidP="007A1FBC">
      <w:pPr>
        <w:pStyle w:val="Mustertextleer"/>
      </w:pPr>
    </w:p>
    <w:p w:rsidR="00653578" w:rsidRPr="006C6DEB" w:rsidRDefault="00653578" w:rsidP="007A1FBC">
      <w:pPr>
        <w:pStyle w:val="BoxEnde"/>
      </w:pPr>
    </w:p>
    <w:sectPr w:rsidR="00653578" w:rsidRPr="006C6DEB" w:rsidSect="00175951">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C69" w:rsidRDefault="00EF7C69" w:rsidP="00171C75">
      <w:pPr>
        <w:spacing w:after="0" w:line="240" w:lineRule="auto"/>
      </w:pPr>
      <w:r>
        <w:separator/>
      </w:r>
    </w:p>
  </w:endnote>
  <w:endnote w:type="continuationSeparator" w:id="0">
    <w:p w:rsidR="00EF7C69" w:rsidRDefault="00EF7C69"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C69" w:rsidRPr="00E56E75" w:rsidRDefault="00175951" w:rsidP="00AE2FC7">
    <w:pPr>
      <w:pStyle w:val="Fuzeile"/>
      <w:tabs>
        <w:tab w:val="clear" w:pos="4536"/>
        <w:tab w:val="clear" w:pos="9072"/>
        <w:tab w:val="right" w:pos="7088"/>
      </w:tabs>
      <w:jc w:val="right"/>
      <w:rPr>
        <w:b/>
        <w:szCs w:val="18"/>
      </w:rPr>
    </w:pPr>
    <w:r>
      <w:rPr>
        <w:szCs w:val="18"/>
      </w:rPr>
      <w:tab/>
    </w:r>
    <w:r w:rsidR="00EF7C69" w:rsidRPr="00DF33A1">
      <w:rPr>
        <w:szCs w:val="18"/>
      </w:rPr>
      <w:fldChar w:fldCharType="begin"/>
    </w:r>
    <w:r w:rsidR="00EF7C69" w:rsidRPr="00DF33A1">
      <w:rPr>
        <w:szCs w:val="18"/>
      </w:rPr>
      <w:instrText xml:space="preserve"> PAGE  \* Arabic  \* MERGEFORMAT </w:instrText>
    </w:r>
    <w:r w:rsidR="00EF7C69" w:rsidRPr="00DF33A1">
      <w:rPr>
        <w:szCs w:val="18"/>
      </w:rPr>
      <w:fldChar w:fldCharType="separate"/>
    </w:r>
    <w:r w:rsidR="000F046E">
      <w:rPr>
        <w:noProof/>
        <w:szCs w:val="18"/>
      </w:rPr>
      <w:t>2</w:t>
    </w:r>
    <w:r w:rsidR="00EF7C69" w:rsidRPr="00DF33A1">
      <w:rPr>
        <w:szCs w:val="18"/>
      </w:rPr>
      <w:fldChar w:fldCharType="end"/>
    </w:r>
    <w:r w:rsidR="00EF7C69" w:rsidRPr="00E56E75">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C69" w:rsidRPr="00E56E75" w:rsidRDefault="00175951" w:rsidP="00AE2FC7">
    <w:pPr>
      <w:pStyle w:val="Fuzeile"/>
      <w:tabs>
        <w:tab w:val="clear" w:pos="4536"/>
        <w:tab w:val="clear" w:pos="9072"/>
        <w:tab w:val="center" w:pos="0"/>
        <w:tab w:val="left" w:pos="1985"/>
        <w:tab w:val="right" w:pos="7088"/>
      </w:tabs>
      <w:rPr>
        <w:b/>
        <w:szCs w:val="18"/>
      </w:rPr>
    </w:pPr>
    <w:r>
      <w:rPr>
        <w:b/>
        <w:szCs w:val="18"/>
      </w:rPr>
      <w:tab/>
    </w:r>
    <w:r w:rsidR="00EF7C69" w:rsidRPr="00E56E75">
      <w:rPr>
        <w:b/>
        <w:szCs w:val="18"/>
      </w:rPr>
      <w:tab/>
    </w:r>
    <w:r w:rsidR="00EF7C69" w:rsidRPr="00DF33A1">
      <w:rPr>
        <w:szCs w:val="18"/>
      </w:rPr>
      <w:fldChar w:fldCharType="begin"/>
    </w:r>
    <w:r w:rsidR="00EF7C69" w:rsidRPr="00DF33A1">
      <w:rPr>
        <w:szCs w:val="18"/>
      </w:rPr>
      <w:instrText xml:space="preserve"> PAGE  \* Arabic  \* MERGEFORMAT </w:instrText>
    </w:r>
    <w:r w:rsidR="00EF7C69" w:rsidRPr="00DF33A1">
      <w:rPr>
        <w:szCs w:val="18"/>
      </w:rPr>
      <w:fldChar w:fldCharType="separate"/>
    </w:r>
    <w:r w:rsidR="000F046E">
      <w:rPr>
        <w:noProof/>
        <w:szCs w:val="18"/>
      </w:rPr>
      <w:t>11</w:t>
    </w:r>
    <w:r w:rsidR="00EF7C69" w:rsidRPr="00DF33A1">
      <w:rPr>
        <w:szCs w:val="18"/>
      </w:rPr>
      <w:fldChar w:fldCharType="end"/>
    </w:r>
    <w:r w:rsidR="00EF7C69" w:rsidRPr="00DF33A1">
      <w:rPr>
        <w:szCs w:val="18"/>
      </w:rPr>
      <w:tab/>
    </w:r>
    <w:r w:rsidR="00EF7C69" w:rsidRPr="00E56E75">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C69" w:rsidRPr="00D41E31" w:rsidRDefault="00EF7C69" w:rsidP="0093429A">
    <w:pPr>
      <w:pStyle w:val="Fuzeile"/>
      <w:tabs>
        <w:tab w:val="clear" w:pos="4536"/>
        <w:tab w:val="center" w:pos="7088"/>
      </w:tabs>
      <w:rPr>
        <w:szCs w:val="18"/>
      </w:rPr>
    </w:pPr>
    <w:r w:rsidRPr="00D41E31">
      <w:rPr>
        <w:szCs w:val="18"/>
      </w:rPr>
      <w:tab/>
    </w:r>
    <w:r w:rsidRPr="00DF33A1">
      <w:rPr>
        <w:szCs w:val="18"/>
      </w:rPr>
      <w:fldChar w:fldCharType="begin"/>
    </w:r>
    <w:r w:rsidRPr="00DF33A1">
      <w:rPr>
        <w:szCs w:val="18"/>
      </w:rPr>
      <w:instrText xml:space="preserve"> PAGE  \* Arabic  \* MERGEFORMAT </w:instrText>
    </w:r>
    <w:r w:rsidRPr="00DF33A1">
      <w:rPr>
        <w:szCs w:val="18"/>
      </w:rPr>
      <w:fldChar w:fldCharType="separate"/>
    </w:r>
    <w:r w:rsidR="000F046E">
      <w:rPr>
        <w:noProof/>
        <w:szCs w:val="18"/>
      </w:rPr>
      <w:t>1</w:t>
    </w:r>
    <w:r w:rsidRPr="00DF33A1">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C69" w:rsidRDefault="00EF7C69" w:rsidP="00171C75">
      <w:pPr>
        <w:spacing w:after="0" w:line="240" w:lineRule="auto"/>
      </w:pPr>
      <w:r>
        <w:separator/>
      </w:r>
    </w:p>
  </w:footnote>
  <w:footnote w:type="continuationSeparator" w:id="0">
    <w:p w:rsidR="00EF7C69" w:rsidRDefault="00EF7C69"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23"/>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22"/>
  </w:num>
  <w:num w:numId="30">
    <w:abstractNumId w:val="22"/>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num>
  <w:num w:numId="39">
    <w:abstractNumId w:val="22"/>
    <w:lvlOverride w:ilvl="0">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 w:numId="45">
    <w:abstractNumId w:val="18"/>
  </w:num>
  <w:num w:numId="46">
    <w:abstractNumId w:val="15"/>
  </w:num>
  <w:num w:numId="47">
    <w:abstractNumId w:val="10"/>
  </w:num>
  <w:num w:numId="48">
    <w:abstractNumId w:val="12"/>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144AD"/>
    <w:rsid w:val="00015F4E"/>
    <w:rsid w:val="00046BF7"/>
    <w:rsid w:val="0005426D"/>
    <w:rsid w:val="00056C4E"/>
    <w:rsid w:val="00060695"/>
    <w:rsid w:val="00063194"/>
    <w:rsid w:val="0006536D"/>
    <w:rsid w:val="00066392"/>
    <w:rsid w:val="00067876"/>
    <w:rsid w:val="00071CF8"/>
    <w:rsid w:val="0007432C"/>
    <w:rsid w:val="0007456F"/>
    <w:rsid w:val="00084500"/>
    <w:rsid w:val="00087CC3"/>
    <w:rsid w:val="000A019D"/>
    <w:rsid w:val="000A1829"/>
    <w:rsid w:val="000A235C"/>
    <w:rsid w:val="000A5D86"/>
    <w:rsid w:val="000B250D"/>
    <w:rsid w:val="000B32DC"/>
    <w:rsid w:val="000B65FE"/>
    <w:rsid w:val="000B70CE"/>
    <w:rsid w:val="000C3439"/>
    <w:rsid w:val="000C3B92"/>
    <w:rsid w:val="000D1C54"/>
    <w:rsid w:val="000D4837"/>
    <w:rsid w:val="000D5486"/>
    <w:rsid w:val="000D6DA2"/>
    <w:rsid w:val="000E0E48"/>
    <w:rsid w:val="000E2846"/>
    <w:rsid w:val="000E293A"/>
    <w:rsid w:val="000F046E"/>
    <w:rsid w:val="000F456E"/>
    <w:rsid w:val="000F7E1D"/>
    <w:rsid w:val="000F7F66"/>
    <w:rsid w:val="0010454E"/>
    <w:rsid w:val="001067D0"/>
    <w:rsid w:val="001125B1"/>
    <w:rsid w:val="00114CC9"/>
    <w:rsid w:val="0011500B"/>
    <w:rsid w:val="0011653B"/>
    <w:rsid w:val="00126578"/>
    <w:rsid w:val="001341C0"/>
    <w:rsid w:val="00147398"/>
    <w:rsid w:val="0015056A"/>
    <w:rsid w:val="00150C47"/>
    <w:rsid w:val="00156891"/>
    <w:rsid w:val="00171C75"/>
    <w:rsid w:val="00174B0A"/>
    <w:rsid w:val="00175951"/>
    <w:rsid w:val="00177658"/>
    <w:rsid w:val="001802D9"/>
    <w:rsid w:val="001841CF"/>
    <w:rsid w:val="00185624"/>
    <w:rsid w:val="00185CFD"/>
    <w:rsid w:val="00187D7A"/>
    <w:rsid w:val="00191C57"/>
    <w:rsid w:val="00193C24"/>
    <w:rsid w:val="00195DE6"/>
    <w:rsid w:val="001961FB"/>
    <w:rsid w:val="001965B6"/>
    <w:rsid w:val="0019671A"/>
    <w:rsid w:val="001A3181"/>
    <w:rsid w:val="001A38DC"/>
    <w:rsid w:val="001A78EE"/>
    <w:rsid w:val="001B1B3B"/>
    <w:rsid w:val="001B414E"/>
    <w:rsid w:val="001C037C"/>
    <w:rsid w:val="001C384E"/>
    <w:rsid w:val="001D12A9"/>
    <w:rsid w:val="001D4D22"/>
    <w:rsid w:val="001D4EEC"/>
    <w:rsid w:val="001E47DC"/>
    <w:rsid w:val="00200F32"/>
    <w:rsid w:val="00203021"/>
    <w:rsid w:val="002046FD"/>
    <w:rsid w:val="002126A7"/>
    <w:rsid w:val="002134F8"/>
    <w:rsid w:val="00216071"/>
    <w:rsid w:val="002241B9"/>
    <w:rsid w:val="002257D5"/>
    <w:rsid w:val="0022751D"/>
    <w:rsid w:val="002370EB"/>
    <w:rsid w:val="002377CC"/>
    <w:rsid w:val="002424DB"/>
    <w:rsid w:val="00245BAF"/>
    <w:rsid w:val="00252124"/>
    <w:rsid w:val="00252168"/>
    <w:rsid w:val="002748E8"/>
    <w:rsid w:val="0028087F"/>
    <w:rsid w:val="00282AA7"/>
    <w:rsid w:val="0028314A"/>
    <w:rsid w:val="00295BEA"/>
    <w:rsid w:val="00296140"/>
    <w:rsid w:val="00297816"/>
    <w:rsid w:val="002A4674"/>
    <w:rsid w:val="002A4E23"/>
    <w:rsid w:val="002A56CA"/>
    <w:rsid w:val="002A7DEA"/>
    <w:rsid w:val="002B2EA4"/>
    <w:rsid w:val="002B6AFF"/>
    <w:rsid w:val="002C6715"/>
    <w:rsid w:val="002D12DB"/>
    <w:rsid w:val="002D63DC"/>
    <w:rsid w:val="002F575E"/>
    <w:rsid w:val="003007F8"/>
    <w:rsid w:val="00306318"/>
    <w:rsid w:val="00307D3E"/>
    <w:rsid w:val="0031738D"/>
    <w:rsid w:val="00327035"/>
    <w:rsid w:val="00330F5E"/>
    <w:rsid w:val="003313B6"/>
    <w:rsid w:val="00332B91"/>
    <w:rsid w:val="00360568"/>
    <w:rsid w:val="00361565"/>
    <w:rsid w:val="00361FBE"/>
    <w:rsid w:val="003674F5"/>
    <w:rsid w:val="00373D25"/>
    <w:rsid w:val="003753EC"/>
    <w:rsid w:val="00375F81"/>
    <w:rsid w:val="00390774"/>
    <w:rsid w:val="00391929"/>
    <w:rsid w:val="00393012"/>
    <w:rsid w:val="00397051"/>
    <w:rsid w:val="003A3CD3"/>
    <w:rsid w:val="003B3306"/>
    <w:rsid w:val="003B760A"/>
    <w:rsid w:val="003C2027"/>
    <w:rsid w:val="003E1EDD"/>
    <w:rsid w:val="003F21A3"/>
    <w:rsid w:val="003F4DB2"/>
    <w:rsid w:val="003F4DF5"/>
    <w:rsid w:val="003F5594"/>
    <w:rsid w:val="003F70C9"/>
    <w:rsid w:val="00400011"/>
    <w:rsid w:val="00402829"/>
    <w:rsid w:val="00411539"/>
    <w:rsid w:val="00411772"/>
    <w:rsid w:val="00412943"/>
    <w:rsid w:val="00417DB8"/>
    <w:rsid w:val="00424A97"/>
    <w:rsid w:val="00424B17"/>
    <w:rsid w:val="00430E2A"/>
    <w:rsid w:val="00434C3A"/>
    <w:rsid w:val="0043697C"/>
    <w:rsid w:val="004400C1"/>
    <w:rsid w:val="00442AB1"/>
    <w:rsid w:val="00443746"/>
    <w:rsid w:val="004533B4"/>
    <w:rsid w:val="004536D0"/>
    <w:rsid w:val="00453776"/>
    <w:rsid w:val="00472F83"/>
    <w:rsid w:val="00486CE3"/>
    <w:rsid w:val="00491944"/>
    <w:rsid w:val="00491E16"/>
    <w:rsid w:val="004940D3"/>
    <w:rsid w:val="0049714D"/>
    <w:rsid w:val="004A2A06"/>
    <w:rsid w:val="004B1A21"/>
    <w:rsid w:val="004B7400"/>
    <w:rsid w:val="004B7E6B"/>
    <w:rsid w:val="004C0E15"/>
    <w:rsid w:val="004C2F46"/>
    <w:rsid w:val="004C5EB9"/>
    <w:rsid w:val="004C7E4F"/>
    <w:rsid w:val="004C7E9E"/>
    <w:rsid w:val="004E1F76"/>
    <w:rsid w:val="004E6679"/>
    <w:rsid w:val="004F6005"/>
    <w:rsid w:val="00500C46"/>
    <w:rsid w:val="00502291"/>
    <w:rsid w:val="00504343"/>
    <w:rsid w:val="00505589"/>
    <w:rsid w:val="0051115E"/>
    <w:rsid w:val="0051551E"/>
    <w:rsid w:val="00523E74"/>
    <w:rsid w:val="005269AA"/>
    <w:rsid w:val="00531953"/>
    <w:rsid w:val="005326E2"/>
    <w:rsid w:val="005367F3"/>
    <w:rsid w:val="005430F1"/>
    <w:rsid w:val="00554168"/>
    <w:rsid w:val="005623B8"/>
    <w:rsid w:val="00565234"/>
    <w:rsid w:val="00567D01"/>
    <w:rsid w:val="005717FA"/>
    <w:rsid w:val="00580F83"/>
    <w:rsid w:val="0058599F"/>
    <w:rsid w:val="00591B35"/>
    <w:rsid w:val="005A29BF"/>
    <w:rsid w:val="005A39CB"/>
    <w:rsid w:val="005A3C37"/>
    <w:rsid w:val="005A6F94"/>
    <w:rsid w:val="005B49E1"/>
    <w:rsid w:val="005B6AF4"/>
    <w:rsid w:val="005B7C9F"/>
    <w:rsid w:val="005C035A"/>
    <w:rsid w:val="005C2643"/>
    <w:rsid w:val="005C343F"/>
    <w:rsid w:val="005C396C"/>
    <w:rsid w:val="005F3990"/>
    <w:rsid w:val="005F495E"/>
    <w:rsid w:val="00600DB2"/>
    <w:rsid w:val="00604C01"/>
    <w:rsid w:val="00605E0E"/>
    <w:rsid w:val="006113A1"/>
    <w:rsid w:val="006170BB"/>
    <w:rsid w:val="00626E53"/>
    <w:rsid w:val="006318C5"/>
    <w:rsid w:val="00633954"/>
    <w:rsid w:val="006359A2"/>
    <w:rsid w:val="00641412"/>
    <w:rsid w:val="00643AB4"/>
    <w:rsid w:val="00643B83"/>
    <w:rsid w:val="00644501"/>
    <w:rsid w:val="00644662"/>
    <w:rsid w:val="00646403"/>
    <w:rsid w:val="00650195"/>
    <w:rsid w:val="00653578"/>
    <w:rsid w:val="006560AA"/>
    <w:rsid w:val="00656A6C"/>
    <w:rsid w:val="00665FF6"/>
    <w:rsid w:val="00671A20"/>
    <w:rsid w:val="00682F96"/>
    <w:rsid w:val="006839BD"/>
    <w:rsid w:val="006917FF"/>
    <w:rsid w:val="00692B12"/>
    <w:rsid w:val="00695182"/>
    <w:rsid w:val="006A3352"/>
    <w:rsid w:val="006B1452"/>
    <w:rsid w:val="006B1BFA"/>
    <w:rsid w:val="006B3433"/>
    <w:rsid w:val="006B3708"/>
    <w:rsid w:val="006B3E62"/>
    <w:rsid w:val="006B4446"/>
    <w:rsid w:val="006B6B12"/>
    <w:rsid w:val="006C5E6C"/>
    <w:rsid w:val="006C6DEB"/>
    <w:rsid w:val="006C7502"/>
    <w:rsid w:val="006C7DCD"/>
    <w:rsid w:val="006D54B1"/>
    <w:rsid w:val="006E4126"/>
    <w:rsid w:val="006E5420"/>
    <w:rsid w:val="006E786B"/>
    <w:rsid w:val="006F1909"/>
    <w:rsid w:val="0070065C"/>
    <w:rsid w:val="007016F6"/>
    <w:rsid w:val="00703685"/>
    <w:rsid w:val="007050C7"/>
    <w:rsid w:val="007102A7"/>
    <w:rsid w:val="00714047"/>
    <w:rsid w:val="007148EE"/>
    <w:rsid w:val="00717686"/>
    <w:rsid w:val="00720CB9"/>
    <w:rsid w:val="007261B6"/>
    <w:rsid w:val="00726396"/>
    <w:rsid w:val="007267CE"/>
    <w:rsid w:val="007310F3"/>
    <w:rsid w:val="00732003"/>
    <w:rsid w:val="00740578"/>
    <w:rsid w:val="00757193"/>
    <w:rsid w:val="00760F08"/>
    <w:rsid w:val="007728B0"/>
    <w:rsid w:val="00772B98"/>
    <w:rsid w:val="00784B8E"/>
    <w:rsid w:val="007874A3"/>
    <w:rsid w:val="007953BE"/>
    <w:rsid w:val="00795FFD"/>
    <w:rsid w:val="00797702"/>
    <w:rsid w:val="007A1FBC"/>
    <w:rsid w:val="007A3B57"/>
    <w:rsid w:val="007A3CC3"/>
    <w:rsid w:val="007A44CF"/>
    <w:rsid w:val="007A76E9"/>
    <w:rsid w:val="007B3968"/>
    <w:rsid w:val="007B51BB"/>
    <w:rsid w:val="007B5C6C"/>
    <w:rsid w:val="007C190B"/>
    <w:rsid w:val="007C2A74"/>
    <w:rsid w:val="007C5AE7"/>
    <w:rsid w:val="007E09EA"/>
    <w:rsid w:val="007E1A3F"/>
    <w:rsid w:val="007E2BBE"/>
    <w:rsid w:val="007E4DD8"/>
    <w:rsid w:val="007F1535"/>
    <w:rsid w:val="007F19B1"/>
    <w:rsid w:val="007F62A2"/>
    <w:rsid w:val="007F62F2"/>
    <w:rsid w:val="007F6B8C"/>
    <w:rsid w:val="008019B3"/>
    <w:rsid w:val="00804816"/>
    <w:rsid w:val="00807688"/>
    <w:rsid w:val="008127C1"/>
    <w:rsid w:val="00812CA6"/>
    <w:rsid w:val="00821589"/>
    <w:rsid w:val="00824B16"/>
    <w:rsid w:val="00836E27"/>
    <w:rsid w:val="00840F5A"/>
    <w:rsid w:val="00844DAA"/>
    <w:rsid w:val="00845999"/>
    <w:rsid w:val="0085220F"/>
    <w:rsid w:val="00852413"/>
    <w:rsid w:val="00853A5A"/>
    <w:rsid w:val="008567A7"/>
    <w:rsid w:val="00860452"/>
    <w:rsid w:val="00861CA0"/>
    <w:rsid w:val="00861DB5"/>
    <w:rsid w:val="00862105"/>
    <w:rsid w:val="00866289"/>
    <w:rsid w:val="00870356"/>
    <w:rsid w:val="0087460B"/>
    <w:rsid w:val="008926D3"/>
    <w:rsid w:val="008A30C8"/>
    <w:rsid w:val="008A4647"/>
    <w:rsid w:val="008B03BA"/>
    <w:rsid w:val="008B1CBE"/>
    <w:rsid w:val="008B5789"/>
    <w:rsid w:val="008B7EE2"/>
    <w:rsid w:val="008C6E85"/>
    <w:rsid w:val="008D6D18"/>
    <w:rsid w:val="008D744E"/>
    <w:rsid w:val="008E0CDA"/>
    <w:rsid w:val="008E4EC6"/>
    <w:rsid w:val="008E5B40"/>
    <w:rsid w:val="008F17EE"/>
    <w:rsid w:val="008F7106"/>
    <w:rsid w:val="00906949"/>
    <w:rsid w:val="00907CBC"/>
    <w:rsid w:val="00914C1F"/>
    <w:rsid w:val="00915E32"/>
    <w:rsid w:val="0091794D"/>
    <w:rsid w:val="009200BF"/>
    <w:rsid w:val="00921BDD"/>
    <w:rsid w:val="0092489F"/>
    <w:rsid w:val="00924BA7"/>
    <w:rsid w:val="00927B54"/>
    <w:rsid w:val="009338D0"/>
    <w:rsid w:val="0093429A"/>
    <w:rsid w:val="00934A9B"/>
    <w:rsid w:val="00936C8E"/>
    <w:rsid w:val="00945ADA"/>
    <w:rsid w:val="00950577"/>
    <w:rsid w:val="00954B81"/>
    <w:rsid w:val="00964594"/>
    <w:rsid w:val="00972CD3"/>
    <w:rsid w:val="00975E13"/>
    <w:rsid w:val="00976709"/>
    <w:rsid w:val="009802DA"/>
    <w:rsid w:val="00985613"/>
    <w:rsid w:val="0098636B"/>
    <w:rsid w:val="009877E8"/>
    <w:rsid w:val="009916B5"/>
    <w:rsid w:val="0099765F"/>
    <w:rsid w:val="009A0A35"/>
    <w:rsid w:val="009B54D7"/>
    <w:rsid w:val="009B5810"/>
    <w:rsid w:val="009C1BB4"/>
    <w:rsid w:val="009C361E"/>
    <w:rsid w:val="009C387B"/>
    <w:rsid w:val="009C52F1"/>
    <w:rsid w:val="009D0148"/>
    <w:rsid w:val="009D36E0"/>
    <w:rsid w:val="009E198B"/>
    <w:rsid w:val="009E32DE"/>
    <w:rsid w:val="009E4D1E"/>
    <w:rsid w:val="00A071D2"/>
    <w:rsid w:val="00A112D2"/>
    <w:rsid w:val="00A22208"/>
    <w:rsid w:val="00A30454"/>
    <w:rsid w:val="00A30946"/>
    <w:rsid w:val="00A357C8"/>
    <w:rsid w:val="00A365CF"/>
    <w:rsid w:val="00A50DC3"/>
    <w:rsid w:val="00A520F4"/>
    <w:rsid w:val="00A548BC"/>
    <w:rsid w:val="00A563AD"/>
    <w:rsid w:val="00A60A68"/>
    <w:rsid w:val="00A716A9"/>
    <w:rsid w:val="00A717E1"/>
    <w:rsid w:val="00A74099"/>
    <w:rsid w:val="00A750D0"/>
    <w:rsid w:val="00A81A4E"/>
    <w:rsid w:val="00A856FF"/>
    <w:rsid w:val="00A85C75"/>
    <w:rsid w:val="00A87505"/>
    <w:rsid w:val="00A877DC"/>
    <w:rsid w:val="00AA1CD3"/>
    <w:rsid w:val="00AA726F"/>
    <w:rsid w:val="00AA7801"/>
    <w:rsid w:val="00AB00E2"/>
    <w:rsid w:val="00AB21E7"/>
    <w:rsid w:val="00AB420B"/>
    <w:rsid w:val="00AB4540"/>
    <w:rsid w:val="00AB6548"/>
    <w:rsid w:val="00AC09C2"/>
    <w:rsid w:val="00AC44FC"/>
    <w:rsid w:val="00AD4B52"/>
    <w:rsid w:val="00AD72C5"/>
    <w:rsid w:val="00AE0998"/>
    <w:rsid w:val="00AE2FC7"/>
    <w:rsid w:val="00AF59AD"/>
    <w:rsid w:val="00AF703F"/>
    <w:rsid w:val="00B00125"/>
    <w:rsid w:val="00B06ED1"/>
    <w:rsid w:val="00B12DED"/>
    <w:rsid w:val="00B25808"/>
    <w:rsid w:val="00B2768D"/>
    <w:rsid w:val="00B31184"/>
    <w:rsid w:val="00B419E6"/>
    <w:rsid w:val="00B43865"/>
    <w:rsid w:val="00B479A8"/>
    <w:rsid w:val="00B51B3E"/>
    <w:rsid w:val="00B574D9"/>
    <w:rsid w:val="00B729FB"/>
    <w:rsid w:val="00B73ACB"/>
    <w:rsid w:val="00B74180"/>
    <w:rsid w:val="00B74692"/>
    <w:rsid w:val="00B74DDD"/>
    <w:rsid w:val="00B75158"/>
    <w:rsid w:val="00B84575"/>
    <w:rsid w:val="00B85B43"/>
    <w:rsid w:val="00B94033"/>
    <w:rsid w:val="00B95FB7"/>
    <w:rsid w:val="00BA09D3"/>
    <w:rsid w:val="00BA3518"/>
    <w:rsid w:val="00BB2A8B"/>
    <w:rsid w:val="00BB70E5"/>
    <w:rsid w:val="00BC7BCD"/>
    <w:rsid w:val="00BD0312"/>
    <w:rsid w:val="00BD1653"/>
    <w:rsid w:val="00BD1D63"/>
    <w:rsid w:val="00BD4007"/>
    <w:rsid w:val="00BD7351"/>
    <w:rsid w:val="00BD7C79"/>
    <w:rsid w:val="00BE0A2F"/>
    <w:rsid w:val="00BE140E"/>
    <w:rsid w:val="00BE433F"/>
    <w:rsid w:val="00BE6955"/>
    <w:rsid w:val="00BE7EB4"/>
    <w:rsid w:val="00BF171E"/>
    <w:rsid w:val="00BF518A"/>
    <w:rsid w:val="00BF5B13"/>
    <w:rsid w:val="00C0693B"/>
    <w:rsid w:val="00C24BCA"/>
    <w:rsid w:val="00C2521D"/>
    <w:rsid w:val="00C363E6"/>
    <w:rsid w:val="00C4412E"/>
    <w:rsid w:val="00C45E87"/>
    <w:rsid w:val="00C51CAD"/>
    <w:rsid w:val="00C529F9"/>
    <w:rsid w:val="00C55B50"/>
    <w:rsid w:val="00C60F63"/>
    <w:rsid w:val="00C63891"/>
    <w:rsid w:val="00C64ACA"/>
    <w:rsid w:val="00C82765"/>
    <w:rsid w:val="00C94ED3"/>
    <w:rsid w:val="00C97919"/>
    <w:rsid w:val="00CA0547"/>
    <w:rsid w:val="00CA554D"/>
    <w:rsid w:val="00CB2E43"/>
    <w:rsid w:val="00CC2AEA"/>
    <w:rsid w:val="00CC304F"/>
    <w:rsid w:val="00CC47F7"/>
    <w:rsid w:val="00CC5B5C"/>
    <w:rsid w:val="00CD17D9"/>
    <w:rsid w:val="00CD2337"/>
    <w:rsid w:val="00CD2C4C"/>
    <w:rsid w:val="00CD4C3B"/>
    <w:rsid w:val="00CD57B9"/>
    <w:rsid w:val="00CD59BA"/>
    <w:rsid w:val="00CD5F04"/>
    <w:rsid w:val="00CE11C4"/>
    <w:rsid w:val="00CE4D9E"/>
    <w:rsid w:val="00CF0F12"/>
    <w:rsid w:val="00CF6296"/>
    <w:rsid w:val="00CF68C6"/>
    <w:rsid w:val="00CF7ACE"/>
    <w:rsid w:val="00D07A54"/>
    <w:rsid w:val="00D11C20"/>
    <w:rsid w:val="00D24350"/>
    <w:rsid w:val="00D25BAE"/>
    <w:rsid w:val="00D2600D"/>
    <w:rsid w:val="00D26B05"/>
    <w:rsid w:val="00D3546E"/>
    <w:rsid w:val="00D40191"/>
    <w:rsid w:val="00D41977"/>
    <w:rsid w:val="00D41995"/>
    <w:rsid w:val="00D41A46"/>
    <w:rsid w:val="00D41E31"/>
    <w:rsid w:val="00D43A35"/>
    <w:rsid w:val="00D46D7C"/>
    <w:rsid w:val="00D502DD"/>
    <w:rsid w:val="00D56753"/>
    <w:rsid w:val="00D57673"/>
    <w:rsid w:val="00D60A11"/>
    <w:rsid w:val="00D63DA9"/>
    <w:rsid w:val="00D67A32"/>
    <w:rsid w:val="00D72384"/>
    <w:rsid w:val="00D732BB"/>
    <w:rsid w:val="00D74D22"/>
    <w:rsid w:val="00D802B1"/>
    <w:rsid w:val="00D84D3F"/>
    <w:rsid w:val="00D8612A"/>
    <w:rsid w:val="00D91E94"/>
    <w:rsid w:val="00D920E6"/>
    <w:rsid w:val="00D95744"/>
    <w:rsid w:val="00DA3703"/>
    <w:rsid w:val="00DA6037"/>
    <w:rsid w:val="00DA60B4"/>
    <w:rsid w:val="00DA7AE0"/>
    <w:rsid w:val="00DB2565"/>
    <w:rsid w:val="00DB3AB3"/>
    <w:rsid w:val="00DB744E"/>
    <w:rsid w:val="00DC06B7"/>
    <w:rsid w:val="00DC0FC4"/>
    <w:rsid w:val="00DC4F3F"/>
    <w:rsid w:val="00DD177E"/>
    <w:rsid w:val="00DD4DC5"/>
    <w:rsid w:val="00DD6FAD"/>
    <w:rsid w:val="00DF01B2"/>
    <w:rsid w:val="00DF0AA5"/>
    <w:rsid w:val="00DF32DB"/>
    <w:rsid w:val="00DF33A1"/>
    <w:rsid w:val="00DF47A7"/>
    <w:rsid w:val="00DF7EF9"/>
    <w:rsid w:val="00E02681"/>
    <w:rsid w:val="00E06476"/>
    <w:rsid w:val="00E15002"/>
    <w:rsid w:val="00E30169"/>
    <w:rsid w:val="00E409B5"/>
    <w:rsid w:val="00E41380"/>
    <w:rsid w:val="00E4159F"/>
    <w:rsid w:val="00E467FB"/>
    <w:rsid w:val="00E56E75"/>
    <w:rsid w:val="00E6279A"/>
    <w:rsid w:val="00E6361E"/>
    <w:rsid w:val="00E66B45"/>
    <w:rsid w:val="00E66FA1"/>
    <w:rsid w:val="00E67555"/>
    <w:rsid w:val="00E713F9"/>
    <w:rsid w:val="00E80DB5"/>
    <w:rsid w:val="00E87E2D"/>
    <w:rsid w:val="00E91325"/>
    <w:rsid w:val="00E913C4"/>
    <w:rsid w:val="00EA3FA3"/>
    <w:rsid w:val="00EA6CCF"/>
    <w:rsid w:val="00EA7A7A"/>
    <w:rsid w:val="00EB5C8A"/>
    <w:rsid w:val="00EB7E1E"/>
    <w:rsid w:val="00ED1453"/>
    <w:rsid w:val="00ED1608"/>
    <w:rsid w:val="00ED1770"/>
    <w:rsid w:val="00ED1B2C"/>
    <w:rsid w:val="00ED2D36"/>
    <w:rsid w:val="00EE311B"/>
    <w:rsid w:val="00EF3F4C"/>
    <w:rsid w:val="00EF5826"/>
    <w:rsid w:val="00EF6BDE"/>
    <w:rsid w:val="00EF7C69"/>
    <w:rsid w:val="00F01B4F"/>
    <w:rsid w:val="00F12C76"/>
    <w:rsid w:val="00F143FA"/>
    <w:rsid w:val="00F1467E"/>
    <w:rsid w:val="00F16A34"/>
    <w:rsid w:val="00F177ED"/>
    <w:rsid w:val="00F22154"/>
    <w:rsid w:val="00F233AB"/>
    <w:rsid w:val="00F247FC"/>
    <w:rsid w:val="00F25D70"/>
    <w:rsid w:val="00F31588"/>
    <w:rsid w:val="00F404BF"/>
    <w:rsid w:val="00F423E8"/>
    <w:rsid w:val="00F4325E"/>
    <w:rsid w:val="00F4416F"/>
    <w:rsid w:val="00F464AA"/>
    <w:rsid w:val="00F46BF2"/>
    <w:rsid w:val="00F51CE1"/>
    <w:rsid w:val="00F51E40"/>
    <w:rsid w:val="00F5303B"/>
    <w:rsid w:val="00F613A1"/>
    <w:rsid w:val="00F618EF"/>
    <w:rsid w:val="00F6287D"/>
    <w:rsid w:val="00F70169"/>
    <w:rsid w:val="00F70235"/>
    <w:rsid w:val="00F70837"/>
    <w:rsid w:val="00F71CEF"/>
    <w:rsid w:val="00F75F31"/>
    <w:rsid w:val="00F82F77"/>
    <w:rsid w:val="00F90689"/>
    <w:rsid w:val="00F910FC"/>
    <w:rsid w:val="00F929AD"/>
    <w:rsid w:val="00F96224"/>
    <w:rsid w:val="00FA0410"/>
    <w:rsid w:val="00FA6CC8"/>
    <w:rsid w:val="00FB48EE"/>
    <w:rsid w:val="00FB51D5"/>
    <w:rsid w:val="00FC6436"/>
    <w:rsid w:val="00FD1FB2"/>
    <w:rsid w:val="00FD27D7"/>
    <w:rsid w:val="00FD5BF0"/>
    <w:rsid w:val="00FD6D3B"/>
    <w:rsid w:val="00FE5055"/>
    <w:rsid w:val="00FE68B2"/>
    <w:rsid w:val="00FF26FB"/>
    <w:rsid w:val="00FF2CB3"/>
    <w:rsid w:val="00FF47ED"/>
    <w:rsid w:val="00FF51E5"/>
    <w:rsid w:val="00FF58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046E"/>
    <w:pPr>
      <w:spacing w:after="200" w:line="276" w:lineRule="auto"/>
    </w:pPr>
  </w:style>
  <w:style w:type="paragraph" w:styleId="berschrift1">
    <w:name w:val="heading 1"/>
    <w:basedOn w:val="Standard"/>
    <w:next w:val="Standard"/>
    <w:link w:val="berschrift1Zchn"/>
    <w:autoRedefine/>
    <w:uiPriority w:val="9"/>
    <w:qFormat/>
    <w:rsid w:val="0017765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77658"/>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77658"/>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77658"/>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77658"/>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776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0F046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F046E"/>
  </w:style>
  <w:style w:type="character" w:customStyle="1" w:styleId="berschrift1Zchn">
    <w:name w:val="Überschrift 1 Zchn"/>
    <w:basedOn w:val="Absatz-Standardschriftart"/>
    <w:link w:val="berschrift1"/>
    <w:uiPriority w:val="9"/>
    <w:rsid w:val="00177658"/>
    <w:rPr>
      <w:rFonts w:ascii="Calibri" w:eastAsiaTheme="majorEastAsia" w:hAnsi="Calibri" w:cstheme="majorBidi"/>
      <w:b/>
      <w:sz w:val="32"/>
      <w:szCs w:val="32"/>
    </w:rPr>
  </w:style>
  <w:style w:type="paragraph" w:styleId="Kopfzeile">
    <w:name w:val="header"/>
    <w:basedOn w:val="Standard"/>
    <w:link w:val="KopfzeileZchn"/>
    <w:uiPriority w:val="99"/>
    <w:unhideWhenUsed/>
    <w:rsid w:val="00177658"/>
    <w:pPr>
      <w:tabs>
        <w:tab w:val="left" w:pos="425"/>
      </w:tabs>
      <w:spacing w:after="0" w:line="240" w:lineRule="auto"/>
    </w:pPr>
  </w:style>
  <w:style w:type="character" w:customStyle="1" w:styleId="KopfzeileZchn">
    <w:name w:val="Kopfzeile Zchn"/>
    <w:basedOn w:val="Absatz-Standardschriftart"/>
    <w:link w:val="Kopfzeile"/>
    <w:uiPriority w:val="99"/>
    <w:rsid w:val="00177658"/>
  </w:style>
  <w:style w:type="paragraph" w:styleId="Fuzeile">
    <w:name w:val="footer"/>
    <w:basedOn w:val="Standard"/>
    <w:link w:val="FuzeileZchn"/>
    <w:uiPriority w:val="99"/>
    <w:unhideWhenUsed/>
    <w:rsid w:val="0017765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77658"/>
    <w:rPr>
      <w:rFonts w:ascii="Palatino Linotype" w:hAnsi="Palatino Linotype"/>
      <w:smallCaps/>
      <w:sz w:val="18"/>
    </w:rPr>
  </w:style>
  <w:style w:type="character" w:customStyle="1" w:styleId="berschrift2Zchn">
    <w:name w:val="Überschrift 2 Zchn"/>
    <w:basedOn w:val="Absatz-Standardschriftart"/>
    <w:link w:val="berschrift2"/>
    <w:uiPriority w:val="9"/>
    <w:rsid w:val="00177658"/>
    <w:rPr>
      <w:rFonts w:ascii="Calibri" w:eastAsiaTheme="majorEastAsia" w:hAnsi="Calibri" w:cstheme="majorBidi"/>
      <w:b/>
      <w:sz w:val="24"/>
      <w:szCs w:val="26"/>
    </w:rPr>
  </w:style>
  <w:style w:type="character" w:customStyle="1" w:styleId="fett">
    <w:name w:val="_fett"/>
    <w:basedOn w:val="Absatz-Standardschriftart"/>
    <w:uiPriority w:val="1"/>
    <w:qFormat/>
    <w:rsid w:val="00177658"/>
    <w:rPr>
      <w:rFonts w:ascii="Palatino Linotype" w:hAnsi="Palatino Linotype"/>
      <w:b/>
      <w:sz w:val="18"/>
    </w:rPr>
  </w:style>
  <w:style w:type="character" w:customStyle="1" w:styleId="berschrift3Zchn">
    <w:name w:val="Überschrift 3 Zchn"/>
    <w:basedOn w:val="Absatz-Standardschriftart"/>
    <w:link w:val="berschrift3"/>
    <w:uiPriority w:val="9"/>
    <w:rsid w:val="0017765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7765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77658"/>
    <w:rPr>
      <w:rFonts w:ascii="Calibri" w:eastAsiaTheme="majorEastAsia" w:hAnsi="Calibri" w:cstheme="majorBidi"/>
      <w:sz w:val="18"/>
    </w:rPr>
  </w:style>
  <w:style w:type="paragraph" w:customStyle="1" w:styleId="Text">
    <w:name w:val="Text"/>
    <w:basedOn w:val="Standard"/>
    <w:next w:val="Randziffer"/>
    <w:autoRedefine/>
    <w:qFormat/>
    <w:rsid w:val="0017765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7765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77658"/>
    <w:rPr>
      <w:rFonts w:ascii="Palatino Linotype" w:hAnsi="Palatino Linotype"/>
      <w:sz w:val="16"/>
      <w:szCs w:val="20"/>
    </w:rPr>
  </w:style>
  <w:style w:type="character" w:styleId="Funotenzeichen">
    <w:name w:val="footnote reference"/>
    <w:basedOn w:val="Absatz-Standardschriftart"/>
    <w:uiPriority w:val="99"/>
    <w:semiHidden/>
    <w:unhideWhenUsed/>
    <w:rsid w:val="00177658"/>
    <w:rPr>
      <w:vertAlign w:val="superscript"/>
    </w:rPr>
  </w:style>
  <w:style w:type="character" w:customStyle="1" w:styleId="kursiv">
    <w:name w:val="_kursiv"/>
    <w:basedOn w:val="Absatz-Standardschriftart"/>
    <w:uiPriority w:val="1"/>
    <w:qFormat/>
    <w:rsid w:val="00177658"/>
    <w:rPr>
      <w:rFonts w:ascii="Palatino Linotype" w:hAnsi="Palatino Linotype"/>
      <w:i/>
      <w:sz w:val="18"/>
    </w:rPr>
  </w:style>
  <w:style w:type="paragraph" w:customStyle="1" w:styleId="Liste">
    <w:name w:val="Liste –"/>
    <w:basedOn w:val="Text"/>
    <w:qFormat/>
    <w:rsid w:val="00177658"/>
    <w:pPr>
      <w:numPr>
        <w:numId w:val="17"/>
      </w:numPr>
      <w:spacing w:before="60" w:after="60"/>
      <w:ind w:left="284" w:hanging="284"/>
      <w:contextualSpacing/>
    </w:pPr>
  </w:style>
  <w:style w:type="paragraph" w:customStyle="1" w:styleId="Listei">
    <w:name w:val="Liste i)"/>
    <w:basedOn w:val="Liste"/>
    <w:qFormat/>
    <w:rsid w:val="00177658"/>
    <w:pPr>
      <w:numPr>
        <w:numId w:val="18"/>
      </w:numPr>
      <w:ind w:left="568" w:hanging="284"/>
    </w:pPr>
  </w:style>
  <w:style w:type="character" w:styleId="Platzhaltertext">
    <w:name w:val="Placeholder Text"/>
    <w:basedOn w:val="Absatz-Standardschriftart"/>
    <w:uiPriority w:val="99"/>
    <w:semiHidden/>
    <w:rsid w:val="00177658"/>
    <w:rPr>
      <w:color w:val="808080"/>
    </w:rPr>
  </w:style>
  <w:style w:type="character" w:customStyle="1" w:styleId="fettMuster">
    <w:name w:val="_fett_Muster"/>
    <w:basedOn w:val="fett"/>
    <w:uiPriority w:val="1"/>
    <w:qFormat/>
    <w:rsid w:val="00177658"/>
    <w:rPr>
      <w:rFonts w:ascii="Calibri" w:hAnsi="Calibri"/>
      <w:b/>
      <w:sz w:val="18"/>
    </w:rPr>
  </w:style>
  <w:style w:type="paragraph" w:customStyle="1" w:styleId="BoxKopf">
    <w:name w:val="Box_Kopf"/>
    <w:basedOn w:val="Standard"/>
    <w:next w:val="RandzifferMuster"/>
    <w:autoRedefine/>
    <w:qFormat/>
    <w:rsid w:val="00175951"/>
    <w:pPr>
      <w:spacing w:after="0" w:line="240" w:lineRule="auto"/>
      <w:jc w:val="both"/>
    </w:pPr>
    <w:rPr>
      <w:rFonts w:ascii="Tahoma" w:hAnsi="Tahoma"/>
      <w:sz w:val="18"/>
    </w:rPr>
  </w:style>
  <w:style w:type="paragraph" w:customStyle="1" w:styleId="Mustertext">
    <w:name w:val="Mustertext"/>
    <w:basedOn w:val="Standard"/>
    <w:autoRedefine/>
    <w:qFormat/>
    <w:rsid w:val="0017595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75951"/>
  </w:style>
  <w:style w:type="paragraph" w:customStyle="1" w:styleId="Mustertextklein">
    <w:name w:val="Mustertext_klein"/>
    <w:basedOn w:val="Mustertext"/>
    <w:autoRedefine/>
    <w:qFormat/>
    <w:rsid w:val="00177658"/>
    <w:pPr>
      <w:tabs>
        <w:tab w:val="clear" w:pos="284"/>
      </w:tabs>
      <w:spacing w:before="120"/>
      <w:ind w:left="567" w:hanging="567"/>
    </w:pPr>
    <w:rPr>
      <w:i/>
      <w:sz w:val="16"/>
      <w:szCs w:val="16"/>
    </w:rPr>
  </w:style>
  <w:style w:type="paragraph" w:customStyle="1" w:styleId="MustertextEinzug">
    <w:name w:val="Mustertext_Einzug"/>
    <w:basedOn w:val="Mustertext"/>
    <w:next w:val="Mustertext"/>
    <w:autoRedefine/>
    <w:qFormat/>
    <w:rsid w:val="00EF6BDE"/>
    <w:pPr>
      <w:ind w:left="567" w:hanging="567"/>
    </w:pPr>
    <w:rPr>
      <w:i/>
    </w:rPr>
  </w:style>
  <w:style w:type="paragraph" w:customStyle="1" w:styleId="Autor">
    <w:name w:val="Autor"/>
    <w:basedOn w:val="Standard"/>
    <w:next w:val="Standard"/>
    <w:autoRedefine/>
    <w:qFormat/>
    <w:rsid w:val="00177658"/>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7765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77658"/>
    <w:rPr>
      <w:rFonts w:ascii="Palatino Linotype" w:hAnsi="Palatino Linotype"/>
      <w:i w:val="0"/>
      <w:caps w:val="0"/>
      <w:smallCaps/>
      <w:sz w:val="18"/>
    </w:rPr>
  </w:style>
  <w:style w:type="character" w:customStyle="1" w:styleId="kursivMuster">
    <w:name w:val="_kursiv_Muster"/>
    <w:basedOn w:val="fettMuster"/>
    <w:uiPriority w:val="1"/>
    <w:qFormat/>
    <w:rsid w:val="00177658"/>
    <w:rPr>
      <w:rFonts w:ascii="Calibri" w:hAnsi="Calibri"/>
      <w:b w:val="0"/>
      <w:i/>
      <w:sz w:val="18"/>
    </w:rPr>
  </w:style>
  <w:style w:type="character" w:customStyle="1" w:styleId="kapitlchenMuster">
    <w:name w:val="_kapitälchen_Muster"/>
    <w:basedOn w:val="fettMuster"/>
    <w:uiPriority w:val="1"/>
    <w:qFormat/>
    <w:rsid w:val="00177658"/>
    <w:rPr>
      <w:rFonts w:ascii="Calibri" w:hAnsi="Calibri"/>
      <w:b w:val="0"/>
      <w:caps w:val="0"/>
      <w:smallCaps/>
      <w:sz w:val="18"/>
    </w:rPr>
  </w:style>
  <w:style w:type="character" w:customStyle="1" w:styleId="berschrift6Zchn">
    <w:name w:val="Überschrift 6 Zchn"/>
    <w:basedOn w:val="Absatz-Standardschriftart"/>
    <w:link w:val="berschrift6"/>
    <w:uiPriority w:val="9"/>
    <w:rsid w:val="0017765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77658"/>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77658"/>
    <w:pPr>
      <w:framePr w:hSpace="198" w:wrap="around" w:y="-283"/>
      <w:jc w:val="left"/>
    </w:pPr>
  </w:style>
  <w:style w:type="paragraph" w:customStyle="1" w:styleId="MustertextListe0">
    <w:name w:val="Mustertext_Liste"/>
    <w:basedOn w:val="Standard"/>
    <w:autoRedefine/>
    <w:qFormat/>
    <w:rsid w:val="00175951"/>
    <w:pPr>
      <w:numPr>
        <w:ilvl w:val="1"/>
        <w:numId w:val="4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Kommentarzeichen">
    <w:name w:val="annotation reference"/>
    <w:basedOn w:val="Absatz-Standardschriftart"/>
    <w:uiPriority w:val="99"/>
    <w:semiHidden/>
    <w:unhideWhenUsed/>
    <w:rsid w:val="0058599F"/>
    <w:rPr>
      <w:sz w:val="16"/>
      <w:szCs w:val="16"/>
    </w:rPr>
  </w:style>
  <w:style w:type="paragraph" w:styleId="Kommentartext">
    <w:name w:val="annotation text"/>
    <w:basedOn w:val="Standard"/>
    <w:link w:val="KommentartextZchn"/>
    <w:uiPriority w:val="99"/>
    <w:semiHidden/>
    <w:unhideWhenUsed/>
    <w:rsid w:val="0058599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99F"/>
    <w:rPr>
      <w:sz w:val="20"/>
      <w:szCs w:val="20"/>
    </w:rPr>
  </w:style>
  <w:style w:type="paragraph" w:styleId="Kommentarthema">
    <w:name w:val="annotation subject"/>
    <w:basedOn w:val="Kommentartext"/>
    <w:next w:val="Kommentartext"/>
    <w:link w:val="KommentarthemaZchn"/>
    <w:uiPriority w:val="99"/>
    <w:semiHidden/>
    <w:unhideWhenUsed/>
    <w:rsid w:val="0058599F"/>
    <w:rPr>
      <w:b/>
      <w:bCs/>
    </w:rPr>
  </w:style>
  <w:style w:type="character" w:customStyle="1" w:styleId="KommentarthemaZchn">
    <w:name w:val="Kommentarthema Zchn"/>
    <w:basedOn w:val="KommentartextZchn"/>
    <w:link w:val="Kommentarthema"/>
    <w:uiPriority w:val="99"/>
    <w:semiHidden/>
    <w:rsid w:val="0058599F"/>
    <w:rPr>
      <w:b/>
      <w:bCs/>
      <w:sz w:val="20"/>
      <w:szCs w:val="20"/>
    </w:rPr>
  </w:style>
  <w:style w:type="paragraph" w:customStyle="1" w:styleId="MustertextListeI">
    <w:name w:val="Mustertext_Liste_I"/>
    <w:basedOn w:val="MustertextListe0"/>
    <w:qFormat/>
    <w:rsid w:val="00177658"/>
    <w:pPr>
      <w:numPr>
        <w:ilvl w:val="0"/>
      </w:numPr>
    </w:pPr>
  </w:style>
  <w:style w:type="paragraph" w:customStyle="1" w:styleId="MustertextListea">
    <w:name w:val="Mustertext_Liste_a"/>
    <w:basedOn w:val="MustertextListeI"/>
    <w:autoRedefine/>
    <w:qFormat/>
    <w:rsid w:val="00177658"/>
    <w:pPr>
      <w:numPr>
        <w:ilvl w:val="2"/>
      </w:numPr>
      <w:tabs>
        <w:tab w:val="clear" w:pos="567"/>
      </w:tabs>
    </w:pPr>
  </w:style>
  <w:style w:type="paragraph" w:customStyle="1" w:styleId="MustertextListe">
    <w:name w:val="Mustertext_Liste –"/>
    <w:basedOn w:val="MustertextListe0"/>
    <w:autoRedefine/>
    <w:qFormat/>
    <w:rsid w:val="00177658"/>
    <w:pPr>
      <w:numPr>
        <w:ilvl w:val="0"/>
        <w:numId w:val="47"/>
      </w:numPr>
      <w:ind w:left="284" w:hanging="284"/>
    </w:pPr>
  </w:style>
  <w:style w:type="paragraph" w:customStyle="1" w:styleId="MustertextBO">
    <w:name w:val="Mustertext_BO"/>
    <w:basedOn w:val="Mustertext"/>
    <w:autoRedefine/>
    <w:qFormat/>
    <w:rsid w:val="00177658"/>
    <w:pPr>
      <w:tabs>
        <w:tab w:val="clear" w:pos="284"/>
      </w:tabs>
      <w:spacing w:after="0"/>
      <w:ind w:left="907" w:hanging="907"/>
    </w:pPr>
  </w:style>
  <w:style w:type="paragraph" w:customStyle="1" w:styleId="MustertextTitel">
    <w:name w:val="Mustertext_Titel"/>
    <w:basedOn w:val="Mustertext"/>
    <w:autoRedefine/>
    <w:qFormat/>
    <w:rsid w:val="00185624"/>
    <w:pPr>
      <w:spacing w:before="120"/>
    </w:pPr>
  </w:style>
  <w:style w:type="paragraph" w:customStyle="1" w:styleId="MustertextTitelEbene1">
    <w:name w:val="Mustertext_Titel_Ebene_1"/>
    <w:basedOn w:val="Mustertext"/>
    <w:autoRedefine/>
    <w:qFormat/>
    <w:rsid w:val="00177658"/>
    <w:pPr>
      <w:spacing w:before="120"/>
      <w:contextualSpacing/>
    </w:pPr>
    <w:rPr>
      <w:b/>
    </w:rPr>
  </w:style>
  <w:style w:type="paragraph" w:customStyle="1" w:styleId="MustertextTitelEbene5">
    <w:name w:val="Mustertext_Titel_Ebene_5"/>
    <w:basedOn w:val="MustertextTitelEbene1"/>
    <w:next w:val="Mustertext"/>
    <w:autoRedefine/>
    <w:qFormat/>
    <w:rsid w:val="00177658"/>
    <w:rPr>
      <w:b w:val="0"/>
    </w:rPr>
  </w:style>
  <w:style w:type="paragraph" w:customStyle="1" w:styleId="MustertextTitelEbene2">
    <w:name w:val="Mustertext_Titel_Ebene_2"/>
    <w:basedOn w:val="MustertextTitelEbene1"/>
    <w:next w:val="Mustertext"/>
    <w:autoRedefine/>
    <w:qFormat/>
    <w:rsid w:val="00177658"/>
  </w:style>
  <w:style w:type="paragraph" w:customStyle="1" w:styleId="MustertextTitelEbene3">
    <w:name w:val="Mustertext_Titel_Ebene_3"/>
    <w:basedOn w:val="MustertextTitelEbene1"/>
    <w:next w:val="Mustertext"/>
    <w:qFormat/>
    <w:rsid w:val="00177658"/>
  </w:style>
  <w:style w:type="paragraph" w:customStyle="1" w:styleId="MustertextTitelEbene4">
    <w:name w:val="Mustertext_Titel_Ebene_4"/>
    <w:basedOn w:val="MustertextTitelEbene1"/>
    <w:next w:val="Mustertext"/>
    <w:qFormat/>
    <w:rsid w:val="001776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046E"/>
    <w:pPr>
      <w:spacing w:after="200" w:line="276" w:lineRule="auto"/>
    </w:pPr>
  </w:style>
  <w:style w:type="paragraph" w:styleId="berschrift1">
    <w:name w:val="heading 1"/>
    <w:basedOn w:val="Standard"/>
    <w:next w:val="Standard"/>
    <w:link w:val="berschrift1Zchn"/>
    <w:autoRedefine/>
    <w:uiPriority w:val="9"/>
    <w:qFormat/>
    <w:rsid w:val="0017765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77658"/>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77658"/>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77658"/>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77658"/>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776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0F046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F046E"/>
  </w:style>
  <w:style w:type="character" w:customStyle="1" w:styleId="berschrift1Zchn">
    <w:name w:val="Überschrift 1 Zchn"/>
    <w:basedOn w:val="Absatz-Standardschriftart"/>
    <w:link w:val="berschrift1"/>
    <w:uiPriority w:val="9"/>
    <w:rsid w:val="00177658"/>
    <w:rPr>
      <w:rFonts w:ascii="Calibri" w:eastAsiaTheme="majorEastAsia" w:hAnsi="Calibri" w:cstheme="majorBidi"/>
      <w:b/>
      <w:sz w:val="32"/>
      <w:szCs w:val="32"/>
    </w:rPr>
  </w:style>
  <w:style w:type="paragraph" w:styleId="Kopfzeile">
    <w:name w:val="header"/>
    <w:basedOn w:val="Standard"/>
    <w:link w:val="KopfzeileZchn"/>
    <w:uiPriority w:val="99"/>
    <w:unhideWhenUsed/>
    <w:rsid w:val="00177658"/>
    <w:pPr>
      <w:tabs>
        <w:tab w:val="left" w:pos="425"/>
      </w:tabs>
      <w:spacing w:after="0" w:line="240" w:lineRule="auto"/>
    </w:pPr>
  </w:style>
  <w:style w:type="character" w:customStyle="1" w:styleId="KopfzeileZchn">
    <w:name w:val="Kopfzeile Zchn"/>
    <w:basedOn w:val="Absatz-Standardschriftart"/>
    <w:link w:val="Kopfzeile"/>
    <w:uiPriority w:val="99"/>
    <w:rsid w:val="00177658"/>
  </w:style>
  <w:style w:type="paragraph" w:styleId="Fuzeile">
    <w:name w:val="footer"/>
    <w:basedOn w:val="Standard"/>
    <w:link w:val="FuzeileZchn"/>
    <w:uiPriority w:val="99"/>
    <w:unhideWhenUsed/>
    <w:rsid w:val="0017765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77658"/>
    <w:rPr>
      <w:rFonts w:ascii="Palatino Linotype" w:hAnsi="Palatino Linotype"/>
      <w:smallCaps/>
      <w:sz w:val="18"/>
    </w:rPr>
  </w:style>
  <w:style w:type="character" w:customStyle="1" w:styleId="berschrift2Zchn">
    <w:name w:val="Überschrift 2 Zchn"/>
    <w:basedOn w:val="Absatz-Standardschriftart"/>
    <w:link w:val="berschrift2"/>
    <w:uiPriority w:val="9"/>
    <w:rsid w:val="00177658"/>
    <w:rPr>
      <w:rFonts w:ascii="Calibri" w:eastAsiaTheme="majorEastAsia" w:hAnsi="Calibri" w:cstheme="majorBidi"/>
      <w:b/>
      <w:sz w:val="24"/>
      <w:szCs w:val="26"/>
    </w:rPr>
  </w:style>
  <w:style w:type="character" w:customStyle="1" w:styleId="fett">
    <w:name w:val="_fett"/>
    <w:basedOn w:val="Absatz-Standardschriftart"/>
    <w:uiPriority w:val="1"/>
    <w:qFormat/>
    <w:rsid w:val="00177658"/>
    <w:rPr>
      <w:rFonts w:ascii="Palatino Linotype" w:hAnsi="Palatino Linotype"/>
      <w:b/>
      <w:sz w:val="18"/>
    </w:rPr>
  </w:style>
  <w:style w:type="character" w:customStyle="1" w:styleId="berschrift3Zchn">
    <w:name w:val="Überschrift 3 Zchn"/>
    <w:basedOn w:val="Absatz-Standardschriftart"/>
    <w:link w:val="berschrift3"/>
    <w:uiPriority w:val="9"/>
    <w:rsid w:val="0017765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7765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77658"/>
    <w:rPr>
      <w:rFonts w:ascii="Calibri" w:eastAsiaTheme="majorEastAsia" w:hAnsi="Calibri" w:cstheme="majorBidi"/>
      <w:sz w:val="18"/>
    </w:rPr>
  </w:style>
  <w:style w:type="paragraph" w:customStyle="1" w:styleId="Text">
    <w:name w:val="Text"/>
    <w:basedOn w:val="Standard"/>
    <w:next w:val="Randziffer"/>
    <w:autoRedefine/>
    <w:qFormat/>
    <w:rsid w:val="0017765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7765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77658"/>
    <w:rPr>
      <w:rFonts w:ascii="Palatino Linotype" w:hAnsi="Palatino Linotype"/>
      <w:sz w:val="16"/>
      <w:szCs w:val="20"/>
    </w:rPr>
  </w:style>
  <w:style w:type="character" w:styleId="Funotenzeichen">
    <w:name w:val="footnote reference"/>
    <w:basedOn w:val="Absatz-Standardschriftart"/>
    <w:uiPriority w:val="99"/>
    <w:semiHidden/>
    <w:unhideWhenUsed/>
    <w:rsid w:val="00177658"/>
    <w:rPr>
      <w:vertAlign w:val="superscript"/>
    </w:rPr>
  </w:style>
  <w:style w:type="character" w:customStyle="1" w:styleId="kursiv">
    <w:name w:val="_kursiv"/>
    <w:basedOn w:val="Absatz-Standardschriftart"/>
    <w:uiPriority w:val="1"/>
    <w:qFormat/>
    <w:rsid w:val="00177658"/>
    <w:rPr>
      <w:rFonts w:ascii="Palatino Linotype" w:hAnsi="Palatino Linotype"/>
      <w:i/>
      <w:sz w:val="18"/>
    </w:rPr>
  </w:style>
  <w:style w:type="paragraph" w:customStyle="1" w:styleId="Liste">
    <w:name w:val="Liste –"/>
    <w:basedOn w:val="Text"/>
    <w:qFormat/>
    <w:rsid w:val="00177658"/>
    <w:pPr>
      <w:numPr>
        <w:numId w:val="17"/>
      </w:numPr>
      <w:spacing w:before="60" w:after="60"/>
      <w:ind w:left="284" w:hanging="284"/>
      <w:contextualSpacing/>
    </w:pPr>
  </w:style>
  <w:style w:type="paragraph" w:customStyle="1" w:styleId="Listei">
    <w:name w:val="Liste i)"/>
    <w:basedOn w:val="Liste"/>
    <w:qFormat/>
    <w:rsid w:val="00177658"/>
    <w:pPr>
      <w:numPr>
        <w:numId w:val="18"/>
      </w:numPr>
      <w:ind w:left="568" w:hanging="284"/>
    </w:pPr>
  </w:style>
  <w:style w:type="character" w:styleId="Platzhaltertext">
    <w:name w:val="Placeholder Text"/>
    <w:basedOn w:val="Absatz-Standardschriftart"/>
    <w:uiPriority w:val="99"/>
    <w:semiHidden/>
    <w:rsid w:val="00177658"/>
    <w:rPr>
      <w:color w:val="808080"/>
    </w:rPr>
  </w:style>
  <w:style w:type="character" w:customStyle="1" w:styleId="fettMuster">
    <w:name w:val="_fett_Muster"/>
    <w:basedOn w:val="fett"/>
    <w:uiPriority w:val="1"/>
    <w:qFormat/>
    <w:rsid w:val="00177658"/>
    <w:rPr>
      <w:rFonts w:ascii="Calibri" w:hAnsi="Calibri"/>
      <w:b/>
      <w:sz w:val="18"/>
    </w:rPr>
  </w:style>
  <w:style w:type="paragraph" w:customStyle="1" w:styleId="BoxKopf">
    <w:name w:val="Box_Kopf"/>
    <w:basedOn w:val="Standard"/>
    <w:next w:val="RandzifferMuster"/>
    <w:autoRedefine/>
    <w:qFormat/>
    <w:rsid w:val="00175951"/>
    <w:pPr>
      <w:spacing w:after="0" w:line="240" w:lineRule="auto"/>
      <w:jc w:val="both"/>
    </w:pPr>
    <w:rPr>
      <w:rFonts w:ascii="Tahoma" w:hAnsi="Tahoma"/>
      <w:sz w:val="18"/>
    </w:rPr>
  </w:style>
  <w:style w:type="paragraph" w:customStyle="1" w:styleId="Mustertext">
    <w:name w:val="Mustertext"/>
    <w:basedOn w:val="Standard"/>
    <w:autoRedefine/>
    <w:qFormat/>
    <w:rsid w:val="00175951"/>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175951"/>
  </w:style>
  <w:style w:type="paragraph" w:customStyle="1" w:styleId="Mustertextklein">
    <w:name w:val="Mustertext_klein"/>
    <w:basedOn w:val="Mustertext"/>
    <w:autoRedefine/>
    <w:qFormat/>
    <w:rsid w:val="00177658"/>
    <w:pPr>
      <w:tabs>
        <w:tab w:val="clear" w:pos="284"/>
      </w:tabs>
      <w:spacing w:before="120"/>
      <w:ind w:left="567" w:hanging="567"/>
    </w:pPr>
    <w:rPr>
      <w:i/>
      <w:sz w:val="16"/>
      <w:szCs w:val="16"/>
    </w:rPr>
  </w:style>
  <w:style w:type="paragraph" w:customStyle="1" w:styleId="MustertextEinzug">
    <w:name w:val="Mustertext_Einzug"/>
    <w:basedOn w:val="Mustertext"/>
    <w:next w:val="Mustertext"/>
    <w:autoRedefine/>
    <w:qFormat/>
    <w:rsid w:val="00EF6BDE"/>
    <w:pPr>
      <w:ind w:left="567" w:hanging="567"/>
    </w:pPr>
    <w:rPr>
      <w:i/>
    </w:rPr>
  </w:style>
  <w:style w:type="paragraph" w:customStyle="1" w:styleId="Autor">
    <w:name w:val="Autor"/>
    <w:basedOn w:val="Standard"/>
    <w:next w:val="Standard"/>
    <w:autoRedefine/>
    <w:qFormat/>
    <w:rsid w:val="00177658"/>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7765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77658"/>
    <w:rPr>
      <w:rFonts w:ascii="Palatino Linotype" w:hAnsi="Palatino Linotype"/>
      <w:i w:val="0"/>
      <w:caps w:val="0"/>
      <w:smallCaps/>
      <w:sz w:val="18"/>
    </w:rPr>
  </w:style>
  <w:style w:type="character" w:customStyle="1" w:styleId="kursivMuster">
    <w:name w:val="_kursiv_Muster"/>
    <w:basedOn w:val="fettMuster"/>
    <w:uiPriority w:val="1"/>
    <w:qFormat/>
    <w:rsid w:val="00177658"/>
    <w:rPr>
      <w:rFonts w:ascii="Calibri" w:hAnsi="Calibri"/>
      <w:b w:val="0"/>
      <w:i/>
      <w:sz w:val="18"/>
    </w:rPr>
  </w:style>
  <w:style w:type="character" w:customStyle="1" w:styleId="kapitlchenMuster">
    <w:name w:val="_kapitälchen_Muster"/>
    <w:basedOn w:val="fettMuster"/>
    <w:uiPriority w:val="1"/>
    <w:qFormat/>
    <w:rsid w:val="00177658"/>
    <w:rPr>
      <w:rFonts w:ascii="Calibri" w:hAnsi="Calibri"/>
      <w:b w:val="0"/>
      <w:caps w:val="0"/>
      <w:smallCaps/>
      <w:sz w:val="18"/>
    </w:rPr>
  </w:style>
  <w:style w:type="character" w:customStyle="1" w:styleId="berschrift6Zchn">
    <w:name w:val="Überschrift 6 Zchn"/>
    <w:basedOn w:val="Absatz-Standardschriftart"/>
    <w:link w:val="berschrift6"/>
    <w:uiPriority w:val="9"/>
    <w:rsid w:val="0017765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77658"/>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77658"/>
    <w:pPr>
      <w:framePr w:hSpace="198" w:wrap="around" w:y="-283"/>
      <w:jc w:val="left"/>
    </w:pPr>
  </w:style>
  <w:style w:type="paragraph" w:customStyle="1" w:styleId="MustertextListe0">
    <w:name w:val="Mustertext_Liste"/>
    <w:basedOn w:val="Standard"/>
    <w:autoRedefine/>
    <w:qFormat/>
    <w:rsid w:val="00175951"/>
    <w:pPr>
      <w:numPr>
        <w:ilvl w:val="1"/>
        <w:numId w:val="4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Kommentarzeichen">
    <w:name w:val="annotation reference"/>
    <w:basedOn w:val="Absatz-Standardschriftart"/>
    <w:uiPriority w:val="99"/>
    <w:semiHidden/>
    <w:unhideWhenUsed/>
    <w:rsid w:val="0058599F"/>
    <w:rPr>
      <w:sz w:val="16"/>
      <w:szCs w:val="16"/>
    </w:rPr>
  </w:style>
  <w:style w:type="paragraph" w:styleId="Kommentartext">
    <w:name w:val="annotation text"/>
    <w:basedOn w:val="Standard"/>
    <w:link w:val="KommentartextZchn"/>
    <w:uiPriority w:val="99"/>
    <w:semiHidden/>
    <w:unhideWhenUsed/>
    <w:rsid w:val="0058599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99F"/>
    <w:rPr>
      <w:sz w:val="20"/>
      <w:szCs w:val="20"/>
    </w:rPr>
  </w:style>
  <w:style w:type="paragraph" w:styleId="Kommentarthema">
    <w:name w:val="annotation subject"/>
    <w:basedOn w:val="Kommentartext"/>
    <w:next w:val="Kommentartext"/>
    <w:link w:val="KommentarthemaZchn"/>
    <w:uiPriority w:val="99"/>
    <w:semiHidden/>
    <w:unhideWhenUsed/>
    <w:rsid w:val="0058599F"/>
    <w:rPr>
      <w:b/>
      <w:bCs/>
    </w:rPr>
  </w:style>
  <w:style w:type="character" w:customStyle="1" w:styleId="KommentarthemaZchn">
    <w:name w:val="Kommentarthema Zchn"/>
    <w:basedOn w:val="KommentartextZchn"/>
    <w:link w:val="Kommentarthema"/>
    <w:uiPriority w:val="99"/>
    <w:semiHidden/>
    <w:rsid w:val="0058599F"/>
    <w:rPr>
      <w:b/>
      <w:bCs/>
      <w:sz w:val="20"/>
      <w:szCs w:val="20"/>
    </w:rPr>
  </w:style>
  <w:style w:type="paragraph" w:customStyle="1" w:styleId="MustertextListeI">
    <w:name w:val="Mustertext_Liste_I"/>
    <w:basedOn w:val="MustertextListe0"/>
    <w:qFormat/>
    <w:rsid w:val="00177658"/>
    <w:pPr>
      <w:numPr>
        <w:ilvl w:val="0"/>
      </w:numPr>
    </w:pPr>
  </w:style>
  <w:style w:type="paragraph" w:customStyle="1" w:styleId="MustertextListea">
    <w:name w:val="Mustertext_Liste_a"/>
    <w:basedOn w:val="MustertextListeI"/>
    <w:autoRedefine/>
    <w:qFormat/>
    <w:rsid w:val="00177658"/>
    <w:pPr>
      <w:numPr>
        <w:ilvl w:val="2"/>
      </w:numPr>
      <w:tabs>
        <w:tab w:val="clear" w:pos="567"/>
      </w:tabs>
    </w:pPr>
  </w:style>
  <w:style w:type="paragraph" w:customStyle="1" w:styleId="MustertextListe">
    <w:name w:val="Mustertext_Liste –"/>
    <w:basedOn w:val="MustertextListe0"/>
    <w:autoRedefine/>
    <w:qFormat/>
    <w:rsid w:val="00177658"/>
    <w:pPr>
      <w:numPr>
        <w:ilvl w:val="0"/>
        <w:numId w:val="47"/>
      </w:numPr>
      <w:ind w:left="284" w:hanging="284"/>
    </w:pPr>
  </w:style>
  <w:style w:type="paragraph" w:customStyle="1" w:styleId="MustertextBO">
    <w:name w:val="Mustertext_BO"/>
    <w:basedOn w:val="Mustertext"/>
    <w:autoRedefine/>
    <w:qFormat/>
    <w:rsid w:val="00177658"/>
    <w:pPr>
      <w:tabs>
        <w:tab w:val="clear" w:pos="284"/>
      </w:tabs>
      <w:spacing w:after="0"/>
      <w:ind w:left="907" w:hanging="907"/>
    </w:pPr>
  </w:style>
  <w:style w:type="paragraph" w:customStyle="1" w:styleId="MustertextTitel">
    <w:name w:val="Mustertext_Titel"/>
    <w:basedOn w:val="Mustertext"/>
    <w:autoRedefine/>
    <w:qFormat/>
    <w:rsid w:val="00185624"/>
    <w:pPr>
      <w:spacing w:before="120"/>
    </w:pPr>
  </w:style>
  <w:style w:type="paragraph" w:customStyle="1" w:styleId="MustertextTitelEbene1">
    <w:name w:val="Mustertext_Titel_Ebene_1"/>
    <w:basedOn w:val="Mustertext"/>
    <w:autoRedefine/>
    <w:qFormat/>
    <w:rsid w:val="00177658"/>
    <w:pPr>
      <w:spacing w:before="120"/>
      <w:contextualSpacing/>
    </w:pPr>
    <w:rPr>
      <w:b/>
    </w:rPr>
  </w:style>
  <w:style w:type="paragraph" w:customStyle="1" w:styleId="MustertextTitelEbene5">
    <w:name w:val="Mustertext_Titel_Ebene_5"/>
    <w:basedOn w:val="MustertextTitelEbene1"/>
    <w:next w:val="Mustertext"/>
    <w:autoRedefine/>
    <w:qFormat/>
    <w:rsid w:val="00177658"/>
    <w:rPr>
      <w:b w:val="0"/>
    </w:rPr>
  </w:style>
  <w:style w:type="paragraph" w:customStyle="1" w:styleId="MustertextTitelEbene2">
    <w:name w:val="Mustertext_Titel_Ebene_2"/>
    <w:basedOn w:val="MustertextTitelEbene1"/>
    <w:next w:val="Mustertext"/>
    <w:autoRedefine/>
    <w:qFormat/>
    <w:rsid w:val="00177658"/>
  </w:style>
  <w:style w:type="paragraph" w:customStyle="1" w:styleId="MustertextTitelEbene3">
    <w:name w:val="Mustertext_Titel_Ebene_3"/>
    <w:basedOn w:val="MustertextTitelEbene1"/>
    <w:next w:val="Mustertext"/>
    <w:qFormat/>
    <w:rsid w:val="00177658"/>
  </w:style>
  <w:style w:type="paragraph" w:customStyle="1" w:styleId="MustertextTitelEbene4">
    <w:name w:val="Mustertext_Titel_Ebene_4"/>
    <w:basedOn w:val="MustertextTitelEbene1"/>
    <w:next w:val="Mustertext"/>
    <w:qFormat/>
    <w:rsid w:val="0017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067A4-76AF-4F56-B395-3593AE5A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5593</Words>
  <Characters>35236</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40748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8</cp:revision>
  <cp:lastPrinted>2016-07-20T06:25:00Z</cp:lastPrinted>
  <dcterms:created xsi:type="dcterms:W3CDTF">2016-07-15T07:27:00Z</dcterms:created>
  <dcterms:modified xsi:type="dcterms:W3CDTF">2016-07-26T06:17:00Z</dcterms:modified>
</cp:coreProperties>
</file>