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53" w:rsidRPr="00D74008" w:rsidRDefault="007C2153" w:rsidP="007C2153">
      <w:pPr>
        <w:pStyle w:val="Titel1-Vertrag"/>
        <w:outlineLvl w:val="0"/>
        <w:rPr>
          <w:rFonts w:cs="Arial"/>
        </w:rPr>
      </w:pPr>
      <w:r w:rsidRPr="00D74008">
        <w:rPr>
          <w:rFonts w:cs="Arial"/>
        </w:rPr>
        <w:t>Bürgschaftsvertrag (Solidarbürgschaft)</w:t>
      </w:r>
    </w:p>
    <w:p w:rsidR="007C2153" w:rsidRPr="00D74008" w:rsidRDefault="007C2153" w:rsidP="007C2153">
      <w:pPr>
        <w:pStyle w:val="Titel2"/>
      </w:pPr>
      <w:r w:rsidRPr="00D74008">
        <w:t>I.</w:t>
      </w:r>
      <w:r w:rsidRPr="00D74008">
        <w:tab/>
        <w:t>Vertragsparteien</w:t>
      </w:r>
    </w:p>
    <w:p w:rsidR="007C2153" w:rsidRPr="00D74008" w:rsidRDefault="007C2153" w:rsidP="00D74008">
      <w:pPr>
        <w:pStyle w:val="HaupttextEinz1"/>
        <w:tabs>
          <w:tab w:val="clear" w:pos="397"/>
          <w:tab w:val="clear" w:pos="454"/>
        </w:tabs>
        <w:ind w:left="709" w:hanging="709"/>
        <w:rPr>
          <w:lang w:val="de-CH"/>
        </w:rPr>
      </w:pPr>
      <w:r w:rsidRPr="00D74008">
        <w:rPr>
          <w:lang w:val="de-CH"/>
        </w:rPr>
        <w:t xml:space="preserve">Solidarbürge: Herr Adalbert Mutig, </w:t>
      </w:r>
      <w:proofErr w:type="spellStart"/>
      <w:r w:rsidRPr="00D74008">
        <w:rPr>
          <w:lang w:val="de-CH"/>
        </w:rPr>
        <w:t>Bleicheweg</w:t>
      </w:r>
      <w:proofErr w:type="spellEnd"/>
      <w:r w:rsidRPr="00D74008">
        <w:rPr>
          <w:lang w:val="de-CH"/>
        </w:rPr>
        <w:t>, 2500 Biel</w:t>
      </w:r>
    </w:p>
    <w:p w:rsidR="007C2153" w:rsidRPr="00D74008" w:rsidRDefault="007C2153" w:rsidP="00D74008">
      <w:pPr>
        <w:pStyle w:val="HaupttextEinz1"/>
        <w:tabs>
          <w:tab w:val="clear" w:pos="397"/>
          <w:tab w:val="clear" w:pos="454"/>
        </w:tabs>
        <w:ind w:left="709" w:hanging="709"/>
        <w:rPr>
          <w:lang w:val="de-CH"/>
        </w:rPr>
      </w:pPr>
      <w:r w:rsidRPr="00D74008">
        <w:rPr>
          <w:lang w:val="de-CH"/>
        </w:rPr>
        <w:t>Gläubigerin: Firma Finanz AG, City, 6300 Zug</w:t>
      </w:r>
    </w:p>
    <w:p w:rsidR="007C2153" w:rsidRPr="00D74008" w:rsidRDefault="007C2153" w:rsidP="00D74008">
      <w:pPr>
        <w:pStyle w:val="HaupttextEinz1"/>
        <w:tabs>
          <w:tab w:val="clear" w:pos="397"/>
          <w:tab w:val="clear" w:pos="454"/>
        </w:tabs>
        <w:ind w:left="709" w:hanging="709"/>
        <w:rPr>
          <w:lang w:val="de-CH"/>
        </w:rPr>
      </w:pPr>
      <w:r w:rsidRPr="00D74008">
        <w:rPr>
          <w:lang w:val="de-CH"/>
        </w:rPr>
        <w:t>Hauptschuldnerin: Firma Hammer AG, Bahnhofplatz, 7400 Arbon</w:t>
      </w:r>
    </w:p>
    <w:p w:rsidR="007C2153" w:rsidRPr="00D74008" w:rsidRDefault="007C2153" w:rsidP="007C2153">
      <w:pPr>
        <w:pStyle w:val="Titel2"/>
      </w:pPr>
      <w:r w:rsidRPr="00D74008">
        <w:t>II.</w:t>
      </w:r>
      <w:r w:rsidRPr="00D74008">
        <w:tab/>
        <w:t>Forderung der Hauptschuldner</w:t>
      </w:r>
    </w:p>
    <w:p w:rsidR="007C2153" w:rsidRPr="00D74008" w:rsidRDefault="007C2153" w:rsidP="00D74008">
      <w:pPr>
        <w:pStyle w:val="HaupttextEinz1"/>
        <w:numPr>
          <w:ilvl w:val="0"/>
          <w:numId w:val="13"/>
        </w:numPr>
        <w:tabs>
          <w:tab w:val="clear" w:pos="397"/>
          <w:tab w:val="clear" w:pos="454"/>
        </w:tabs>
        <w:ind w:left="709" w:hanging="709"/>
        <w:rPr>
          <w:lang w:val="de-CH"/>
        </w:rPr>
      </w:pPr>
      <w:r w:rsidRPr="00D74008">
        <w:rPr>
          <w:lang w:val="de-CH"/>
        </w:rPr>
        <w:t>Die Gläubigerin hat der Hauptschuldnerin zur Finanzierung und zum Aufbau ihrer Firma einen Kredit von CHF 25</w:t>
      </w:r>
      <w:r w:rsidR="00D74008" w:rsidRPr="00D74008">
        <w:rPr>
          <w:lang w:val="de-CH"/>
        </w:rPr>
        <w:t> </w:t>
      </w:r>
      <w:r w:rsidRPr="00D74008">
        <w:rPr>
          <w:lang w:val="de-CH"/>
        </w:rPr>
        <w:t>000</w:t>
      </w:r>
      <w:proofErr w:type="gramStart"/>
      <w:r w:rsidRPr="00D74008">
        <w:rPr>
          <w:lang w:val="de-CH"/>
        </w:rPr>
        <w:t>.–</w:t>
      </w:r>
      <w:proofErr w:type="gramEnd"/>
      <w:r w:rsidRPr="00D74008">
        <w:rPr>
          <w:lang w:val="de-CH"/>
        </w:rPr>
        <w:t xml:space="preserve"> gewährt.</w:t>
      </w:r>
    </w:p>
    <w:p w:rsidR="007C2153" w:rsidRPr="00D74008" w:rsidRDefault="007C2153" w:rsidP="00D74008">
      <w:pPr>
        <w:pStyle w:val="HaupttextEinz1"/>
        <w:tabs>
          <w:tab w:val="clear" w:pos="397"/>
          <w:tab w:val="clear" w:pos="454"/>
        </w:tabs>
        <w:ind w:left="709" w:hanging="709"/>
        <w:rPr>
          <w:lang w:val="de-CH"/>
        </w:rPr>
      </w:pPr>
      <w:r w:rsidRPr="00D74008">
        <w:rPr>
          <w:lang w:val="de-CH"/>
        </w:rPr>
        <w:t>Bezüglich der Einzelheiten wird auf den Kreditvertrag vom 1. Mai 20xx, welcher sämtlichen Parteien bekannt ist, verwiesen.</w:t>
      </w:r>
    </w:p>
    <w:p w:rsidR="007C2153" w:rsidRPr="00D74008" w:rsidRDefault="007C2153" w:rsidP="007C2153">
      <w:pPr>
        <w:pStyle w:val="Titel2"/>
      </w:pPr>
      <w:r w:rsidRPr="00D74008">
        <w:t>III.</w:t>
      </w:r>
      <w:r w:rsidRPr="00D74008">
        <w:tab/>
        <w:t>Solidarbürgschaftsverpflichtung</w:t>
      </w:r>
    </w:p>
    <w:p w:rsidR="007C2153" w:rsidRPr="00D74008" w:rsidRDefault="007C2153" w:rsidP="00D74008">
      <w:pPr>
        <w:pStyle w:val="HaupttextEinz1"/>
        <w:numPr>
          <w:ilvl w:val="0"/>
          <w:numId w:val="15"/>
        </w:numPr>
        <w:tabs>
          <w:tab w:val="clear" w:pos="397"/>
          <w:tab w:val="clear" w:pos="454"/>
        </w:tabs>
        <w:ind w:left="709" w:hanging="709"/>
        <w:rPr>
          <w:lang w:val="de-CH"/>
        </w:rPr>
      </w:pPr>
      <w:r w:rsidRPr="00D74008">
        <w:rPr>
          <w:lang w:val="de-CH"/>
        </w:rPr>
        <w:t>Zur Sicherstellung des vorerwähnten Kredites leistet hiermit der Solidarbürge eine Solida</w:t>
      </w:r>
      <w:r w:rsidRPr="00D74008">
        <w:rPr>
          <w:lang w:val="de-CH"/>
        </w:rPr>
        <w:t>r</w:t>
      </w:r>
      <w:r w:rsidRPr="00D74008">
        <w:rPr>
          <w:lang w:val="de-CH"/>
        </w:rPr>
        <w:t>bürgschaft zugunsten der Gläubigerin.</w:t>
      </w:r>
    </w:p>
    <w:p w:rsidR="007C2153" w:rsidRPr="00D74008" w:rsidRDefault="007C2153" w:rsidP="00D74008">
      <w:pPr>
        <w:pStyle w:val="HaupttextEinz1"/>
        <w:tabs>
          <w:tab w:val="clear" w:pos="397"/>
          <w:tab w:val="clear" w:pos="454"/>
        </w:tabs>
        <w:ind w:left="709" w:hanging="709"/>
        <w:rPr>
          <w:lang w:val="de-CH"/>
        </w:rPr>
      </w:pPr>
      <w:r w:rsidRPr="00D74008">
        <w:rPr>
          <w:lang w:val="de-CH"/>
        </w:rPr>
        <w:t>Die Solidarbürgschaft erstreckt sich auf den jeweiligen Betra</w:t>
      </w:r>
      <w:bookmarkStart w:id="0" w:name="_GoBack"/>
      <w:bookmarkEnd w:id="0"/>
      <w:r w:rsidRPr="00D74008">
        <w:rPr>
          <w:lang w:val="de-CH"/>
        </w:rPr>
        <w:t xml:space="preserve">g der Hauptschuld, zuzüglich der verfallenen sowie der laufenden Zinsen und Kosten bis zu einem Höchstbetrag von </w:t>
      </w:r>
      <w:r w:rsidRPr="00D74008">
        <w:rPr>
          <w:rStyle w:val="Hervorhebung"/>
          <w:rFonts w:ascii="Verdana" w:hAnsi="Verdana" w:cs="Arial"/>
          <w:sz w:val="20"/>
          <w:lang w:val="de-CH"/>
        </w:rPr>
        <w:t>CHF</w:t>
      </w:r>
      <w:r w:rsidR="00D74008">
        <w:rPr>
          <w:rStyle w:val="Hervorhebung"/>
          <w:rFonts w:ascii="Verdana" w:hAnsi="Verdana" w:cs="Arial"/>
          <w:sz w:val="20"/>
          <w:lang w:val="de-CH"/>
        </w:rPr>
        <w:t> </w:t>
      </w:r>
      <w:r w:rsidRPr="00D74008">
        <w:rPr>
          <w:rStyle w:val="Hervorhebung"/>
          <w:rFonts w:ascii="Verdana" w:hAnsi="Verdana" w:cs="Arial"/>
          <w:sz w:val="20"/>
          <w:lang w:val="de-CH"/>
        </w:rPr>
        <w:t>30</w:t>
      </w:r>
      <w:r w:rsidR="00D74008">
        <w:rPr>
          <w:rStyle w:val="Hervorhebung"/>
          <w:rFonts w:ascii="Verdana" w:hAnsi="Verdana" w:cs="Arial"/>
          <w:sz w:val="20"/>
          <w:lang w:val="de-CH"/>
        </w:rPr>
        <w:t> </w:t>
      </w:r>
      <w:r w:rsidRPr="00D74008">
        <w:rPr>
          <w:rStyle w:val="Hervorhebung"/>
          <w:rFonts w:ascii="Verdana" w:hAnsi="Verdana" w:cs="Arial"/>
          <w:sz w:val="20"/>
          <w:lang w:val="de-CH"/>
        </w:rPr>
        <w:t>000</w:t>
      </w:r>
      <w:r w:rsidRPr="00D74008">
        <w:rPr>
          <w:lang w:val="de-CH"/>
        </w:rPr>
        <w:t xml:space="preserve">.– (in Worten: Franken </w:t>
      </w:r>
      <w:proofErr w:type="spellStart"/>
      <w:r w:rsidRPr="00D74008">
        <w:rPr>
          <w:lang w:val="de-CH"/>
        </w:rPr>
        <w:t>dreissigtausend</w:t>
      </w:r>
      <w:proofErr w:type="spellEnd"/>
      <w:r w:rsidRPr="00D74008">
        <w:rPr>
          <w:lang w:val="de-CH"/>
        </w:rPr>
        <w:t>).</w:t>
      </w:r>
    </w:p>
    <w:p w:rsidR="007C2153" w:rsidRPr="00D74008" w:rsidRDefault="007C2153" w:rsidP="00D74008">
      <w:pPr>
        <w:pStyle w:val="HaupttextEinz1"/>
        <w:tabs>
          <w:tab w:val="clear" w:pos="397"/>
          <w:tab w:val="clear" w:pos="454"/>
        </w:tabs>
        <w:ind w:left="709" w:hanging="709"/>
        <w:rPr>
          <w:lang w:val="de-CH"/>
        </w:rPr>
      </w:pPr>
      <w:r w:rsidRPr="00D74008">
        <w:rPr>
          <w:lang w:val="de-CH"/>
        </w:rPr>
        <w:t xml:space="preserve">Die Verringerung des Haftungsbetrages im Sinne von </w:t>
      </w:r>
      <w:r w:rsidRPr="00D74008">
        <w:rPr>
          <w:rStyle w:val="Gesetz"/>
          <w:rFonts w:cs="Arial"/>
          <w:sz w:val="20"/>
          <w:lang w:val="de-CH"/>
        </w:rPr>
        <w:t xml:space="preserve">Art. 500 OR </w:t>
      </w:r>
      <w:r w:rsidRPr="00D74008">
        <w:rPr>
          <w:lang w:val="de-CH"/>
        </w:rPr>
        <w:t>wird wegbedungen. Eine Verminderung des Haftungsbetrages tritt auch dann nicht ein, wenn der verbürgte Kredit teilweise abbezahlt, jedoch durch neue Bezüge wiederum in Anspruch genommen wird.</w:t>
      </w:r>
    </w:p>
    <w:p w:rsidR="007C2153" w:rsidRPr="00D74008" w:rsidRDefault="007C2153" w:rsidP="00D74008">
      <w:pPr>
        <w:pStyle w:val="HaupttextEinz1"/>
        <w:tabs>
          <w:tab w:val="clear" w:pos="397"/>
          <w:tab w:val="clear" w:pos="454"/>
        </w:tabs>
        <w:ind w:left="709" w:hanging="709"/>
        <w:rPr>
          <w:lang w:val="de-CH"/>
        </w:rPr>
      </w:pPr>
      <w:r w:rsidRPr="00D74008">
        <w:rPr>
          <w:lang w:val="de-CH"/>
        </w:rPr>
        <w:t>Der Gläubigerin wird das Recht eingeräumt, den Solidarbürgen auch vor der Verwertung der für die verbürgte Schuld haftenden Pfandrechte zu belangen.</w:t>
      </w:r>
    </w:p>
    <w:p w:rsidR="007C2153" w:rsidRPr="00D74008" w:rsidRDefault="007C2153" w:rsidP="00D74008">
      <w:pPr>
        <w:pStyle w:val="HaupttextEinz1"/>
        <w:tabs>
          <w:tab w:val="clear" w:pos="397"/>
          <w:tab w:val="clear" w:pos="454"/>
        </w:tabs>
        <w:ind w:left="709" w:hanging="709"/>
        <w:rPr>
          <w:lang w:val="de-CH"/>
        </w:rPr>
      </w:pPr>
      <w:r w:rsidRPr="00D74008">
        <w:rPr>
          <w:lang w:val="de-CH"/>
        </w:rPr>
        <w:t>Der Bürge verzichtet auf die Einrede, sich auf Zahlungsbeschränkungen der ausländischen Gesetzgebung zu berufen, welche die Leistungspflicht des im Ausland wohnhaften Haup</w:t>
      </w:r>
      <w:r w:rsidRPr="00D74008">
        <w:rPr>
          <w:lang w:val="de-CH"/>
        </w:rPr>
        <w:t>t</w:t>
      </w:r>
      <w:r w:rsidRPr="00D74008">
        <w:rPr>
          <w:lang w:val="de-CH"/>
        </w:rPr>
        <w:t>schuldners behindern (Artikel 501 Absatz 4 OR).</w:t>
      </w:r>
    </w:p>
    <w:p w:rsidR="007C2153" w:rsidRPr="00D74008" w:rsidRDefault="007C2153" w:rsidP="00D74008">
      <w:pPr>
        <w:pStyle w:val="HaupttextEinz1"/>
        <w:tabs>
          <w:tab w:val="clear" w:pos="397"/>
          <w:tab w:val="clear" w:pos="454"/>
        </w:tabs>
        <w:ind w:left="709" w:hanging="709"/>
        <w:rPr>
          <w:lang w:val="de-CH"/>
        </w:rPr>
      </w:pPr>
      <w:r w:rsidRPr="00D74008">
        <w:rPr>
          <w:lang w:val="de-CH"/>
        </w:rPr>
        <w:t>Im Übrigen gelten die gesetzlichen Vorschriften, insbesondere bezüglich Einreden des Bü</w:t>
      </w:r>
      <w:r w:rsidRPr="00D74008">
        <w:rPr>
          <w:lang w:val="de-CH"/>
        </w:rPr>
        <w:t>r</w:t>
      </w:r>
      <w:r w:rsidRPr="00D74008">
        <w:rPr>
          <w:lang w:val="de-CH"/>
        </w:rPr>
        <w:t>gen und bezüglich Pflichten des Gläubigers.</w:t>
      </w:r>
    </w:p>
    <w:p w:rsidR="007C2153" w:rsidRPr="00D74008" w:rsidRDefault="00D74008" w:rsidP="007C2153">
      <w:pPr>
        <w:pStyle w:val="Titel2"/>
      </w:pPr>
      <w:r w:rsidRPr="00D74008">
        <w:t>IV.</w:t>
      </w:r>
      <w:r w:rsidRPr="00D74008">
        <w:tab/>
        <w:t>Verhältnis Bürge/</w:t>
      </w:r>
      <w:r w:rsidR="007C2153" w:rsidRPr="00D74008">
        <w:t>Hauptschuldner</w:t>
      </w:r>
    </w:p>
    <w:p w:rsidR="007C2153" w:rsidRPr="00D74008" w:rsidRDefault="007C2153" w:rsidP="007C2153">
      <w:pPr>
        <w:pStyle w:val="Haupttext"/>
        <w:rPr>
          <w:lang w:val="de-CH"/>
        </w:rPr>
      </w:pPr>
      <w:r w:rsidRPr="00D74008">
        <w:rPr>
          <w:lang w:val="de-CH"/>
        </w:rPr>
        <w:t>Für die Beziehungen und Verpflichtungen zwischen dem Bürgen und dem Hauptschuldner gilt die gesetzliche Regelung. Eine separate Vereinbarung bleibt vorbehalten. Die schriftliche Vereinbarung zwischen Bürge und Hauptschuldner wird diesem Vertrag beigelegt.</w:t>
      </w:r>
    </w:p>
    <w:p w:rsidR="007C2153" w:rsidRPr="00D74008" w:rsidRDefault="007C2153" w:rsidP="007C2153">
      <w:pPr>
        <w:pStyle w:val="Titel2"/>
      </w:pPr>
      <w:r w:rsidRPr="00D74008">
        <w:t>V.</w:t>
      </w:r>
      <w:r w:rsidRPr="00D74008">
        <w:tab/>
        <w:t>Verschiedene Bestimmungen</w:t>
      </w:r>
    </w:p>
    <w:p w:rsidR="007C2153" w:rsidRPr="00D74008" w:rsidRDefault="007C2153" w:rsidP="00D74008">
      <w:pPr>
        <w:pStyle w:val="HaupttextEinz1"/>
        <w:numPr>
          <w:ilvl w:val="0"/>
          <w:numId w:val="17"/>
        </w:numPr>
        <w:tabs>
          <w:tab w:val="clear" w:pos="397"/>
          <w:tab w:val="clear" w:pos="454"/>
        </w:tabs>
        <w:ind w:left="709" w:hanging="709"/>
        <w:rPr>
          <w:lang w:val="de-CH"/>
        </w:rPr>
      </w:pPr>
      <w:r w:rsidRPr="00D74008">
        <w:rPr>
          <w:lang w:val="de-CH"/>
        </w:rPr>
        <w:t>Diese Solidarbürgschaft gilt unbefristet. Bezüglich Beendigung gelten die gesetzlichen Vo</w:t>
      </w:r>
      <w:r w:rsidRPr="00D74008">
        <w:rPr>
          <w:lang w:val="de-CH"/>
        </w:rPr>
        <w:t>r</w:t>
      </w:r>
      <w:r w:rsidRPr="00D74008">
        <w:rPr>
          <w:lang w:val="de-CH"/>
        </w:rPr>
        <w:t>schriften.</w:t>
      </w:r>
    </w:p>
    <w:p w:rsidR="007C2153" w:rsidRPr="00D74008" w:rsidRDefault="007C2153" w:rsidP="00D74008">
      <w:pPr>
        <w:pStyle w:val="HaupttextEinz1"/>
        <w:tabs>
          <w:tab w:val="clear" w:pos="397"/>
          <w:tab w:val="clear" w:pos="454"/>
        </w:tabs>
        <w:ind w:left="709" w:hanging="709"/>
        <w:rPr>
          <w:lang w:val="de-CH"/>
        </w:rPr>
      </w:pPr>
      <w:r w:rsidRPr="00D74008">
        <w:rPr>
          <w:lang w:val="de-CH"/>
        </w:rPr>
        <w:lastRenderedPageBreak/>
        <w:t>Der Bürge verpflichtet sich, Änderungen seiner Adresse dem Gläubiger umgehend zu me</w:t>
      </w:r>
      <w:r w:rsidRPr="00D74008">
        <w:rPr>
          <w:lang w:val="de-CH"/>
        </w:rPr>
        <w:t>l</w:t>
      </w:r>
      <w:r w:rsidRPr="00D74008">
        <w:rPr>
          <w:lang w:val="de-CH"/>
        </w:rPr>
        <w:t>den.</w:t>
      </w:r>
    </w:p>
    <w:p w:rsidR="007C2153" w:rsidRPr="00D74008" w:rsidRDefault="007C2153" w:rsidP="00D74008">
      <w:pPr>
        <w:pStyle w:val="HaupttextEinz1"/>
        <w:tabs>
          <w:tab w:val="clear" w:pos="397"/>
          <w:tab w:val="clear" w:pos="454"/>
        </w:tabs>
        <w:ind w:left="709" w:hanging="709"/>
        <w:rPr>
          <w:lang w:val="de-CH"/>
        </w:rPr>
      </w:pPr>
      <w:r w:rsidRPr="00D74008">
        <w:rPr>
          <w:lang w:val="de-CH"/>
        </w:rPr>
        <w:t>Gerichtsstand/Erfüllungsort.</w:t>
      </w:r>
    </w:p>
    <w:p w:rsidR="00D74008" w:rsidRPr="00D74008" w:rsidRDefault="00D74008" w:rsidP="00D74008">
      <w:pPr>
        <w:pStyle w:val="HaupttextEinz1"/>
        <w:numPr>
          <w:ilvl w:val="0"/>
          <w:numId w:val="0"/>
        </w:numPr>
        <w:tabs>
          <w:tab w:val="clear" w:pos="397"/>
        </w:tabs>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7C2153" w:rsidRPr="00D74008" w:rsidTr="00D3083D">
        <w:trPr>
          <w:cantSplit/>
          <w:trHeight w:val="714"/>
          <w:tblHeader/>
        </w:trPr>
        <w:tc>
          <w:tcPr>
            <w:tcW w:w="4320" w:type="dxa"/>
            <w:shd w:val="clear" w:color="auto" w:fill="auto"/>
            <w:vAlign w:val="bottom"/>
          </w:tcPr>
          <w:p w:rsidR="007C2153" w:rsidRPr="00D74008" w:rsidRDefault="007C2153" w:rsidP="007C2153">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D74008">
              <w:rPr>
                <w:rFonts w:cs="Arial"/>
                <w:sz w:val="20"/>
                <w:lang w:val="de-CH"/>
              </w:rPr>
              <w:t>[Ort], Datum</w:t>
            </w:r>
          </w:p>
        </w:tc>
        <w:tc>
          <w:tcPr>
            <w:tcW w:w="454" w:type="dxa"/>
            <w:shd w:val="clear" w:color="auto" w:fill="auto"/>
            <w:vAlign w:val="bottom"/>
          </w:tcPr>
          <w:p w:rsidR="007C2153" w:rsidRPr="00D74008" w:rsidRDefault="007C2153" w:rsidP="007C2153">
            <w:pPr>
              <w:pStyle w:val="Haupttext"/>
              <w:rPr>
                <w:rFonts w:cs="Arial"/>
                <w:sz w:val="20"/>
                <w:lang w:val="de-CH"/>
              </w:rPr>
            </w:pPr>
          </w:p>
        </w:tc>
        <w:tc>
          <w:tcPr>
            <w:tcW w:w="4321" w:type="dxa"/>
            <w:shd w:val="clear" w:color="auto" w:fill="auto"/>
            <w:vAlign w:val="bottom"/>
          </w:tcPr>
          <w:p w:rsidR="007C2153" w:rsidRPr="00D74008" w:rsidRDefault="007C2153" w:rsidP="007C2153">
            <w:pPr>
              <w:pStyle w:val="Haupttext"/>
              <w:rPr>
                <w:rFonts w:cs="Arial"/>
                <w:sz w:val="20"/>
                <w:lang w:val="de-CH"/>
              </w:rPr>
            </w:pPr>
            <w:r w:rsidRPr="00D74008">
              <w:rPr>
                <w:rFonts w:cs="Arial"/>
                <w:sz w:val="20"/>
                <w:lang w:val="de-CH"/>
              </w:rPr>
              <w:t>[Ort], Datum</w:t>
            </w:r>
          </w:p>
        </w:tc>
      </w:tr>
      <w:tr w:rsidR="007C2153" w:rsidRPr="00D74008" w:rsidTr="00D3083D">
        <w:trPr>
          <w:trHeight w:val="714"/>
        </w:trPr>
        <w:tc>
          <w:tcPr>
            <w:tcW w:w="4320" w:type="dxa"/>
            <w:tcBorders>
              <w:bottom w:val="single" w:sz="4" w:space="0" w:color="auto"/>
            </w:tcBorders>
            <w:shd w:val="clear" w:color="auto" w:fill="auto"/>
          </w:tcPr>
          <w:p w:rsidR="007C2153" w:rsidRPr="00D74008" w:rsidRDefault="007C2153" w:rsidP="007C2153">
            <w:pPr>
              <w:pStyle w:val="Haupttext"/>
              <w:rPr>
                <w:rFonts w:cs="Arial"/>
                <w:sz w:val="20"/>
                <w:lang w:val="de-CH"/>
              </w:rPr>
            </w:pPr>
          </w:p>
        </w:tc>
        <w:tc>
          <w:tcPr>
            <w:tcW w:w="454" w:type="dxa"/>
            <w:shd w:val="clear" w:color="auto" w:fill="auto"/>
          </w:tcPr>
          <w:p w:rsidR="007C2153" w:rsidRPr="00D74008" w:rsidRDefault="007C2153" w:rsidP="007C2153">
            <w:pPr>
              <w:pStyle w:val="Haupttext"/>
              <w:rPr>
                <w:rFonts w:cs="Arial"/>
                <w:sz w:val="20"/>
                <w:lang w:val="de-CH"/>
              </w:rPr>
            </w:pPr>
          </w:p>
        </w:tc>
        <w:tc>
          <w:tcPr>
            <w:tcW w:w="4321" w:type="dxa"/>
            <w:tcBorders>
              <w:bottom w:val="single" w:sz="4" w:space="0" w:color="auto"/>
            </w:tcBorders>
            <w:shd w:val="clear" w:color="auto" w:fill="auto"/>
          </w:tcPr>
          <w:p w:rsidR="007C2153" w:rsidRPr="00D74008" w:rsidRDefault="007C2153" w:rsidP="007C2153">
            <w:pPr>
              <w:pStyle w:val="Haupttext"/>
              <w:rPr>
                <w:rFonts w:cs="Arial"/>
                <w:sz w:val="20"/>
                <w:lang w:val="de-CH"/>
              </w:rPr>
            </w:pPr>
          </w:p>
        </w:tc>
      </w:tr>
      <w:tr w:rsidR="007C2153" w:rsidRPr="00D74008" w:rsidTr="00D3083D">
        <w:trPr>
          <w:trHeight w:val="907"/>
        </w:trPr>
        <w:tc>
          <w:tcPr>
            <w:tcW w:w="4320" w:type="dxa"/>
            <w:tcBorders>
              <w:top w:val="single" w:sz="4" w:space="0" w:color="auto"/>
            </w:tcBorders>
            <w:shd w:val="clear" w:color="auto" w:fill="auto"/>
            <w:vAlign w:val="bottom"/>
          </w:tcPr>
          <w:p w:rsidR="007C2153" w:rsidRPr="00D74008" w:rsidRDefault="007C2153" w:rsidP="007C2153">
            <w:pPr>
              <w:pStyle w:val="Haupttext"/>
              <w:rPr>
                <w:rFonts w:cs="Arial"/>
                <w:sz w:val="20"/>
                <w:lang w:val="de-CH"/>
              </w:rPr>
            </w:pPr>
            <w:r w:rsidRPr="00D74008">
              <w:rPr>
                <w:rFonts w:cs="Arial"/>
                <w:sz w:val="20"/>
                <w:lang w:val="de-CH"/>
              </w:rPr>
              <w:t xml:space="preserve">Unterschrift </w:t>
            </w:r>
          </w:p>
        </w:tc>
        <w:tc>
          <w:tcPr>
            <w:tcW w:w="454" w:type="dxa"/>
            <w:shd w:val="clear" w:color="auto" w:fill="auto"/>
            <w:vAlign w:val="bottom"/>
          </w:tcPr>
          <w:p w:rsidR="007C2153" w:rsidRPr="00D74008" w:rsidRDefault="007C2153" w:rsidP="007C2153">
            <w:pPr>
              <w:pStyle w:val="Haupttext"/>
              <w:rPr>
                <w:rFonts w:cs="Arial"/>
                <w:sz w:val="20"/>
                <w:lang w:val="de-CH"/>
              </w:rPr>
            </w:pPr>
          </w:p>
        </w:tc>
        <w:tc>
          <w:tcPr>
            <w:tcW w:w="4321" w:type="dxa"/>
            <w:tcBorders>
              <w:top w:val="single" w:sz="4" w:space="0" w:color="auto"/>
            </w:tcBorders>
            <w:shd w:val="clear" w:color="auto" w:fill="auto"/>
            <w:vAlign w:val="bottom"/>
          </w:tcPr>
          <w:p w:rsidR="007C2153" w:rsidRPr="00D74008" w:rsidRDefault="007C2153" w:rsidP="007C2153">
            <w:pPr>
              <w:pStyle w:val="Haupttext"/>
              <w:rPr>
                <w:rFonts w:cs="Arial"/>
                <w:sz w:val="20"/>
                <w:lang w:val="de-CH"/>
              </w:rPr>
            </w:pPr>
            <w:r w:rsidRPr="00D74008">
              <w:rPr>
                <w:rFonts w:cs="Arial"/>
                <w:sz w:val="20"/>
                <w:lang w:val="de-CH"/>
              </w:rPr>
              <w:t xml:space="preserve">Unterschrift </w:t>
            </w:r>
          </w:p>
        </w:tc>
      </w:tr>
      <w:tr w:rsidR="007C2153" w:rsidRPr="00D74008" w:rsidTr="00D3083D">
        <w:trPr>
          <w:trHeight w:val="717"/>
        </w:trPr>
        <w:tc>
          <w:tcPr>
            <w:tcW w:w="4320" w:type="dxa"/>
            <w:tcBorders>
              <w:bottom w:val="single" w:sz="4" w:space="0" w:color="auto"/>
            </w:tcBorders>
            <w:shd w:val="clear" w:color="auto" w:fill="auto"/>
          </w:tcPr>
          <w:p w:rsidR="007C2153" w:rsidRPr="00D74008" w:rsidRDefault="007C2153" w:rsidP="007C2153">
            <w:pPr>
              <w:pStyle w:val="Haupttext"/>
              <w:rPr>
                <w:rFonts w:cs="Arial"/>
                <w:lang w:val="de-CH"/>
              </w:rPr>
            </w:pPr>
          </w:p>
        </w:tc>
        <w:tc>
          <w:tcPr>
            <w:tcW w:w="454" w:type="dxa"/>
            <w:shd w:val="clear" w:color="auto" w:fill="auto"/>
          </w:tcPr>
          <w:p w:rsidR="007C2153" w:rsidRPr="00D74008" w:rsidRDefault="007C2153" w:rsidP="007C2153">
            <w:pPr>
              <w:pStyle w:val="Haupttext"/>
              <w:rPr>
                <w:rFonts w:cs="Arial"/>
                <w:lang w:val="de-CH"/>
              </w:rPr>
            </w:pPr>
          </w:p>
        </w:tc>
        <w:tc>
          <w:tcPr>
            <w:tcW w:w="4321" w:type="dxa"/>
            <w:tcBorders>
              <w:bottom w:val="single" w:sz="4" w:space="0" w:color="auto"/>
            </w:tcBorders>
            <w:shd w:val="clear" w:color="auto" w:fill="auto"/>
          </w:tcPr>
          <w:p w:rsidR="007C2153" w:rsidRPr="00D74008" w:rsidRDefault="007C2153" w:rsidP="007C2153">
            <w:pPr>
              <w:pStyle w:val="Haupttext"/>
              <w:rPr>
                <w:rFonts w:cs="Arial"/>
                <w:lang w:val="de-CH"/>
              </w:rPr>
            </w:pPr>
          </w:p>
        </w:tc>
      </w:tr>
      <w:bookmarkEnd w:id="1"/>
      <w:bookmarkEnd w:id="2"/>
      <w:bookmarkEnd w:id="3"/>
      <w:bookmarkEnd w:id="4"/>
      <w:bookmarkEnd w:id="5"/>
      <w:bookmarkEnd w:id="6"/>
      <w:bookmarkEnd w:id="7"/>
      <w:bookmarkEnd w:id="8"/>
      <w:bookmarkEnd w:id="9"/>
      <w:bookmarkEnd w:id="10"/>
      <w:bookmarkEnd w:id="11"/>
      <w:bookmarkEnd w:id="12"/>
    </w:tbl>
    <w:p w:rsidR="007C2153" w:rsidRPr="00D74008" w:rsidRDefault="007C2153" w:rsidP="007C2153">
      <w:pPr>
        <w:pStyle w:val="Haupttext"/>
        <w:rPr>
          <w:rStyle w:val="Fett"/>
          <w:rFonts w:cs="Arial"/>
          <w:b w:val="0"/>
          <w:lang w:val="de-CH"/>
        </w:rPr>
      </w:pPr>
    </w:p>
    <w:p w:rsidR="00101179" w:rsidRPr="00D74008" w:rsidRDefault="00101179" w:rsidP="007C2153">
      <w:pPr>
        <w:rPr>
          <w:rFonts w:ascii="Verdana" w:hAnsi="Verdana"/>
        </w:rPr>
      </w:pPr>
    </w:p>
    <w:sectPr w:rsidR="00101179" w:rsidRPr="00D7400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D74008"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008">
      <w:rPr>
        <w:rFonts w:ascii="Verdana" w:hAnsi="Verdana"/>
        <w:noProof/>
        <w:snapToGrid w:val="0"/>
        <w:color w:val="999999"/>
        <w:sz w:val="16"/>
        <w:lang w:val="en-GB"/>
      </w:rPr>
      <w:tab/>
    </w:r>
    <w:r w:rsidRPr="00D74008">
      <w:rPr>
        <w:rFonts w:ascii="Verdana" w:hAnsi="Verdana"/>
        <w:noProof/>
        <w:snapToGrid w:val="0"/>
        <w:color w:val="999999"/>
        <w:sz w:val="16"/>
        <w:lang w:val="en-GB"/>
      </w:rPr>
      <w:br/>
      <w:t xml:space="preserve">           WEKA Business Media AG | </w:t>
    </w:r>
    <w:hyperlink r:id="rId2" w:history="1">
      <w:r w:rsidR="00A2656E" w:rsidRPr="00D74008">
        <w:rPr>
          <w:rStyle w:val="Hyperlink"/>
          <w:rFonts w:ascii="Verdana" w:hAnsi="Verdana"/>
          <w:noProof/>
          <w:snapToGrid w:val="0"/>
          <w:sz w:val="16"/>
          <w:lang w:val="en-GB"/>
        </w:rPr>
        <w:t>www.weka.ch</w:t>
      </w:r>
    </w:hyperlink>
    <w:r w:rsidR="00A2656E" w:rsidRPr="00D74008">
      <w:rPr>
        <w:rFonts w:ascii="Verdana" w:hAnsi="Verdana"/>
        <w:noProof/>
        <w:snapToGrid w:val="0"/>
        <w:color w:val="999999"/>
        <w:sz w:val="16"/>
        <w:lang w:val="en-GB"/>
      </w:rPr>
      <w:t xml:space="preserve"> |</w:t>
    </w:r>
    <w:r w:rsidRPr="00D74008">
      <w:rPr>
        <w:rFonts w:ascii="Verdana" w:hAnsi="Verdana"/>
        <w:noProof/>
        <w:snapToGrid w:val="0"/>
        <w:color w:val="999999"/>
        <w:sz w:val="16"/>
        <w:lang w:val="en-GB"/>
      </w:rPr>
      <w:tab/>
    </w:r>
    <w:r>
      <w:rPr>
        <w:rFonts w:ascii="Verdana" w:hAnsi="Verdana"/>
        <w:noProof/>
        <w:color w:val="999999"/>
        <w:sz w:val="16"/>
      </w:rPr>
      <w:fldChar w:fldCharType="begin"/>
    </w:r>
    <w:r w:rsidRPr="00D74008">
      <w:rPr>
        <w:rFonts w:ascii="Verdana" w:hAnsi="Verdana"/>
        <w:noProof/>
        <w:color w:val="999999"/>
        <w:sz w:val="16"/>
        <w:lang w:val="en-GB"/>
      </w:rPr>
      <w:instrText xml:space="preserve"> PAGE </w:instrText>
    </w:r>
    <w:r>
      <w:rPr>
        <w:rFonts w:ascii="Verdana" w:hAnsi="Verdana"/>
        <w:noProof/>
        <w:color w:val="999999"/>
        <w:sz w:val="16"/>
      </w:rPr>
      <w:fldChar w:fldCharType="separate"/>
    </w:r>
    <w:r w:rsidR="00D74008">
      <w:rPr>
        <w:rFonts w:ascii="Verdana" w:hAnsi="Verdana"/>
        <w:noProof/>
        <w:color w:val="999999"/>
        <w:sz w:val="16"/>
        <w:lang w:val="en-GB"/>
      </w:rPr>
      <w:t>2</w:t>
    </w:r>
    <w:r>
      <w:rPr>
        <w:rFonts w:ascii="Verdana" w:hAnsi="Verdana"/>
        <w:noProof/>
        <w:color w:val="999999"/>
        <w:sz w:val="16"/>
      </w:rPr>
      <w:fldChar w:fldCharType="end"/>
    </w:r>
    <w:r w:rsidRPr="00D74008">
      <w:rPr>
        <w:rFonts w:ascii="Verdana" w:hAnsi="Verdana"/>
        <w:noProof/>
        <w:snapToGrid w:val="0"/>
        <w:color w:val="999999"/>
        <w:sz w:val="16"/>
        <w:lang w:val="en-GB"/>
      </w:rPr>
      <w:t>/</w:t>
    </w:r>
    <w:r>
      <w:rPr>
        <w:rFonts w:ascii="Verdana" w:hAnsi="Verdana"/>
        <w:noProof/>
        <w:color w:val="999999"/>
        <w:sz w:val="16"/>
      </w:rPr>
      <w:fldChar w:fldCharType="begin"/>
    </w:r>
    <w:r w:rsidRPr="00D74008">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D74008">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2D26C27B" wp14:editId="42FFBD0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7C2153">
      <w:rPr>
        <w:rFonts w:ascii="Verdana" w:hAnsi="Verdana"/>
        <w:noProof/>
        <w:color w:val="999999"/>
        <w:sz w:val="16"/>
        <w:lang w:val="fr-CH"/>
      </w:rPr>
      <w:t>Bürgschaftsvertrag (Solidarbürgschaft)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7BD"/>
    <w:multiLevelType w:val="singleLevel"/>
    <w:tmpl w:val="9E769178"/>
    <w:lvl w:ilvl="0">
      <w:start w:val="1"/>
      <w:numFmt w:val="decimal"/>
      <w:lvlText w:val="%1."/>
      <w:lvlJc w:val="left"/>
      <w:pPr>
        <w:tabs>
          <w:tab w:val="num" w:pos="360"/>
        </w:tabs>
        <w:ind w:left="360" w:hanging="360"/>
      </w:pPr>
      <w:rPr>
        <w:rFonts w:hint="default"/>
      </w:rPr>
    </w:lvl>
  </w:abstractNum>
  <w:abstractNum w:abstractNumId="1">
    <w:nsid w:val="126728C2"/>
    <w:multiLevelType w:val="singleLevel"/>
    <w:tmpl w:val="9A763EAA"/>
    <w:lvl w:ilvl="0">
      <w:start w:val="1"/>
      <w:numFmt w:val="decimal"/>
      <w:lvlText w:val="%1."/>
      <w:lvlJc w:val="left"/>
      <w:pPr>
        <w:tabs>
          <w:tab w:val="num" w:pos="360"/>
        </w:tabs>
        <w:ind w:left="360" w:hanging="360"/>
      </w:pPr>
      <w:rPr>
        <w:rFonts w:hint="default"/>
      </w:rPr>
    </w:lvl>
  </w:abstractNum>
  <w:abstractNum w:abstractNumId="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nsid w:val="38D61BB9"/>
    <w:multiLevelType w:val="singleLevel"/>
    <w:tmpl w:val="8F20425A"/>
    <w:lvl w:ilvl="0">
      <w:start w:val="1"/>
      <w:numFmt w:val="decimal"/>
      <w:lvlText w:val="%1."/>
      <w:lvlJc w:val="left"/>
      <w:pPr>
        <w:tabs>
          <w:tab w:val="num" w:pos="360"/>
        </w:tabs>
        <w:ind w:left="360" w:hanging="360"/>
      </w:pPr>
      <w:rPr>
        <w:rFonts w:hint="default"/>
      </w:rPr>
    </w:lvl>
  </w:abstractNum>
  <w:abstractNum w:abstractNumId="4">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5">
    <w:nsid w:val="42532CBE"/>
    <w:multiLevelType w:val="singleLevel"/>
    <w:tmpl w:val="56C2B55A"/>
    <w:lvl w:ilvl="0">
      <w:start w:val="1"/>
      <w:numFmt w:val="decimal"/>
      <w:lvlText w:val="%1."/>
      <w:lvlJc w:val="left"/>
      <w:pPr>
        <w:tabs>
          <w:tab w:val="num" w:pos="360"/>
        </w:tabs>
        <w:ind w:left="360" w:hanging="360"/>
      </w:pPr>
      <w:rPr>
        <w:rFonts w:hint="default"/>
      </w:rPr>
    </w:lvl>
  </w:abstractNum>
  <w:abstractNum w:abstractNumId="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7"/>
  </w:num>
  <w:num w:numId="2">
    <w:abstractNumId w:val="6"/>
  </w:num>
  <w:num w:numId="3">
    <w:abstractNumId w:val="2"/>
  </w:num>
  <w:num w:numId="4">
    <w:abstractNumId w:val="4"/>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3"/>
  </w:num>
  <w:num w:numId="9">
    <w:abstractNumId w:val="7"/>
  </w:num>
  <w:num w:numId="10">
    <w:abstractNumId w:val="0"/>
  </w:num>
  <w:num w:numId="11">
    <w:abstractNumId w:val="7"/>
    <w:lvlOverride w:ilvl="0">
      <w:startOverride w:val="1"/>
    </w:lvlOverride>
  </w:num>
  <w:num w:numId="12">
    <w:abstractNumId w:val="7"/>
  </w:num>
  <w:num w:numId="13">
    <w:abstractNumId w:val="7"/>
    <w:lvlOverride w:ilvl="0">
      <w:startOverride w:val="1"/>
    </w:lvlOverride>
  </w:num>
  <w:num w:numId="14">
    <w:abstractNumId w:val="1"/>
  </w:num>
  <w:num w:numId="15">
    <w:abstractNumId w:val="7"/>
    <w:lvlOverride w:ilvl="0">
      <w:startOverride w:val="1"/>
    </w:lvlOverride>
  </w:num>
  <w:num w:numId="16">
    <w:abstractNumId w:val="5"/>
  </w:num>
  <w:num w:numId="17">
    <w:abstractNumId w:val="7"/>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641AF7"/>
    <w:rsid w:val="006C66E5"/>
    <w:rsid w:val="007C2153"/>
    <w:rsid w:val="007D1353"/>
    <w:rsid w:val="0084662F"/>
    <w:rsid w:val="0085719F"/>
    <w:rsid w:val="008C35ED"/>
    <w:rsid w:val="008E2DC9"/>
    <w:rsid w:val="008F16FC"/>
    <w:rsid w:val="00A2656E"/>
    <w:rsid w:val="00BF7A9A"/>
    <w:rsid w:val="00CE5FB7"/>
    <w:rsid w:val="00D228A7"/>
    <w:rsid w:val="00D74008"/>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7C2153"/>
    <w:rPr>
      <w:color w:val="FF0000"/>
    </w:rPr>
  </w:style>
  <w:style w:type="paragraph" w:styleId="Kommentartext">
    <w:name w:val="annotation text"/>
    <w:basedOn w:val="Standard"/>
    <w:link w:val="KommentartextZchn"/>
    <w:rsid w:val="007C2153"/>
    <w:pPr>
      <w:spacing w:after="0" w:line="240" w:lineRule="auto"/>
    </w:pPr>
    <w:rPr>
      <w:rFonts w:ascii="Arial" w:eastAsia="Times New Roman" w:hAnsi="Arial" w:cs="Times New Roman"/>
      <w:sz w:val="20"/>
      <w:szCs w:val="20"/>
      <w:lang w:eastAsia="en-US"/>
    </w:rPr>
  </w:style>
  <w:style w:type="character" w:customStyle="1" w:styleId="KommentartextZchn">
    <w:name w:val="Kommentartext Zchn"/>
    <w:basedOn w:val="Absatz-Standardschriftart"/>
    <w:link w:val="Kommentartext"/>
    <w:rsid w:val="007C2153"/>
    <w:rPr>
      <w:rFonts w:ascii="Arial" w:hAnsi="Arial"/>
      <w:lang w:val="de-CH" w:eastAsia="en-US"/>
    </w:rPr>
  </w:style>
  <w:style w:type="character" w:styleId="Fett">
    <w:name w:val="Strong"/>
    <w:qFormat/>
    <w:rsid w:val="007C21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7C2153"/>
    <w:rPr>
      <w:color w:val="FF0000"/>
    </w:rPr>
  </w:style>
  <w:style w:type="paragraph" w:styleId="Kommentartext">
    <w:name w:val="annotation text"/>
    <w:basedOn w:val="Standard"/>
    <w:link w:val="KommentartextZchn"/>
    <w:rsid w:val="007C2153"/>
    <w:pPr>
      <w:spacing w:after="0" w:line="240" w:lineRule="auto"/>
    </w:pPr>
    <w:rPr>
      <w:rFonts w:ascii="Arial" w:eastAsia="Times New Roman" w:hAnsi="Arial" w:cs="Times New Roman"/>
      <w:sz w:val="20"/>
      <w:szCs w:val="20"/>
      <w:lang w:eastAsia="en-US"/>
    </w:rPr>
  </w:style>
  <w:style w:type="character" w:customStyle="1" w:styleId="KommentartextZchn">
    <w:name w:val="Kommentartext Zchn"/>
    <w:basedOn w:val="Absatz-Standardschriftart"/>
    <w:link w:val="Kommentartext"/>
    <w:rsid w:val="007C2153"/>
    <w:rPr>
      <w:rFonts w:ascii="Arial" w:hAnsi="Arial"/>
      <w:lang w:val="de-CH" w:eastAsia="en-US"/>
    </w:rPr>
  </w:style>
  <w:style w:type="character" w:styleId="Fett">
    <w:name w:val="Strong"/>
    <w:qFormat/>
    <w:rsid w:val="007C2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293</Words>
  <Characters>1963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