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151" w:rsidRPr="00337A30" w:rsidRDefault="005E1151" w:rsidP="005E1151">
      <w:pPr>
        <w:pStyle w:val="Titel1-Kapiteltitel"/>
      </w:pPr>
      <w:r w:rsidRPr="00337A30">
        <w:t xml:space="preserve">Bürgschaftsvertrag (solidarische </w:t>
      </w:r>
      <w:r w:rsidRPr="00337A30">
        <w:rPr>
          <w:u w:val="single"/>
        </w:rPr>
        <w:t>Mit</w:t>
      </w:r>
      <w:r w:rsidRPr="00337A30">
        <w:t>bürgschaft)</w:t>
      </w:r>
    </w:p>
    <w:p w:rsidR="005E1151" w:rsidRPr="00337A30" w:rsidRDefault="005E1151" w:rsidP="005E1151">
      <w:pPr>
        <w:pStyle w:val="Titel2"/>
      </w:pPr>
      <w:r w:rsidRPr="00337A30">
        <w:t>I.</w:t>
      </w:r>
      <w:r w:rsidRPr="00337A30">
        <w:tab/>
        <w:t>Vertragsparteien</w:t>
      </w:r>
    </w:p>
    <w:p w:rsidR="00212274" w:rsidRPr="00337A30" w:rsidRDefault="00212274" w:rsidP="00337A30">
      <w:pPr>
        <w:pStyle w:val="HaupttextEinz1"/>
        <w:tabs>
          <w:tab w:val="clear" w:pos="397"/>
          <w:tab w:val="clear" w:pos="454"/>
        </w:tabs>
        <w:ind w:left="709" w:hanging="709"/>
        <w:rPr>
          <w:lang w:val="de-CH"/>
        </w:rPr>
      </w:pPr>
      <w:r w:rsidRPr="00337A30">
        <w:rPr>
          <w:lang w:val="de-CH"/>
        </w:rPr>
        <w:t>Solidarbürgen:</w:t>
      </w:r>
      <w:r w:rsidRPr="00337A30">
        <w:rPr>
          <w:lang w:val="de-CH"/>
        </w:rPr>
        <w:br/>
        <w:t xml:space="preserve">Herr Fritz </w:t>
      </w:r>
      <w:proofErr w:type="spellStart"/>
      <w:r w:rsidRPr="00337A30">
        <w:rPr>
          <w:lang w:val="de-CH"/>
        </w:rPr>
        <w:t>Künzli</w:t>
      </w:r>
      <w:proofErr w:type="spellEnd"/>
      <w:r w:rsidRPr="00337A30">
        <w:rPr>
          <w:lang w:val="de-CH"/>
        </w:rPr>
        <w:t>, Hauptstrasse 73, 4900 Langenthal</w:t>
      </w:r>
    </w:p>
    <w:p w:rsidR="00212274" w:rsidRPr="00337A30" w:rsidRDefault="00212274" w:rsidP="00337A30">
      <w:pPr>
        <w:pStyle w:val="HaupttextEinz1"/>
        <w:numPr>
          <w:ilvl w:val="0"/>
          <w:numId w:val="0"/>
        </w:numPr>
        <w:tabs>
          <w:tab w:val="clear" w:pos="397"/>
        </w:tabs>
        <w:ind w:left="709"/>
        <w:rPr>
          <w:lang w:val="de-CH"/>
        </w:rPr>
      </w:pPr>
      <w:r w:rsidRPr="00337A30">
        <w:rPr>
          <w:lang w:val="de-CH"/>
        </w:rPr>
        <w:t xml:space="preserve">Frau Edith </w:t>
      </w:r>
      <w:proofErr w:type="spellStart"/>
      <w:r w:rsidRPr="00337A30">
        <w:rPr>
          <w:lang w:val="de-CH"/>
        </w:rPr>
        <w:t>Künzli</w:t>
      </w:r>
      <w:proofErr w:type="spellEnd"/>
      <w:r w:rsidRPr="00337A30">
        <w:rPr>
          <w:lang w:val="de-CH"/>
        </w:rPr>
        <w:t>-Lehmann, Hauptstrasse 73, 4900 Langenthal</w:t>
      </w:r>
    </w:p>
    <w:p w:rsidR="00212274" w:rsidRPr="00337A30" w:rsidRDefault="00212274" w:rsidP="00337A30">
      <w:pPr>
        <w:pStyle w:val="HaupttextEinz1"/>
        <w:numPr>
          <w:ilvl w:val="0"/>
          <w:numId w:val="0"/>
        </w:numPr>
        <w:tabs>
          <w:tab w:val="clear" w:pos="397"/>
        </w:tabs>
        <w:ind w:left="709"/>
        <w:rPr>
          <w:lang w:val="de-CH"/>
        </w:rPr>
      </w:pPr>
      <w:r w:rsidRPr="00337A30">
        <w:rPr>
          <w:lang w:val="de-CH"/>
        </w:rPr>
        <w:t xml:space="preserve">Herr Norbert Lehmann, </w:t>
      </w:r>
      <w:proofErr w:type="spellStart"/>
      <w:r w:rsidRPr="00337A30">
        <w:rPr>
          <w:lang w:val="de-CH"/>
        </w:rPr>
        <w:t>Luzernerstrasse</w:t>
      </w:r>
      <w:proofErr w:type="spellEnd"/>
      <w:r w:rsidRPr="00337A30">
        <w:rPr>
          <w:lang w:val="de-CH"/>
        </w:rPr>
        <w:t xml:space="preserve"> 45, 4950 </w:t>
      </w:r>
      <w:proofErr w:type="spellStart"/>
      <w:r w:rsidRPr="00337A30">
        <w:rPr>
          <w:lang w:val="de-CH"/>
        </w:rPr>
        <w:t>Huttwil</w:t>
      </w:r>
      <w:proofErr w:type="spellEnd"/>
    </w:p>
    <w:p w:rsidR="00212274" w:rsidRPr="00337A30" w:rsidRDefault="00212274" w:rsidP="00337A30">
      <w:pPr>
        <w:pStyle w:val="HaupttextEinz1"/>
        <w:tabs>
          <w:tab w:val="clear" w:pos="397"/>
          <w:tab w:val="clear" w:pos="454"/>
        </w:tabs>
        <w:ind w:left="709" w:hanging="709"/>
        <w:rPr>
          <w:lang w:val="de-CH"/>
        </w:rPr>
      </w:pPr>
      <w:r w:rsidRPr="00337A30">
        <w:rPr>
          <w:lang w:val="de-CH"/>
        </w:rPr>
        <w:t xml:space="preserve">Gläubigerin: Firma Holzhandel Schenk AG, Bahnhofstrasse 10, 4950 </w:t>
      </w:r>
      <w:proofErr w:type="spellStart"/>
      <w:r w:rsidRPr="00337A30">
        <w:rPr>
          <w:lang w:val="de-CH"/>
        </w:rPr>
        <w:t>Huttwil</w:t>
      </w:r>
      <w:proofErr w:type="spellEnd"/>
    </w:p>
    <w:p w:rsidR="00212274" w:rsidRPr="00337A30" w:rsidRDefault="00212274" w:rsidP="00337A30">
      <w:pPr>
        <w:pStyle w:val="HaupttextEinz1"/>
        <w:tabs>
          <w:tab w:val="clear" w:pos="397"/>
          <w:tab w:val="clear" w:pos="454"/>
        </w:tabs>
        <w:ind w:left="709" w:hanging="709"/>
        <w:rPr>
          <w:rStyle w:val="Hervorhebung"/>
          <w:rFonts w:cs="Arial"/>
          <w:sz w:val="20"/>
          <w:lang w:val="de-CH"/>
        </w:rPr>
      </w:pPr>
      <w:r w:rsidRPr="00337A30">
        <w:rPr>
          <w:lang w:val="de-CH"/>
        </w:rPr>
        <w:t>Hauptschuldnerin:</w:t>
      </w:r>
      <w:r w:rsidRPr="00337A30">
        <w:rPr>
          <w:lang w:val="de-CH"/>
        </w:rPr>
        <w:br/>
        <w:t xml:space="preserve">Firma Fritz </w:t>
      </w:r>
      <w:proofErr w:type="spellStart"/>
      <w:r w:rsidRPr="00337A30">
        <w:rPr>
          <w:lang w:val="de-CH"/>
        </w:rPr>
        <w:t>Künzli</w:t>
      </w:r>
      <w:proofErr w:type="spellEnd"/>
      <w:r w:rsidRPr="00337A30">
        <w:rPr>
          <w:lang w:val="de-CH"/>
        </w:rPr>
        <w:t xml:space="preserve"> Holzverarbeitung AG, Hauptstrasse 73, 4900 Langenthal</w:t>
      </w:r>
    </w:p>
    <w:p w:rsidR="00212274" w:rsidRPr="00337A30" w:rsidRDefault="00212274" w:rsidP="00212274">
      <w:pPr>
        <w:pStyle w:val="Titel2"/>
      </w:pPr>
      <w:r w:rsidRPr="00337A30">
        <w:t>II.</w:t>
      </w:r>
      <w:r w:rsidRPr="00337A30">
        <w:tab/>
        <w:t>Forderung der Hauptschuldnerin</w:t>
      </w:r>
    </w:p>
    <w:p w:rsidR="00212274" w:rsidRPr="00337A30" w:rsidRDefault="00212274" w:rsidP="00337A30">
      <w:pPr>
        <w:pStyle w:val="HaupttextEinz1"/>
        <w:numPr>
          <w:ilvl w:val="0"/>
          <w:numId w:val="13"/>
        </w:numPr>
        <w:tabs>
          <w:tab w:val="clear" w:pos="397"/>
          <w:tab w:val="clear" w:pos="454"/>
        </w:tabs>
        <w:ind w:left="709" w:hanging="709"/>
        <w:rPr>
          <w:lang w:val="de-CH"/>
        </w:rPr>
      </w:pPr>
      <w:r w:rsidRPr="00337A30">
        <w:rPr>
          <w:lang w:val="de-CH"/>
        </w:rPr>
        <w:t>Die Gläubigerin hat der Hauptschuldnerin am 10. Oktober 20xx unverarbeitetes Langholz für einen Kaufpreis von total CHF 15</w:t>
      </w:r>
      <w:r w:rsidR="00337A30">
        <w:rPr>
          <w:lang w:val="de-CH"/>
        </w:rPr>
        <w:t> </w:t>
      </w:r>
      <w:r w:rsidRPr="00337A30">
        <w:rPr>
          <w:lang w:val="de-CH"/>
        </w:rPr>
        <w:t>000</w:t>
      </w:r>
      <w:proofErr w:type="gramStart"/>
      <w:r w:rsidRPr="00337A30">
        <w:rPr>
          <w:lang w:val="de-CH"/>
        </w:rPr>
        <w:t>.–</w:t>
      </w:r>
      <w:proofErr w:type="gramEnd"/>
      <w:r w:rsidRPr="00337A30">
        <w:rPr>
          <w:lang w:val="de-CH"/>
        </w:rPr>
        <w:t xml:space="preserve"> geliefert.</w:t>
      </w:r>
    </w:p>
    <w:p w:rsidR="00212274" w:rsidRPr="00337A30" w:rsidRDefault="00212274" w:rsidP="00337A30">
      <w:pPr>
        <w:pStyle w:val="HaupttextEinz1"/>
        <w:numPr>
          <w:ilvl w:val="0"/>
          <w:numId w:val="13"/>
        </w:numPr>
        <w:tabs>
          <w:tab w:val="clear" w:pos="397"/>
          <w:tab w:val="clear" w:pos="454"/>
        </w:tabs>
        <w:ind w:left="709" w:hanging="709"/>
        <w:rPr>
          <w:lang w:val="de-CH"/>
        </w:rPr>
      </w:pPr>
      <w:r w:rsidRPr="00337A30">
        <w:rPr>
          <w:lang w:val="de-CH"/>
        </w:rPr>
        <w:t>Gemäss Vereinbarung zwischen der Gläubigerin und der Hauptschuldnerin ist der Kaufpreis in monatlichen Raten von CHF 500</w:t>
      </w:r>
      <w:proofErr w:type="gramStart"/>
      <w:r w:rsidRPr="00337A30">
        <w:rPr>
          <w:lang w:val="de-CH"/>
        </w:rPr>
        <w:t>.–</w:t>
      </w:r>
      <w:proofErr w:type="gramEnd"/>
      <w:r w:rsidRPr="00337A30">
        <w:rPr>
          <w:lang w:val="de-CH"/>
        </w:rPr>
        <w:t xml:space="preserve"> zahlbar und ab 1. November 20xx mit 5% verzinslich. Ist die Schuldnerin mit mehr als zwei R</w:t>
      </w:r>
      <w:bookmarkStart w:id="0" w:name="_GoBack"/>
      <w:bookmarkEnd w:id="0"/>
      <w:r w:rsidRPr="00337A30">
        <w:rPr>
          <w:lang w:val="de-CH"/>
        </w:rPr>
        <w:t>aten im Rückstand, wird auf erfolgte Mahnung hin die g</w:t>
      </w:r>
      <w:r w:rsidRPr="00337A30">
        <w:rPr>
          <w:lang w:val="de-CH"/>
        </w:rPr>
        <w:t>e</w:t>
      </w:r>
      <w:r w:rsidRPr="00337A30">
        <w:rPr>
          <w:lang w:val="de-CH"/>
        </w:rPr>
        <w:t>samte Restschuld zur Zahlung fällig.</w:t>
      </w:r>
    </w:p>
    <w:p w:rsidR="00212274" w:rsidRPr="00337A30" w:rsidRDefault="00212274" w:rsidP="00212274">
      <w:pPr>
        <w:pStyle w:val="Titel2"/>
      </w:pPr>
      <w:r w:rsidRPr="00337A30">
        <w:t>III.</w:t>
      </w:r>
      <w:r w:rsidRPr="00337A30">
        <w:tab/>
        <w:t>Solidarbürgschaftsverpflichtung</w:t>
      </w:r>
    </w:p>
    <w:p w:rsidR="00212274" w:rsidRPr="00337A30" w:rsidRDefault="00212274" w:rsidP="00337A30">
      <w:pPr>
        <w:pStyle w:val="HaupttextEinz1"/>
        <w:numPr>
          <w:ilvl w:val="0"/>
          <w:numId w:val="17"/>
        </w:numPr>
        <w:tabs>
          <w:tab w:val="clear" w:pos="397"/>
          <w:tab w:val="clear" w:pos="454"/>
        </w:tabs>
        <w:ind w:left="709" w:hanging="709"/>
        <w:rPr>
          <w:lang w:val="de-CH"/>
        </w:rPr>
      </w:pPr>
      <w:r w:rsidRPr="00337A30">
        <w:rPr>
          <w:lang w:val="de-CH"/>
        </w:rPr>
        <w:t>Zur Sicherstellung des vorerwähnten Kaufpreises in seiner jeweiligen Höhe leisten hiermit die unterzeichneten drei Bürgen eine solidarische Mitbürgschaft zu Gunsten der Gläubigerin (Art. 497 Abs. 2 OR).</w:t>
      </w:r>
    </w:p>
    <w:p w:rsidR="00212274" w:rsidRPr="00337A30" w:rsidRDefault="00212274" w:rsidP="00337A30">
      <w:pPr>
        <w:pStyle w:val="HaupttextEinz1"/>
        <w:tabs>
          <w:tab w:val="clear" w:pos="397"/>
          <w:tab w:val="clear" w:pos="454"/>
        </w:tabs>
        <w:ind w:left="709" w:hanging="709"/>
        <w:rPr>
          <w:lang w:val="de-CH"/>
        </w:rPr>
      </w:pPr>
      <w:r w:rsidRPr="00337A30">
        <w:rPr>
          <w:lang w:val="de-CH"/>
        </w:rPr>
        <w:t>Die einzelnen Bürgen haften gegenüber der Gläubigerin unter sich solidarisch, d.h. jeder Bü</w:t>
      </w:r>
      <w:r w:rsidRPr="00337A30">
        <w:rPr>
          <w:lang w:val="de-CH"/>
        </w:rPr>
        <w:t>r</w:t>
      </w:r>
      <w:r w:rsidRPr="00337A30">
        <w:rPr>
          <w:lang w:val="de-CH"/>
        </w:rPr>
        <w:t>ge steht für die Erfüllung der gesamten Schuld ein.</w:t>
      </w:r>
    </w:p>
    <w:p w:rsidR="00212274" w:rsidRPr="00337A30" w:rsidRDefault="00212274" w:rsidP="00212274">
      <w:pPr>
        <w:pStyle w:val="Titel2"/>
      </w:pPr>
      <w:r w:rsidRPr="00337A30">
        <w:t>IV.</w:t>
      </w:r>
      <w:r w:rsidRPr="00337A30">
        <w:tab/>
        <w:t>Haftungssumme</w:t>
      </w:r>
    </w:p>
    <w:p w:rsidR="00212274" w:rsidRPr="00337A30" w:rsidRDefault="00212274" w:rsidP="00337A30">
      <w:pPr>
        <w:pStyle w:val="HaupttextEinz1"/>
        <w:numPr>
          <w:ilvl w:val="0"/>
          <w:numId w:val="19"/>
        </w:numPr>
        <w:tabs>
          <w:tab w:val="clear" w:pos="397"/>
          <w:tab w:val="clear" w:pos="454"/>
        </w:tabs>
        <w:ind w:left="709" w:hanging="709"/>
        <w:rPr>
          <w:lang w:val="de-CH"/>
        </w:rPr>
      </w:pPr>
      <w:r w:rsidRPr="00337A30">
        <w:rPr>
          <w:lang w:val="de-CH"/>
        </w:rPr>
        <w:t>Die Haftung der einzelnen Bürgen erstreckt sich auf die gesamte ausstehende Hauptschuld nebst aufgelaufenen Zinsen, höchstens jedoch auf CHF 16</w:t>
      </w:r>
      <w:r w:rsidR="00337A30" w:rsidRPr="00337A30">
        <w:rPr>
          <w:lang w:val="de-CH"/>
        </w:rPr>
        <w:t> </w:t>
      </w:r>
      <w:r w:rsidRPr="00337A30">
        <w:rPr>
          <w:lang w:val="de-CH"/>
        </w:rPr>
        <w:t>500</w:t>
      </w:r>
      <w:proofErr w:type="gramStart"/>
      <w:r w:rsidRPr="00337A30">
        <w:rPr>
          <w:lang w:val="de-CH"/>
        </w:rPr>
        <w:t>.–</w:t>
      </w:r>
      <w:proofErr w:type="gramEnd"/>
      <w:r w:rsidRPr="00337A30">
        <w:rPr>
          <w:lang w:val="de-CH"/>
        </w:rPr>
        <w:t>.</w:t>
      </w:r>
    </w:p>
    <w:p w:rsidR="00212274" w:rsidRPr="00337A30" w:rsidRDefault="00212274" w:rsidP="00337A30">
      <w:pPr>
        <w:pStyle w:val="HaupttextEinz1"/>
        <w:tabs>
          <w:tab w:val="clear" w:pos="397"/>
          <w:tab w:val="clear" w:pos="454"/>
        </w:tabs>
        <w:ind w:left="709" w:hanging="709"/>
        <w:rPr>
          <w:lang w:val="de-CH"/>
        </w:rPr>
      </w:pPr>
      <w:r w:rsidRPr="00337A30">
        <w:rPr>
          <w:lang w:val="de-CH"/>
        </w:rPr>
        <w:t xml:space="preserve">Jeder </w:t>
      </w:r>
      <w:proofErr w:type="spellStart"/>
      <w:r w:rsidRPr="00337A30">
        <w:rPr>
          <w:lang w:val="de-CH"/>
        </w:rPr>
        <w:t>Mitbürge</w:t>
      </w:r>
      <w:proofErr w:type="spellEnd"/>
      <w:r w:rsidRPr="00337A30">
        <w:rPr>
          <w:lang w:val="de-CH"/>
        </w:rPr>
        <w:t xml:space="preserve"> kann jedoch die Leistung des über seinen Kopfanteil hinausgehenden Betr</w:t>
      </w:r>
      <w:r w:rsidRPr="00337A30">
        <w:rPr>
          <w:lang w:val="de-CH"/>
        </w:rPr>
        <w:t>a</w:t>
      </w:r>
      <w:r w:rsidRPr="00337A30">
        <w:rPr>
          <w:lang w:val="de-CH"/>
        </w:rPr>
        <w:t>ges verweigern, solange nicht gegen die anderen solidarisch haftenden Mitbürgen die B</w:t>
      </w:r>
      <w:r w:rsidRPr="00337A30">
        <w:rPr>
          <w:lang w:val="de-CH"/>
        </w:rPr>
        <w:t>e</w:t>
      </w:r>
      <w:r w:rsidRPr="00337A30">
        <w:rPr>
          <w:lang w:val="de-CH"/>
        </w:rPr>
        <w:t>treibung für ihren jeweiligen Kopfanteil eingeleitet ist (Art. 497 Abs. 2 OR).</w:t>
      </w:r>
    </w:p>
    <w:p w:rsidR="00212274" w:rsidRPr="00337A30" w:rsidRDefault="00212274" w:rsidP="00337A30">
      <w:pPr>
        <w:pStyle w:val="HaupttextEinz1"/>
        <w:tabs>
          <w:tab w:val="clear" w:pos="397"/>
          <w:tab w:val="clear" w:pos="454"/>
        </w:tabs>
        <w:ind w:left="709" w:hanging="709"/>
        <w:rPr>
          <w:lang w:val="de-CH"/>
        </w:rPr>
      </w:pPr>
      <w:r w:rsidRPr="00337A30">
        <w:rPr>
          <w:lang w:val="de-CH"/>
        </w:rPr>
        <w:t>Des Weiteren reduziert sich die Haftung jedes Mitbürgen für den über seinen Kopfanteil hinausgehenden Betrag in dem Umfange, als die anderen Bürgen für den auf sie entfalle</w:t>
      </w:r>
      <w:r w:rsidRPr="00337A30">
        <w:rPr>
          <w:lang w:val="de-CH"/>
        </w:rPr>
        <w:t>n</w:t>
      </w:r>
      <w:r w:rsidRPr="00337A30">
        <w:rPr>
          <w:lang w:val="de-CH"/>
        </w:rPr>
        <w:t>den Teil Zahlung geleistet oder Realsicherheiten bestellt haben.</w:t>
      </w:r>
    </w:p>
    <w:p w:rsidR="00212274" w:rsidRPr="00337A30" w:rsidRDefault="00212274" w:rsidP="00337A30">
      <w:pPr>
        <w:pStyle w:val="HaupttextEinz1"/>
        <w:tabs>
          <w:tab w:val="clear" w:pos="397"/>
          <w:tab w:val="clear" w:pos="454"/>
        </w:tabs>
        <w:ind w:left="709" w:hanging="709"/>
        <w:rPr>
          <w:lang w:val="de-CH"/>
        </w:rPr>
      </w:pPr>
      <w:r w:rsidRPr="00337A30">
        <w:rPr>
          <w:lang w:val="de-CH"/>
        </w:rPr>
        <w:t>Die im Gesetz vorgesehene Verringerung des Haftungsbetrages infolge Zeitablaufs wird we</w:t>
      </w:r>
      <w:r w:rsidRPr="00337A30">
        <w:rPr>
          <w:lang w:val="de-CH"/>
        </w:rPr>
        <w:t>g</w:t>
      </w:r>
      <w:r w:rsidRPr="00337A30">
        <w:rPr>
          <w:lang w:val="de-CH"/>
        </w:rPr>
        <w:t>bedungen.</w:t>
      </w:r>
    </w:p>
    <w:p w:rsidR="00212274" w:rsidRPr="00337A30" w:rsidRDefault="00212274" w:rsidP="00337A30">
      <w:pPr>
        <w:pStyle w:val="HaupttextEinz1"/>
        <w:tabs>
          <w:tab w:val="clear" w:pos="397"/>
          <w:tab w:val="clear" w:pos="454"/>
        </w:tabs>
        <w:ind w:left="709" w:hanging="709"/>
        <w:rPr>
          <w:lang w:val="de-CH"/>
        </w:rPr>
      </w:pPr>
      <w:r w:rsidRPr="00337A30">
        <w:rPr>
          <w:lang w:val="de-CH"/>
        </w:rPr>
        <w:lastRenderedPageBreak/>
        <w:t>Jeder Solidarbürge verzichtet auf die ihm gemäss Art. 501 Absatz 4 OR zustehende Einrede der Nichtbelangbarkeit infolge aufgehobener oder eingeschränkter Leistungspflicht, sofern die Hauptschuldnerin im Ausland Wohnsitz nehmen sollte.</w:t>
      </w:r>
    </w:p>
    <w:p w:rsidR="00212274" w:rsidRPr="00337A30" w:rsidRDefault="00212274" w:rsidP="00212274">
      <w:pPr>
        <w:pStyle w:val="Titel2"/>
      </w:pPr>
      <w:r w:rsidRPr="00337A30">
        <w:t>V.</w:t>
      </w:r>
      <w:r w:rsidRPr="00337A30">
        <w:tab/>
        <w:t>Regressrecht</w:t>
      </w:r>
    </w:p>
    <w:p w:rsidR="00212274" w:rsidRPr="00337A30" w:rsidRDefault="00212274" w:rsidP="00337A30">
      <w:pPr>
        <w:pStyle w:val="HaupttextEinz1"/>
        <w:numPr>
          <w:ilvl w:val="0"/>
          <w:numId w:val="21"/>
        </w:numPr>
        <w:tabs>
          <w:tab w:val="clear" w:pos="397"/>
          <w:tab w:val="clear" w:pos="454"/>
        </w:tabs>
        <w:ind w:left="709" w:hanging="709"/>
        <w:rPr>
          <w:lang w:val="de-CH"/>
        </w:rPr>
      </w:pPr>
      <w:r w:rsidRPr="00337A30">
        <w:rPr>
          <w:lang w:val="de-CH"/>
        </w:rPr>
        <w:t xml:space="preserve">Für die geleisteten Zahlungen hat jeder </w:t>
      </w:r>
      <w:proofErr w:type="spellStart"/>
      <w:r w:rsidRPr="00337A30">
        <w:rPr>
          <w:lang w:val="de-CH"/>
        </w:rPr>
        <w:t>Mitbürge</w:t>
      </w:r>
      <w:proofErr w:type="spellEnd"/>
      <w:r w:rsidRPr="00337A30">
        <w:rPr>
          <w:lang w:val="de-CH"/>
        </w:rPr>
        <w:t xml:space="preserve"> ein anteilsmässiges </w:t>
      </w:r>
      <w:proofErr w:type="spellStart"/>
      <w:r w:rsidRPr="00337A30">
        <w:rPr>
          <w:lang w:val="de-CH"/>
        </w:rPr>
        <w:t>Rückgriffsrecht</w:t>
      </w:r>
      <w:proofErr w:type="spellEnd"/>
      <w:r w:rsidRPr="00337A30">
        <w:rPr>
          <w:lang w:val="de-CH"/>
        </w:rPr>
        <w:t xml:space="preserve"> auf die neben ihm haftenden solidarischen Mitbürgen, soweit nicht jeder der anderen Bürgen den auf ihn entfallenden Kopfanteil bereits geleistet hat. Dieser Regress geht dem Rückgriff auf die Hauptschuldnerin vor.</w:t>
      </w:r>
    </w:p>
    <w:p w:rsidR="00212274" w:rsidRPr="00337A30" w:rsidRDefault="00212274" w:rsidP="00337A30">
      <w:pPr>
        <w:pStyle w:val="HaupttextEinz1"/>
        <w:numPr>
          <w:ilvl w:val="0"/>
          <w:numId w:val="21"/>
        </w:numPr>
        <w:tabs>
          <w:tab w:val="clear" w:pos="397"/>
          <w:tab w:val="clear" w:pos="454"/>
        </w:tabs>
        <w:ind w:left="709" w:hanging="709"/>
        <w:rPr>
          <w:lang w:val="de-CH"/>
        </w:rPr>
      </w:pPr>
      <w:r w:rsidRPr="00337A30">
        <w:rPr>
          <w:lang w:val="de-CH"/>
        </w:rPr>
        <w:t xml:space="preserve">Das </w:t>
      </w:r>
      <w:proofErr w:type="spellStart"/>
      <w:r w:rsidRPr="00337A30">
        <w:rPr>
          <w:lang w:val="de-CH"/>
        </w:rPr>
        <w:t>Rückgriffsrecht</w:t>
      </w:r>
      <w:proofErr w:type="spellEnd"/>
      <w:r w:rsidRPr="00337A30">
        <w:rPr>
          <w:lang w:val="de-CH"/>
        </w:rPr>
        <w:t xml:space="preserve"> der Bürgen gegenüber der Hauptschuldnerin richtet sich nach den g</w:t>
      </w:r>
      <w:r w:rsidRPr="00337A30">
        <w:rPr>
          <w:lang w:val="de-CH"/>
        </w:rPr>
        <w:t>e</w:t>
      </w:r>
      <w:r w:rsidRPr="00337A30">
        <w:rPr>
          <w:lang w:val="de-CH"/>
        </w:rPr>
        <w:t>setzlichen Bestimmungen (Art. 507 OR).</w:t>
      </w:r>
    </w:p>
    <w:p w:rsidR="005E1151" w:rsidRPr="00337A30" w:rsidRDefault="00212274" w:rsidP="00212274">
      <w:pPr>
        <w:pStyle w:val="Titel2"/>
      </w:pPr>
      <w:r w:rsidRPr="00337A30">
        <w:t>VI.</w:t>
      </w:r>
      <w:r w:rsidRPr="00337A30">
        <w:tab/>
        <w:t>Pflichten der Gläubigerin</w:t>
      </w:r>
    </w:p>
    <w:p w:rsidR="00212274" w:rsidRPr="00337A30" w:rsidRDefault="00212274" w:rsidP="00337A30">
      <w:pPr>
        <w:pStyle w:val="HaupttextEinz1"/>
        <w:numPr>
          <w:ilvl w:val="0"/>
          <w:numId w:val="24"/>
        </w:numPr>
        <w:tabs>
          <w:tab w:val="clear" w:pos="397"/>
          <w:tab w:val="clear" w:pos="454"/>
        </w:tabs>
        <w:ind w:left="709" w:hanging="709"/>
        <w:rPr>
          <w:lang w:val="de-CH"/>
        </w:rPr>
      </w:pPr>
      <w:r w:rsidRPr="00337A30">
        <w:rPr>
          <w:lang w:val="de-CH"/>
        </w:rPr>
        <w:t>Die Gläubigerin hat jedem Bürgen auf dessen Verlangen hin Auskunft über den Stand der Forderung zu geben und den weiteren gesetzlichen Sorgfalts- und Mitteilungspflichten nachz</w:t>
      </w:r>
      <w:r w:rsidRPr="00337A30">
        <w:rPr>
          <w:lang w:val="de-CH"/>
        </w:rPr>
        <w:t>u</w:t>
      </w:r>
      <w:r w:rsidRPr="00337A30">
        <w:rPr>
          <w:lang w:val="de-CH"/>
        </w:rPr>
        <w:t>kommen (Art. 503 ff. OR).</w:t>
      </w:r>
    </w:p>
    <w:p w:rsidR="00212274" w:rsidRPr="00337A30" w:rsidRDefault="00212274" w:rsidP="00337A30">
      <w:pPr>
        <w:pStyle w:val="HaupttextEinz1"/>
        <w:numPr>
          <w:ilvl w:val="0"/>
          <w:numId w:val="24"/>
        </w:numPr>
        <w:tabs>
          <w:tab w:val="clear" w:pos="397"/>
          <w:tab w:val="clear" w:pos="454"/>
        </w:tabs>
        <w:ind w:left="709" w:hanging="709"/>
        <w:rPr>
          <w:lang w:val="de-CH"/>
        </w:rPr>
      </w:pPr>
      <w:r w:rsidRPr="00337A30">
        <w:rPr>
          <w:lang w:val="de-CH"/>
        </w:rPr>
        <w:t>Ist die Hauptschuldnerin mit mehr als zwei monatlichen Raten im Rückstand, sind alle Bü</w:t>
      </w:r>
      <w:r w:rsidRPr="00337A30">
        <w:rPr>
          <w:lang w:val="de-CH"/>
        </w:rPr>
        <w:t>r</w:t>
      </w:r>
      <w:r w:rsidRPr="00337A30">
        <w:rPr>
          <w:lang w:val="de-CH"/>
        </w:rPr>
        <w:t>gen umgehend mittels eingeschriebenen Briefs zu orientieren.</w:t>
      </w:r>
    </w:p>
    <w:p w:rsidR="00212274" w:rsidRPr="00337A30" w:rsidRDefault="00212274" w:rsidP="00212274">
      <w:pPr>
        <w:pStyle w:val="Titel2"/>
      </w:pPr>
      <w:proofErr w:type="spellStart"/>
      <w:r w:rsidRPr="00337A30">
        <w:t>Vll</w:t>
      </w:r>
      <w:proofErr w:type="spellEnd"/>
      <w:r w:rsidRPr="00337A30">
        <w:t>.</w:t>
      </w:r>
      <w:r w:rsidRPr="00337A30">
        <w:tab/>
        <w:t>Dauer der Bürgschaft</w:t>
      </w:r>
    </w:p>
    <w:p w:rsidR="00212274" w:rsidRPr="00337A30" w:rsidRDefault="00212274" w:rsidP="00337A30">
      <w:pPr>
        <w:pStyle w:val="HaupttextEinz1"/>
        <w:numPr>
          <w:ilvl w:val="0"/>
          <w:numId w:val="27"/>
        </w:numPr>
        <w:tabs>
          <w:tab w:val="clear" w:pos="397"/>
          <w:tab w:val="clear" w:pos="454"/>
        </w:tabs>
        <w:ind w:left="709" w:hanging="709"/>
        <w:rPr>
          <w:lang w:val="de-CH"/>
        </w:rPr>
      </w:pPr>
      <w:r w:rsidRPr="00337A30">
        <w:rPr>
          <w:lang w:val="de-CH"/>
        </w:rPr>
        <w:t>Diese Bürgschaft ist gegenüber allen Bürgen unbefristet und dauert bis zur vollständigen B</w:t>
      </w:r>
      <w:r w:rsidRPr="00337A30">
        <w:rPr>
          <w:lang w:val="de-CH"/>
        </w:rPr>
        <w:t>e</w:t>
      </w:r>
      <w:r w:rsidRPr="00337A30">
        <w:rPr>
          <w:lang w:val="de-CH"/>
        </w:rPr>
        <w:t>zahlung der verbürgten Forderung an.</w:t>
      </w:r>
    </w:p>
    <w:p w:rsidR="00212274" w:rsidRPr="00337A30" w:rsidRDefault="00212274" w:rsidP="00337A30">
      <w:pPr>
        <w:pStyle w:val="HaupttextEinz1"/>
        <w:numPr>
          <w:ilvl w:val="0"/>
          <w:numId w:val="27"/>
        </w:numPr>
        <w:tabs>
          <w:tab w:val="clear" w:pos="397"/>
          <w:tab w:val="clear" w:pos="454"/>
        </w:tabs>
        <w:ind w:left="709" w:hanging="709"/>
        <w:rPr>
          <w:lang w:val="de-CH"/>
        </w:rPr>
      </w:pPr>
      <w:r w:rsidRPr="00337A30">
        <w:rPr>
          <w:lang w:val="de-CH"/>
        </w:rPr>
        <w:t>Jeder Bürge kann jedoch von der Gläubigerin verlangen, dass sie die verfallenen Raten innert vier Wochen gegenüber der Hauptschuldnerin durch eingeschriebene Mahnung ge</w:t>
      </w:r>
      <w:r w:rsidRPr="00337A30">
        <w:rPr>
          <w:lang w:val="de-CH"/>
        </w:rPr>
        <w:t>l</w:t>
      </w:r>
      <w:r w:rsidRPr="00337A30">
        <w:rPr>
          <w:lang w:val="de-CH"/>
        </w:rPr>
        <w:t>tend macht und die Verwertung allfälliger Pfänder einleitet. Kommt die Gläubigerin diesem Verlangen nicht nach, wird der Bürge, welcher die Aufforderung erlassen hat, im Umfang der verfallenen Raten frei (Art. 511 Abs. 1 und 3 OR).</w:t>
      </w:r>
    </w:p>
    <w:p w:rsidR="00212274" w:rsidRPr="00337A30" w:rsidRDefault="00212274" w:rsidP="00212274">
      <w:pPr>
        <w:pStyle w:val="Titel2"/>
        <w:tabs>
          <w:tab w:val="left" w:pos="728"/>
        </w:tabs>
      </w:pPr>
      <w:r w:rsidRPr="00337A30">
        <w:t>VIII.</w:t>
      </w:r>
      <w:r w:rsidRPr="00337A30">
        <w:tab/>
        <w:t>Verschiedene Bestimmungen</w:t>
      </w:r>
    </w:p>
    <w:p w:rsidR="00212274" w:rsidRPr="00337A30" w:rsidRDefault="00212274" w:rsidP="00337A30">
      <w:pPr>
        <w:pStyle w:val="HaupttextEinz1"/>
        <w:numPr>
          <w:ilvl w:val="0"/>
          <w:numId w:val="30"/>
        </w:numPr>
        <w:tabs>
          <w:tab w:val="clear" w:pos="397"/>
          <w:tab w:val="clear" w:pos="454"/>
        </w:tabs>
        <w:ind w:left="709" w:hanging="709"/>
        <w:rPr>
          <w:lang w:val="de-CH"/>
        </w:rPr>
      </w:pPr>
      <w:r w:rsidRPr="00337A30">
        <w:rPr>
          <w:lang w:val="de-CH"/>
        </w:rPr>
        <w:t>Jeder Bürge verpflichtet sich, eine altfällige Änderung seiner Adresse umgehend der Glä</w:t>
      </w:r>
      <w:r w:rsidRPr="00337A30">
        <w:rPr>
          <w:lang w:val="de-CH"/>
        </w:rPr>
        <w:t>u</w:t>
      </w:r>
      <w:r w:rsidRPr="00337A30">
        <w:rPr>
          <w:lang w:val="de-CH"/>
        </w:rPr>
        <w:t>bigerin und den Mitbürgen mitzuteilen.</w:t>
      </w:r>
    </w:p>
    <w:p w:rsidR="00212274" w:rsidRPr="00337A30" w:rsidRDefault="00212274" w:rsidP="00337A30">
      <w:pPr>
        <w:pStyle w:val="HaupttextEinz1"/>
        <w:numPr>
          <w:ilvl w:val="0"/>
          <w:numId w:val="30"/>
        </w:numPr>
        <w:tabs>
          <w:tab w:val="clear" w:pos="397"/>
          <w:tab w:val="clear" w:pos="454"/>
        </w:tabs>
        <w:ind w:left="709" w:hanging="709"/>
        <w:rPr>
          <w:lang w:val="de-CH"/>
        </w:rPr>
      </w:pPr>
      <w:r w:rsidRPr="00337A30">
        <w:rPr>
          <w:lang w:val="de-CH"/>
        </w:rPr>
        <w:t>Bezüglich Einreden des Bürgen wird auf die gesetzliche Regelung verwiesen (Art. 501, 502 OR).</w:t>
      </w:r>
    </w:p>
    <w:p w:rsidR="00212274" w:rsidRPr="00337A30" w:rsidRDefault="00212274" w:rsidP="00337A30">
      <w:pPr>
        <w:pStyle w:val="HaupttextEinz1"/>
        <w:numPr>
          <w:ilvl w:val="0"/>
          <w:numId w:val="30"/>
        </w:numPr>
        <w:tabs>
          <w:tab w:val="clear" w:pos="397"/>
          <w:tab w:val="clear" w:pos="454"/>
        </w:tabs>
        <w:ind w:left="709" w:hanging="709"/>
        <w:rPr>
          <w:lang w:val="de-CH"/>
        </w:rPr>
      </w:pPr>
      <w:r w:rsidRPr="00337A30">
        <w:rPr>
          <w:lang w:val="de-CH"/>
        </w:rPr>
        <w:t>Erfüllungsort und Gerichtsstand sind der jeweilige Sitz der Gläubigerin.</w:t>
      </w:r>
    </w:p>
    <w:tbl>
      <w:tblPr>
        <w:tblW w:w="0" w:type="auto"/>
        <w:tblInd w:w="108" w:type="dxa"/>
        <w:tblLayout w:type="fixed"/>
        <w:tblLook w:val="01E0" w:firstRow="1" w:lastRow="1" w:firstColumn="1" w:lastColumn="1" w:noHBand="0" w:noVBand="0"/>
      </w:tblPr>
      <w:tblGrid>
        <w:gridCol w:w="4320"/>
        <w:gridCol w:w="454"/>
        <w:gridCol w:w="4321"/>
      </w:tblGrid>
      <w:tr w:rsidR="00212274" w:rsidRPr="00337A30" w:rsidTr="00743529">
        <w:trPr>
          <w:cantSplit/>
          <w:trHeight w:val="714"/>
          <w:tblHeader/>
        </w:trPr>
        <w:tc>
          <w:tcPr>
            <w:tcW w:w="4320" w:type="dxa"/>
            <w:shd w:val="clear" w:color="auto" w:fill="auto"/>
            <w:vAlign w:val="bottom"/>
          </w:tcPr>
          <w:p w:rsidR="00212274" w:rsidRPr="00337A30" w:rsidRDefault="00212274" w:rsidP="00212274">
            <w:pPr>
              <w:pStyle w:val="Haupttext"/>
              <w:rPr>
                <w:lang w:val="de-CH"/>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r w:rsidRPr="00337A30">
              <w:rPr>
                <w:lang w:val="de-CH"/>
              </w:rPr>
              <w:t>[Ort], Datum</w:t>
            </w:r>
          </w:p>
        </w:tc>
        <w:tc>
          <w:tcPr>
            <w:tcW w:w="454" w:type="dxa"/>
            <w:shd w:val="clear" w:color="auto" w:fill="auto"/>
            <w:vAlign w:val="bottom"/>
          </w:tcPr>
          <w:p w:rsidR="00212274" w:rsidRPr="00337A30" w:rsidRDefault="00212274" w:rsidP="00212274">
            <w:pPr>
              <w:pStyle w:val="Haupttext"/>
              <w:rPr>
                <w:lang w:val="de-CH"/>
              </w:rPr>
            </w:pPr>
          </w:p>
        </w:tc>
        <w:tc>
          <w:tcPr>
            <w:tcW w:w="4321" w:type="dxa"/>
            <w:shd w:val="clear" w:color="auto" w:fill="auto"/>
            <w:vAlign w:val="bottom"/>
          </w:tcPr>
          <w:p w:rsidR="00212274" w:rsidRPr="00337A30" w:rsidRDefault="00212274" w:rsidP="00212274">
            <w:pPr>
              <w:pStyle w:val="Haupttext"/>
              <w:rPr>
                <w:lang w:val="de-CH"/>
              </w:rPr>
            </w:pPr>
            <w:r w:rsidRPr="00337A30">
              <w:rPr>
                <w:lang w:val="de-CH"/>
              </w:rPr>
              <w:t>[Ort], Datum</w:t>
            </w:r>
          </w:p>
        </w:tc>
      </w:tr>
      <w:tr w:rsidR="00212274" w:rsidRPr="00337A30" w:rsidTr="00743529">
        <w:trPr>
          <w:trHeight w:val="714"/>
        </w:trPr>
        <w:tc>
          <w:tcPr>
            <w:tcW w:w="4320" w:type="dxa"/>
            <w:tcBorders>
              <w:bottom w:val="single" w:sz="4" w:space="0" w:color="auto"/>
            </w:tcBorders>
            <w:shd w:val="clear" w:color="auto" w:fill="auto"/>
          </w:tcPr>
          <w:p w:rsidR="00212274" w:rsidRPr="00337A30" w:rsidRDefault="00212274" w:rsidP="00212274">
            <w:pPr>
              <w:pStyle w:val="Haupttext"/>
              <w:rPr>
                <w:lang w:val="de-CH"/>
              </w:rPr>
            </w:pPr>
          </w:p>
        </w:tc>
        <w:tc>
          <w:tcPr>
            <w:tcW w:w="454" w:type="dxa"/>
            <w:shd w:val="clear" w:color="auto" w:fill="auto"/>
          </w:tcPr>
          <w:p w:rsidR="00212274" w:rsidRPr="00337A30" w:rsidRDefault="00212274" w:rsidP="00212274">
            <w:pPr>
              <w:pStyle w:val="Haupttext"/>
              <w:rPr>
                <w:lang w:val="de-CH"/>
              </w:rPr>
            </w:pPr>
          </w:p>
        </w:tc>
        <w:tc>
          <w:tcPr>
            <w:tcW w:w="4321" w:type="dxa"/>
            <w:tcBorders>
              <w:bottom w:val="single" w:sz="4" w:space="0" w:color="auto"/>
            </w:tcBorders>
            <w:shd w:val="clear" w:color="auto" w:fill="auto"/>
          </w:tcPr>
          <w:p w:rsidR="00212274" w:rsidRPr="00337A30" w:rsidRDefault="00212274" w:rsidP="00212274">
            <w:pPr>
              <w:pStyle w:val="Haupttext"/>
              <w:rPr>
                <w:lang w:val="de-CH"/>
              </w:rPr>
            </w:pPr>
          </w:p>
        </w:tc>
      </w:tr>
      <w:tr w:rsidR="00212274" w:rsidRPr="00337A30" w:rsidTr="00743529">
        <w:trPr>
          <w:trHeight w:val="907"/>
        </w:trPr>
        <w:tc>
          <w:tcPr>
            <w:tcW w:w="4320" w:type="dxa"/>
            <w:tcBorders>
              <w:top w:val="single" w:sz="4" w:space="0" w:color="auto"/>
            </w:tcBorders>
            <w:shd w:val="clear" w:color="auto" w:fill="auto"/>
            <w:vAlign w:val="bottom"/>
          </w:tcPr>
          <w:p w:rsidR="00212274" w:rsidRPr="00337A30" w:rsidRDefault="00212274" w:rsidP="00212274">
            <w:pPr>
              <w:pStyle w:val="Haupttext"/>
              <w:rPr>
                <w:lang w:val="de-CH"/>
              </w:rPr>
            </w:pPr>
            <w:r w:rsidRPr="00337A30">
              <w:rPr>
                <w:lang w:val="de-CH"/>
              </w:rPr>
              <w:t xml:space="preserve">Unterschrift </w:t>
            </w:r>
          </w:p>
        </w:tc>
        <w:tc>
          <w:tcPr>
            <w:tcW w:w="454" w:type="dxa"/>
            <w:shd w:val="clear" w:color="auto" w:fill="auto"/>
            <w:vAlign w:val="bottom"/>
          </w:tcPr>
          <w:p w:rsidR="00212274" w:rsidRPr="00337A30" w:rsidRDefault="00212274" w:rsidP="00212274">
            <w:pPr>
              <w:pStyle w:val="Haupttext"/>
              <w:rPr>
                <w:lang w:val="de-CH"/>
              </w:rPr>
            </w:pPr>
          </w:p>
        </w:tc>
        <w:tc>
          <w:tcPr>
            <w:tcW w:w="4321" w:type="dxa"/>
            <w:tcBorders>
              <w:top w:val="single" w:sz="4" w:space="0" w:color="auto"/>
            </w:tcBorders>
            <w:shd w:val="clear" w:color="auto" w:fill="auto"/>
            <w:vAlign w:val="bottom"/>
          </w:tcPr>
          <w:p w:rsidR="00212274" w:rsidRPr="00337A30" w:rsidRDefault="00212274" w:rsidP="00212274">
            <w:pPr>
              <w:pStyle w:val="Haupttext"/>
              <w:rPr>
                <w:lang w:val="de-CH"/>
              </w:rPr>
            </w:pPr>
            <w:r w:rsidRPr="00337A30">
              <w:rPr>
                <w:lang w:val="de-CH"/>
              </w:rPr>
              <w:t xml:space="preserve">Unterschrift </w:t>
            </w:r>
          </w:p>
        </w:tc>
      </w:tr>
      <w:tr w:rsidR="00212274" w:rsidRPr="00337A30" w:rsidTr="00743529">
        <w:trPr>
          <w:trHeight w:val="717"/>
        </w:trPr>
        <w:tc>
          <w:tcPr>
            <w:tcW w:w="4320" w:type="dxa"/>
            <w:tcBorders>
              <w:bottom w:val="single" w:sz="4" w:space="0" w:color="auto"/>
            </w:tcBorders>
            <w:shd w:val="clear" w:color="auto" w:fill="auto"/>
          </w:tcPr>
          <w:p w:rsidR="00212274" w:rsidRPr="00337A30" w:rsidRDefault="00212274" w:rsidP="00212274">
            <w:pPr>
              <w:pStyle w:val="Haupttext"/>
              <w:rPr>
                <w:lang w:val="de-CH"/>
              </w:rPr>
            </w:pPr>
          </w:p>
        </w:tc>
        <w:tc>
          <w:tcPr>
            <w:tcW w:w="454" w:type="dxa"/>
            <w:shd w:val="clear" w:color="auto" w:fill="auto"/>
          </w:tcPr>
          <w:p w:rsidR="00212274" w:rsidRPr="00337A30" w:rsidRDefault="00212274" w:rsidP="00212274">
            <w:pPr>
              <w:pStyle w:val="Haupttext"/>
              <w:rPr>
                <w:lang w:val="de-CH"/>
              </w:rPr>
            </w:pPr>
          </w:p>
        </w:tc>
        <w:tc>
          <w:tcPr>
            <w:tcW w:w="4321" w:type="dxa"/>
            <w:tcBorders>
              <w:bottom w:val="single" w:sz="4" w:space="0" w:color="auto"/>
            </w:tcBorders>
            <w:shd w:val="clear" w:color="auto" w:fill="auto"/>
          </w:tcPr>
          <w:p w:rsidR="00212274" w:rsidRPr="00337A30" w:rsidRDefault="00212274" w:rsidP="00212274">
            <w:pPr>
              <w:pStyle w:val="Haupttext"/>
              <w:rPr>
                <w:lang w:val="de-CH"/>
              </w:rPr>
            </w:pPr>
          </w:p>
        </w:tc>
      </w:tr>
      <w:bookmarkEnd w:id="1"/>
      <w:bookmarkEnd w:id="2"/>
      <w:bookmarkEnd w:id="3"/>
      <w:bookmarkEnd w:id="4"/>
      <w:bookmarkEnd w:id="5"/>
      <w:bookmarkEnd w:id="6"/>
      <w:bookmarkEnd w:id="7"/>
      <w:bookmarkEnd w:id="8"/>
      <w:bookmarkEnd w:id="9"/>
      <w:bookmarkEnd w:id="10"/>
      <w:bookmarkEnd w:id="11"/>
      <w:bookmarkEnd w:id="12"/>
    </w:tbl>
    <w:p w:rsidR="00212274" w:rsidRPr="00337A30" w:rsidRDefault="00212274" w:rsidP="00212274">
      <w:pPr>
        <w:pStyle w:val="Haupttext"/>
        <w:rPr>
          <w:rStyle w:val="Fett"/>
          <w:rFonts w:cs="Arial"/>
          <w:b w:val="0"/>
          <w:lang w:val="de-CH"/>
        </w:rPr>
      </w:pPr>
    </w:p>
    <w:tbl>
      <w:tblPr>
        <w:tblW w:w="0" w:type="auto"/>
        <w:tblInd w:w="108" w:type="dxa"/>
        <w:tblLayout w:type="fixed"/>
        <w:tblLook w:val="01E0" w:firstRow="1" w:lastRow="1" w:firstColumn="1" w:lastColumn="1" w:noHBand="0" w:noVBand="0"/>
      </w:tblPr>
      <w:tblGrid>
        <w:gridCol w:w="4320"/>
        <w:gridCol w:w="454"/>
        <w:gridCol w:w="4321"/>
      </w:tblGrid>
      <w:tr w:rsidR="00212274" w:rsidRPr="00337A30" w:rsidTr="00743529">
        <w:trPr>
          <w:cantSplit/>
          <w:trHeight w:val="714"/>
          <w:tblHeader/>
        </w:trPr>
        <w:tc>
          <w:tcPr>
            <w:tcW w:w="4320" w:type="dxa"/>
            <w:shd w:val="clear" w:color="auto" w:fill="auto"/>
            <w:vAlign w:val="bottom"/>
          </w:tcPr>
          <w:p w:rsidR="00212274" w:rsidRPr="00337A30" w:rsidRDefault="00212274" w:rsidP="00212274">
            <w:pPr>
              <w:pStyle w:val="Haupttext"/>
              <w:rPr>
                <w:lang w:val="de-CH"/>
              </w:rPr>
            </w:pPr>
            <w:r w:rsidRPr="00337A30">
              <w:rPr>
                <w:lang w:val="de-CH"/>
              </w:rPr>
              <w:t>[Ort], Datum</w:t>
            </w:r>
          </w:p>
        </w:tc>
        <w:tc>
          <w:tcPr>
            <w:tcW w:w="454" w:type="dxa"/>
            <w:shd w:val="clear" w:color="auto" w:fill="auto"/>
            <w:vAlign w:val="bottom"/>
          </w:tcPr>
          <w:p w:rsidR="00212274" w:rsidRPr="00337A30" w:rsidRDefault="00212274" w:rsidP="00212274">
            <w:pPr>
              <w:pStyle w:val="Haupttext"/>
              <w:rPr>
                <w:lang w:val="de-CH"/>
              </w:rPr>
            </w:pPr>
          </w:p>
        </w:tc>
        <w:tc>
          <w:tcPr>
            <w:tcW w:w="4321" w:type="dxa"/>
            <w:shd w:val="clear" w:color="auto" w:fill="auto"/>
            <w:vAlign w:val="bottom"/>
          </w:tcPr>
          <w:p w:rsidR="00212274" w:rsidRPr="00337A30" w:rsidRDefault="00212274" w:rsidP="00212274">
            <w:pPr>
              <w:pStyle w:val="Haupttext"/>
              <w:rPr>
                <w:lang w:val="de-CH"/>
              </w:rPr>
            </w:pPr>
            <w:r w:rsidRPr="00337A30">
              <w:rPr>
                <w:lang w:val="de-CH"/>
              </w:rPr>
              <w:t>[Ort], Datum</w:t>
            </w:r>
          </w:p>
        </w:tc>
      </w:tr>
      <w:tr w:rsidR="00212274" w:rsidRPr="00337A30" w:rsidTr="00743529">
        <w:trPr>
          <w:trHeight w:val="714"/>
        </w:trPr>
        <w:tc>
          <w:tcPr>
            <w:tcW w:w="4320" w:type="dxa"/>
            <w:tcBorders>
              <w:bottom w:val="single" w:sz="4" w:space="0" w:color="auto"/>
            </w:tcBorders>
            <w:shd w:val="clear" w:color="auto" w:fill="auto"/>
          </w:tcPr>
          <w:p w:rsidR="00212274" w:rsidRPr="00337A30" w:rsidRDefault="00212274" w:rsidP="00212274">
            <w:pPr>
              <w:pStyle w:val="Haupttext"/>
              <w:rPr>
                <w:lang w:val="de-CH"/>
              </w:rPr>
            </w:pPr>
          </w:p>
        </w:tc>
        <w:tc>
          <w:tcPr>
            <w:tcW w:w="454" w:type="dxa"/>
            <w:shd w:val="clear" w:color="auto" w:fill="auto"/>
          </w:tcPr>
          <w:p w:rsidR="00212274" w:rsidRPr="00337A30" w:rsidRDefault="00212274" w:rsidP="00212274">
            <w:pPr>
              <w:pStyle w:val="Haupttext"/>
              <w:rPr>
                <w:lang w:val="de-CH"/>
              </w:rPr>
            </w:pPr>
          </w:p>
        </w:tc>
        <w:tc>
          <w:tcPr>
            <w:tcW w:w="4321" w:type="dxa"/>
            <w:tcBorders>
              <w:bottom w:val="single" w:sz="4" w:space="0" w:color="auto"/>
            </w:tcBorders>
            <w:shd w:val="clear" w:color="auto" w:fill="auto"/>
          </w:tcPr>
          <w:p w:rsidR="00212274" w:rsidRPr="00337A30" w:rsidRDefault="00212274" w:rsidP="00212274">
            <w:pPr>
              <w:pStyle w:val="Haupttext"/>
              <w:rPr>
                <w:lang w:val="de-CH"/>
              </w:rPr>
            </w:pPr>
          </w:p>
        </w:tc>
      </w:tr>
      <w:tr w:rsidR="00212274" w:rsidRPr="00337A30" w:rsidTr="00743529">
        <w:trPr>
          <w:trHeight w:val="907"/>
        </w:trPr>
        <w:tc>
          <w:tcPr>
            <w:tcW w:w="4320" w:type="dxa"/>
            <w:tcBorders>
              <w:top w:val="single" w:sz="4" w:space="0" w:color="auto"/>
            </w:tcBorders>
            <w:shd w:val="clear" w:color="auto" w:fill="auto"/>
            <w:vAlign w:val="bottom"/>
          </w:tcPr>
          <w:p w:rsidR="00212274" w:rsidRPr="00337A30" w:rsidRDefault="00212274" w:rsidP="00212274">
            <w:pPr>
              <w:pStyle w:val="Haupttext"/>
              <w:rPr>
                <w:lang w:val="de-CH"/>
              </w:rPr>
            </w:pPr>
            <w:r w:rsidRPr="00337A30">
              <w:rPr>
                <w:lang w:val="de-CH"/>
              </w:rPr>
              <w:t xml:space="preserve">Unterschrift </w:t>
            </w:r>
          </w:p>
        </w:tc>
        <w:tc>
          <w:tcPr>
            <w:tcW w:w="454" w:type="dxa"/>
            <w:shd w:val="clear" w:color="auto" w:fill="auto"/>
            <w:vAlign w:val="bottom"/>
          </w:tcPr>
          <w:p w:rsidR="00212274" w:rsidRPr="00337A30" w:rsidRDefault="00212274" w:rsidP="00212274">
            <w:pPr>
              <w:pStyle w:val="Haupttext"/>
              <w:rPr>
                <w:lang w:val="de-CH"/>
              </w:rPr>
            </w:pPr>
          </w:p>
        </w:tc>
        <w:tc>
          <w:tcPr>
            <w:tcW w:w="4321" w:type="dxa"/>
            <w:tcBorders>
              <w:top w:val="single" w:sz="4" w:space="0" w:color="auto"/>
            </w:tcBorders>
            <w:shd w:val="clear" w:color="auto" w:fill="auto"/>
            <w:vAlign w:val="bottom"/>
          </w:tcPr>
          <w:p w:rsidR="00212274" w:rsidRPr="00337A30" w:rsidRDefault="00212274" w:rsidP="00212274">
            <w:pPr>
              <w:pStyle w:val="Haupttext"/>
              <w:rPr>
                <w:lang w:val="de-CH"/>
              </w:rPr>
            </w:pPr>
            <w:r w:rsidRPr="00337A30">
              <w:rPr>
                <w:lang w:val="de-CH"/>
              </w:rPr>
              <w:t xml:space="preserve">Unterschrift </w:t>
            </w:r>
          </w:p>
        </w:tc>
      </w:tr>
      <w:tr w:rsidR="00212274" w:rsidRPr="00337A30" w:rsidTr="00743529">
        <w:trPr>
          <w:trHeight w:val="717"/>
        </w:trPr>
        <w:tc>
          <w:tcPr>
            <w:tcW w:w="4320" w:type="dxa"/>
            <w:tcBorders>
              <w:bottom w:val="single" w:sz="4" w:space="0" w:color="auto"/>
            </w:tcBorders>
            <w:shd w:val="clear" w:color="auto" w:fill="auto"/>
          </w:tcPr>
          <w:p w:rsidR="00212274" w:rsidRPr="00337A30" w:rsidRDefault="00212274" w:rsidP="00212274">
            <w:pPr>
              <w:pStyle w:val="Haupttext"/>
              <w:rPr>
                <w:lang w:val="de-CH"/>
              </w:rPr>
            </w:pPr>
          </w:p>
        </w:tc>
        <w:tc>
          <w:tcPr>
            <w:tcW w:w="454" w:type="dxa"/>
            <w:shd w:val="clear" w:color="auto" w:fill="auto"/>
          </w:tcPr>
          <w:p w:rsidR="00212274" w:rsidRPr="00337A30" w:rsidRDefault="00212274" w:rsidP="00212274">
            <w:pPr>
              <w:pStyle w:val="Haupttext"/>
              <w:rPr>
                <w:lang w:val="de-CH"/>
              </w:rPr>
            </w:pPr>
          </w:p>
        </w:tc>
        <w:tc>
          <w:tcPr>
            <w:tcW w:w="4321" w:type="dxa"/>
            <w:tcBorders>
              <w:bottom w:val="single" w:sz="4" w:space="0" w:color="auto"/>
            </w:tcBorders>
            <w:shd w:val="clear" w:color="auto" w:fill="auto"/>
          </w:tcPr>
          <w:p w:rsidR="00212274" w:rsidRPr="00337A30" w:rsidRDefault="00212274" w:rsidP="00212274">
            <w:pPr>
              <w:pStyle w:val="Haupttext"/>
              <w:rPr>
                <w:lang w:val="de-CH"/>
              </w:rPr>
            </w:pPr>
          </w:p>
        </w:tc>
      </w:tr>
      <w:tr w:rsidR="00212274" w:rsidRPr="00337A30" w:rsidTr="00743529">
        <w:trPr>
          <w:gridAfter w:val="2"/>
          <w:wAfter w:w="4775" w:type="dxa"/>
          <w:cantSplit/>
          <w:trHeight w:val="714"/>
          <w:tblHeader/>
        </w:trPr>
        <w:tc>
          <w:tcPr>
            <w:tcW w:w="4320" w:type="dxa"/>
            <w:shd w:val="clear" w:color="auto" w:fill="auto"/>
            <w:vAlign w:val="bottom"/>
          </w:tcPr>
          <w:p w:rsidR="00212274" w:rsidRPr="00337A30" w:rsidRDefault="00212274" w:rsidP="00212274">
            <w:pPr>
              <w:pStyle w:val="Haupttext"/>
              <w:rPr>
                <w:lang w:val="de-CH"/>
              </w:rPr>
            </w:pPr>
            <w:bookmarkStart w:id="13" w:name="OLE_LINK4"/>
            <w:bookmarkStart w:id="14" w:name="OLE_LINK5"/>
            <w:r w:rsidRPr="00337A30">
              <w:rPr>
                <w:lang w:val="de-CH"/>
              </w:rPr>
              <w:t>[Ort], Datum</w:t>
            </w:r>
          </w:p>
        </w:tc>
      </w:tr>
      <w:tr w:rsidR="00212274" w:rsidRPr="00337A30" w:rsidTr="00743529">
        <w:trPr>
          <w:gridAfter w:val="2"/>
          <w:wAfter w:w="4775" w:type="dxa"/>
          <w:trHeight w:val="714"/>
        </w:trPr>
        <w:tc>
          <w:tcPr>
            <w:tcW w:w="4320" w:type="dxa"/>
            <w:tcBorders>
              <w:bottom w:val="single" w:sz="4" w:space="0" w:color="auto"/>
            </w:tcBorders>
            <w:shd w:val="clear" w:color="auto" w:fill="auto"/>
          </w:tcPr>
          <w:p w:rsidR="00212274" w:rsidRPr="00337A30" w:rsidRDefault="00212274" w:rsidP="00212274">
            <w:pPr>
              <w:pStyle w:val="Haupttext"/>
              <w:rPr>
                <w:lang w:val="de-CH"/>
              </w:rPr>
            </w:pPr>
          </w:p>
        </w:tc>
      </w:tr>
      <w:tr w:rsidR="00212274" w:rsidRPr="00337A30" w:rsidTr="00743529">
        <w:trPr>
          <w:gridAfter w:val="2"/>
          <w:wAfter w:w="4775" w:type="dxa"/>
          <w:trHeight w:val="907"/>
        </w:trPr>
        <w:tc>
          <w:tcPr>
            <w:tcW w:w="4320" w:type="dxa"/>
            <w:tcBorders>
              <w:top w:val="single" w:sz="4" w:space="0" w:color="auto"/>
            </w:tcBorders>
            <w:shd w:val="clear" w:color="auto" w:fill="auto"/>
            <w:vAlign w:val="bottom"/>
          </w:tcPr>
          <w:p w:rsidR="00212274" w:rsidRPr="00337A30" w:rsidRDefault="00212274" w:rsidP="00212274">
            <w:pPr>
              <w:pStyle w:val="Haupttext"/>
              <w:rPr>
                <w:lang w:val="de-CH"/>
              </w:rPr>
            </w:pPr>
            <w:r w:rsidRPr="00337A30">
              <w:rPr>
                <w:lang w:val="de-CH"/>
              </w:rPr>
              <w:t xml:space="preserve">Unterschrift </w:t>
            </w:r>
          </w:p>
        </w:tc>
      </w:tr>
      <w:tr w:rsidR="00212274" w:rsidRPr="00337A30" w:rsidTr="00743529">
        <w:trPr>
          <w:gridAfter w:val="2"/>
          <w:wAfter w:w="4775" w:type="dxa"/>
          <w:trHeight w:val="717"/>
        </w:trPr>
        <w:tc>
          <w:tcPr>
            <w:tcW w:w="4320" w:type="dxa"/>
            <w:tcBorders>
              <w:bottom w:val="single" w:sz="4" w:space="0" w:color="auto"/>
            </w:tcBorders>
            <w:shd w:val="clear" w:color="auto" w:fill="auto"/>
          </w:tcPr>
          <w:p w:rsidR="00212274" w:rsidRPr="00337A30" w:rsidRDefault="00212274" w:rsidP="00212274">
            <w:pPr>
              <w:pStyle w:val="Haupttext"/>
              <w:rPr>
                <w:lang w:val="de-CH"/>
              </w:rPr>
            </w:pPr>
          </w:p>
        </w:tc>
      </w:tr>
      <w:bookmarkEnd w:id="13"/>
      <w:bookmarkEnd w:id="14"/>
    </w:tbl>
    <w:p w:rsidR="00212274" w:rsidRPr="00337A30" w:rsidRDefault="00212274" w:rsidP="00212274">
      <w:pPr>
        <w:pStyle w:val="HaupttextEinz1"/>
        <w:numPr>
          <w:ilvl w:val="0"/>
          <w:numId w:val="0"/>
        </w:numPr>
        <w:tabs>
          <w:tab w:val="clear" w:pos="397"/>
        </w:tabs>
        <w:rPr>
          <w:lang w:val="de-CH"/>
        </w:rPr>
      </w:pPr>
    </w:p>
    <w:sectPr w:rsidR="00212274" w:rsidRPr="00337A30"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979" w:rsidRDefault="00F87979">
      <w:r>
        <w:separator/>
      </w:r>
    </w:p>
  </w:endnote>
  <w:endnote w:type="continuationSeparator" w:id="0">
    <w:p w:rsidR="00F87979" w:rsidRDefault="00F87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00B05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337A30"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349E34C2" wp14:editId="345ABEC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1855E35D" wp14:editId="32001F0F">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7A30">
      <w:rPr>
        <w:rFonts w:ascii="Verdana" w:hAnsi="Verdana"/>
        <w:noProof/>
        <w:snapToGrid w:val="0"/>
        <w:color w:val="999999"/>
        <w:sz w:val="16"/>
        <w:lang w:val="en-GB"/>
      </w:rPr>
      <w:tab/>
    </w:r>
    <w:r w:rsidRPr="00337A30">
      <w:rPr>
        <w:rFonts w:ascii="Verdana" w:hAnsi="Verdana"/>
        <w:noProof/>
        <w:snapToGrid w:val="0"/>
        <w:color w:val="999999"/>
        <w:sz w:val="16"/>
        <w:lang w:val="en-GB"/>
      </w:rPr>
      <w:br/>
      <w:t xml:space="preserve">           WEKA Business Media AG | </w:t>
    </w:r>
    <w:hyperlink r:id="rId2" w:history="1">
      <w:r w:rsidR="00A2656E" w:rsidRPr="00337A30">
        <w:rPr>
          <w:rStyle w:val="Hyperlink"/>
          <w:rFonts w:ascii="Verdana" w:hAnsi="Verdana"/>
          <w:noProof/>
          <w:snapToGrid w:val="0"/>
          <w:sz w:val="16"/>
          <w:lang w:val="en-GB"/>
        </w:rPr>
        <w:t>www.weka.ch</w:t>
      </w:r>
    </w:hyperlink>
    <w:r w:rsidR="00A2656E" w:rsidRPr="00337A30">
      <w:rPr>
        <w:rFonts w:ascii="Verdana" w:hAnsi="Verdana"/>
        <w:noProof/>
        <w:snapToGrid w:val="0"/>
        <w:color w:val="999999"/>
        <w:sz w:val="16"/>
        <w:lang w:val="en-GB"/>
      </w:rPr>
      <w:t xml:space="preserve"> |</w:t>
    </w:r>
    <w:r w:rsidRPr="00337A30">
      <w:rPr>
        <w:rFonts w:ascii="Verdana" w:hAnsi="Verdana"/>
        <w:noProof/>
        <w:snapToGrid w:val="0"/>
        <w:color w:val="999999"/>
        <w:sz w:val="16"/>
        <w:lang w:val="en-GB"/>
      </w:rPr>
      <w:tab/>
    </w:r>
    <w:r>
      <w:rPr>
        <w:rFonts w:ascii="Verdana" w:hAnsi="Verdana"/>
        <w:noProof/>
        <w:color w:val="999999"/>
        <w:sz w:val="16"/>
      </w:rPr>
      <w:fldChar w:fldCharType="begin"/>
    </w:r>
    <w:r w:rsidRPr="00337A30">
      <w:rPr>
        <w:rFonts w:ascii="Verdana" w:hAnsi="Verdana"/>
        <w:noProof/>
        <w:color w:val="999999"/>
        <w:sz w:val="16"/>
        <w:lang w:val="en-GB"/>
      </w:rPr>
      <w:instrText xml:space="preserve"> PAGE </w:instrText>
    </w:r>
    <w:r>
      <w:rPr>
        <w:rFonts w:ascii="Verdana" w:hAnsi="Verdana"/>
        <w:noProof/>
        <w:color w:val="999999"/>
        <w:sz w:val="16"/>
      </w:rPr>
      <w:fldChar w:fldCharType="separate"/>
    </w:r>
    <w:r w:rsidR="00337A30">
      <w:rPr>
        <w:rFonts w:ascii="Verdana" w:hAnsi="Verdana"/>
        <w:noProof/>
        <w:color w:val="999999"/>
        <w:sz w:val="16"/>
        <w:lang w:val="en-GB"/>
      </w:rPr>
      <w:t>2</w:t>
    </w:r>
    <w:r>
      <w:rPr>
        <w:rFonts w:ascii="Verdana" w:hAnsi="Verdana"/>
        <w:noProof/>
        <w:color w:val="999999"/>
        <w:sz w:val="16"/>
      </w:rPr>
      <w:fldChar w:fldCharType="end"/>
    </w:r>
    <w:r w:rsidRPr="00337A30">
      <w:rPr>
        <w:rFonts w:ascii="Verdana" w:hAnsi="Verdana"/>
        <w:noProof/>
        <w:snapToGrid w:val="0"/>
        <w:color w:val="999999"/>
        <w:sz w:val="16"/>
        <w:lang w:val="en-GB"/>
      </w:rPr>
      <w:t>/</w:t>
    </w:r>
    <w:r>
      <w:rPr>
        <w:rFonts w:ascii="Verdana" w:hAnsi="Verdana"/>
        <w:noProof/>
        <w:color w:val="999999"/>
        <w:sz w:val="16"/>
      </w:rPr>
      <w:fldChar w:fldCharType="begin"/>
    </w:r>
    <w:r w:rsidRPr="00337A30">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337A30">
      <w:rPr>
        <w:rFonts w:ascii="Verdana" w:hAnsi="Verdana"/>
        <w:noProof/>
        <w:color w:val="999999"/>
        <w:sz w:val="16"/>
        <w:lang w:val="en-GB"/>
      </w:rPr>
      <w:t>3</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979" w:rsidRDefault="00F87979">
      <w:r>
        <w:separator/>
      </w:r>
    </w:p>
  </w:footnote>
  <w:footnote w:type="continuationSeparator" w:id="0">
    <w:p w:rsidR="00F87979" w:rsidRDefault="00F879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52D3C15C" wp14:editId="20ADC88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5E1151">
      <w:rPr>
        <w:rFonts w:ascii="Verdana" w:hAnsi="Verdana"/>
        <w:noProof/>
        <w:color w:val="999999"/>
        <w:sz w:val="16"/>
        <w:lang w:val="fr-CH"/>
      </w:rPr>
      <w:t>Bürgschaftsvertrag (solidarische Mitbürgschaft)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50F0"/>
    <w:multiLevelType w:val="singleLevel"/>
    <w:tmpl w:val="90B87E5A"/>
    <w:lvl w:ilvl="0">
      <w:start w:val="1"/>
      <w:numFmt w:val="decimal"/>
      <w:lvlText w:val="%1."/>
      <w:lvlJc w:val="left"/>
      <w:pPr>
        <w:tabs>
          <w:tab w:val="num" w:pos="360"/>
        </w:tabs>
        <w:ind w:left="360" w:hanging="360"/>
      </w:pPr>
      <w:rPr>
        <w:rFonts w:hint="default"/>
      </w:rPr>
    </w:lvl>
  </w:abstractNum>
  <w:abstractNum w:abstractNumId="1">
    <w:nsid w:val="15DB38B5"/>
    <w:multiLevelType w:val="singleLevel"/>
    <w:tmpl w:val="7E167572"/>
    <w:lvl w:ilvl="0">
      <w:start w:val="1"/>
      <w:numFmt w:val="decimal"/>
      <w:lvlText w:val="%1."/>
      <w:lvlJc w:val="left"/>
      <w:pPr>
        <w:tabs>
          <w:tab w:val="num" w:pos="360"/>
        </w:tabs>
        <w:ind w:left="360" w:hanging="360"/>
      </w:pPr>
      <w:rPr>
        <w:rFonts w:hint="default"/>
      </w:rPr>
    </w:lvl>
  </w:abstractNum>
  <w:abstractNum w:abstractNumId="2">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3">
    <w:nsid w:val="32BC1F96"/>
    <w:multiLevelType w:val="singleLevel"/>
    <w:tmpl w:val="04C425FC"/>
    <w:lvl w:ilvl="0">
      <w:start w:val="1"/>
      <w:numFmt w:val="decimal"/>
      <w:lvlText w:val="%1."/>
      <w:lvlJc w:val="left"/>
      <w:pPr>
        <w:tabs>
          <w:tab w:val="num" w:pos="360"/>
        </w:tabs>
        <w:ind w:left="360" w:hanging="360"/>
      </w:pPr>
      <w:rPr>
        <w:rFonts w:hint="default"/>
      </w:rPr>
    </w:lvl>
  </w:abstractNum>
  <w:abstractNum w:abstractNumId="4">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5">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6">
    <w:nsid w:val="506F7DDE"/>
    <w:multiLevelType w:val="singleLevel"/>
    <w:tmpl w:val="16C4B844"/>
    <w:lvl w:ilvl="0">
      <w:start w:val="1"/>
      <w:numFmt w:val="decimal"/>
      <w:lvlText w:val="%1."/>
      <w:lvlJc w:val="left"/>
      <w:pPr>
        <w:tabs>
          <w:tab w:val="num" w:pos="360"/>
        </w:tabs>
        <w:ind w:left="360" w:hanging="360"/>
      </w:pPr>
      <w:rPr>
        <w:rFonts w:hint="default"/>
      </w:rPr>
    </w:lvl>
  </w:abstractNum>
  <w:abstractNum w:abstractNumId="7">
    <w:nsid w:val="5E762FA2"/>
    <w:multiLevelType w:val="singleLevel"/>
    <w:tmpl w:val="1EE6B6DA"/>
    <w:lvl w:ilvl="0">
      <w:start w:val="1"/>
      <w:numFmt w:val="decimal"/>
      <w:lvlText w:val="%1."/>
      <w:lvlJc w:val="left"/>
      <w:pPr>
        <w:tabs>
          <w:tab w:val="num" w:pos="360"/>
        </w:tabs>
        <w:ind w:left="360" w:hanging="360"/>
      </w:pPr>
      <w:rPr>
        <w:rFonts w:hint="default"/>
      </w:rPr>
    </w:lvl>
  </w:abstractNum>
  <w:abstractNum w:abstractNumId="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9">
    <w:nsid w:val="69036B1C"/>
    <w:multiLevelType w:val="singleLevel"/>
    <w:tmpl w:val="A468B3BE"/>
    <w:lvl w:ilvl="0">
      <w:start w:val="1"/>
      <w:numFmt w:val="decimal"/>
      <w:lvlText w:val="%1."/>
      <w:lvlJc w:val="left"/>
      <w:pPr>
        <w:tabs>
          <w:tab w:val="num" w:pos="360"/>
        </w:tabs>
        <w:ind w:left="360" w:hanging="360"/>
      </w:pPr>
      <w:rPr>
        <w:rFonts w:hint="default"/>
      </w:rPr>
    </w:lvl>
  </w:abstractNum>
  <w:abstractNum w:abstractNumId="10">
    <w:nsid w:val="73572CE0"/>
    <w:multiLevelType w:val="singleLevel"/>
    <w:tmpl w:val="AE0C7F5A"/>
    <w:lvl w:ilvl="0">
      <w:start w:val="1"/>
      <w:numFmt w:val="decimal"/>
      <w:lvlText w:val="%1."/>
      <w:lvlJc w:val="left"/>
      <w:pPr>
        <w:tabs>
          <w:tab w:val="num" w:pos="360"/>
        </w:tabs>
        <w:ind w:left="360" w:hanging="360"/>
      </w:pPr>
      <w:rPr>
        <w:rFonts w:hint="default"/>
      </w:rPr>
    </w:lvl>
  </w:abstractNum>
  <w:abstractNum w:abstractNumId="11">
    <w:nsid w:val="77AE1639"/>
    <w:multiLevelType w:val="hybridMultilevel"/>
    <w:tmpl w:val="D584C848"/>
    <w:lvl w:ilvl="0" w:tplc="2BF243B4">
      <w:start w:val="1"/>
      <w:numFmt w:val="decimal"/>
      <w:lvlText w:val="%1."/>
      <w:lvlJc w:val="left"/>
      <w:pPr>
        <w:ind w:left="720" w:hanging="360"/>
      </w:pPr>
      <w:rPr>
        <w:rFonts w:asciiTheme="minorHAnsi" w:eastAsiaTheme="minorEastAsia" w:hAnsiTheme="minorHAnsi" w:cstheme="minorBidi"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7C92E1A"/>
    <w:multiLevelType w:val="singleLevel"/>
    <w:tmpl w:val="8DDA6E18"/>
    <w:lvl w:ilvl="0">
      <w:start w:val="1"/>
      <w:numFmt w:val="decimal"/>
      <w:lvlText w:val="%1."/>
      <w:lvlJc w:val="left"/>
      <w:pPr>
        <w:tabs>
          <w:tab w:val="num" w:pos="360"/>
        </w:tabs>
        <w:ind w:left="360" w:hanging="360"/>
      </w:pPr>
      <w:rPr>
        <w:rFonts w:hint="default"/>
      </w:rPr>
    </w:lvl>
  </w:abstractNum>
  <w:num w:numId="1">
    <w:abstractNumId w:val="8"/>
  </w:num>
  <w:num w:numId="2">
    <w:abstractNumId w:val="5"/>
  </w:num>
  <w:num w:numId="3">
    <w:abstractNumId w:val="2"/>
  </w:num>
  <w:num w:numId="4">
    <w:abstractNumId w:val="4"/>
  </w:num>
  <w:num w:numId="5">
    <w:abstractNumId w:val="8"/>
    <w:lvlOverride w:ilvl="0">
      <w:startOverride w:val="1"/>
    </w:lvlOverride>
  </w:num>
  <w:num w:numId="6">
    <w:abstractNumId w:val="8"/>
    <w:lvlOverride w:ilvl="0">
      <w:startOverride w:val="1"/>
    </w:lvlOverride>
  </w:num>
  <w:num w:numId="7">
    <w:abstractNumId w:val="8"/>
    <w:lvlOverride w:ilvl="0">
      <w:startOverride w:val="1"/>
    </w:lvlOverride>
  </w:num>
  <w:num w:numId="8">
    <w:abstractNumId w:val="9"/>
  </w:num>
  <w:num w:numId="9">
    <w:abstractNumId w:val="11"/>
  </w:num>
  <w:num w:numId="10">
    <w:abstractNumId w:val="8"/>
  </w:num>
  <w:num w:numId="11">
    <w:abstractNumId w:val="8"/>
  </w:num>
  <w:num w:numId="12">
    <w:abstractNumId w:val="12"/>
  </w:num>
  <w:num w:numId="13">
    <w:abstractNumId w:val="8"/>
    <w:lvlOverride w:ilvl="0">
      <w:startOverride w:val="1"/>
    </w:lvlOverride>
  </w:num>
  <w:num w:numId="14">
    <w:abstractNumId w:val="8"/>
  </w:num>
  <w:num w:numId="15">
    <w:abstractNumId w:val="8"/>
  </w:num>
  <w:num w:numId="16">
    <w:abstractNumId w:val="10"/>
  </w:num>
  <w:num w:numId="17">
    <w:abstractNumId w:val="8"/>
    <w:lvlOverride w:ilvl="0">
      <w:startOverride w:val="1"/>
    </w:lvlOverride>
  </w:num>
  <w:num w:numId="18">
    <w:abstractNumId w:val="1"/>
  </w:num>
  <w:num w:numId="19">
    <w:abstractNumId w:val="8"/>
    <w:lvlOverride w:ilvl="0">
      <w:startOverride w:val="1"/>
    </w:lvlOverride>
  </w:num>
  <w:num w:numId="20">
    <w:abstractNumId w:val="0"/>
  </w:num>
  <w:num w:numId="21">
    <w:abstractNumId w:val="8"/>
    <w:lvlOverride w:ilvl="0">
      <w:startOverride w:val="1"/>
    </w:lvlOverride>
  </w:num>
  <w:num w:numId="22">
    <w:abstractNumId w:val="8"/>
  </w:num>
  <w:num w:numId="23">
    <w:abstractNumId w:val="7"/>
  </w:num>
  <w:num w:numId="24">
    <w:abstractNumId w:val="8"/>
    <w:lvlOverride w:ilvl="0">
      <w:startOverride w:val="1"/>
    </w:lvlOverride>
  </w:num>
  <w:num w:numId="25">
    <w:abstractNumId w:val="8"/>
  </w:num>
  <w:num w:numId="26">
    <w:abstractNumId w:val="3"/>
  </w:num>
  <w:num w:numId="27">
    <w:abstractNumId w:val="8"/>
    <w:lvlOverride w:ilvl="0">
      <w:startOverride w:val="1"/>
    </w:lvlOverride>
  </w:num>
  <w:num w:numId="28">
    <w:abstractNumId w:val="8"/>
  </w:num>
  <w:num w:numId="29">
    <w:abstractNumId w:val="6"/>
  </w:num>
  <w:num w:numId="30">
    <w:abstractNumId w:val="8"/>
    <w:lvlOverride w:ilvl="0">
      <w:startOverride w:val="1"/>
    </w:lvlOverride>
  </w:num>
  <w:num w:numId="3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12274"/>
    <w:rsid w:val="002759FA"/>
    <w:rsid w:val="00337A30"/>
    <w:rsid w:val="00391840"/>
    <w:rsid w:val="00406F76"/>
    <w:rsid w:val="004F2E4A"/>
    <w:rsid w:val="005E1151"/>
    <w:rsid w:val="00641AF7"/>
    <w:rsid w:val="006C66E5"/>
    <w:rsid w:val="007D1353"/>
    <w:rsid w:val="0084662F"/>
    <w:rsid w:val="0085719F"/>
    <w:rsid w:val="008C35ED"/>
    <w:rsid w:val="008F16FC"/>
    <w:rsid w:val="00A2656E"/>
    <w:rsid w:val="00BF7A9A"/>
    <w:rsid w:val="00CE5FB7"/>
    <w:rsid w:val="00D228A7"/>
    <w:rsid w:val="00D9014F"/>
    <w:rsid w:val="00F54A9D"/>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101179"/>
    <w:rPr>
      <w:rFonts w:ascii="Arial" w:hAnsi="Arial"/>
      <w:lang w:val="de-CH" w:eastAsia="en-US"/>
    </w:rPr>
  </w:style>
  <w:style w:type="character" w:customStyle="1" w:styleId="Gesetz">
    <w:name w:val="Gesetz"/>
    <w:rsid w:val="00212274"/>
    <w:rPr>
      <w:color w:val="FF0000"/>
    </w:rPr>
  </w:style>
  <w:style w:type="paragraph" w:styleId="Kommentartext">
    <w:name w:val="annotation text"/>
    <w:basedOn w:val="Standard"/>
    <w:link w:val="KommentartextZchn"/>
    <w:rsid w:val="00212274"/>
    <w:pPr>
      <w:spacing w:after="0" w:line="240" w:lineRule="auto"/>
    </w:pPr>
    <w:rPr>
      <w:rFonts w:ascii="Arial" w:eastAsia="Times New Roman" w:hAnsi="Arial" w:cs="Times New Roman"/>
      <w:sz w:val="20"/>
      <w:szCs w:val="20"/>
      <w:lang w:eastAsia="en-US"/>
    </w:rPr>
  </w:style>
  <w:style w:type="character" w:customStyle="1" w:styleId="KommentartextZchn">
    <w:name w:val="Kommentartext Zchn"/>
    <w:basedOn w:val="Absatz-Standardschriftart"/>
    <w:link w:val="Kommentartext"/>
    <w:rsid w:val="00212274"/>
    <w:rPr>
      <w:rFonts w:ascii="Arial" w:hAnsi="Arial"/>
      <w:lang w:val="de-CH" w:eastAsia="en-US"/>
    </w:rPr>
  </w:style>
  <w:style w:type="paragraph" w:styleId="Unterschrift">
    <w:name w:val="Signature"/>
    <w:basedOn w:val="Standard"/>
    <w:link w:val="UnterschriftZchn"/>
    <w:rsid w:val="00212274"/>
    <w:pPr>
      <w:spacing w:after="0" w:line="240" w:lineRule="auto"/>
      <w:ind w:left="4252"/>
    </w:pPr>
    <w:rPr>
      <w:rFonts w:ascii="Arial" w:eastAsia="Times New Roman" w:hAnsi="Arial" w:cs="Times New Roman"/>
      <w:sz w:val="20"/>
      <w:szCs w:val="20"/>
      <w:lang w:eastAsia="en-US"/>
    </w:rPr>
  </w:style>
  <w:style w:type="character" w:customStyle="1" w:styleId="UnterschriftZchn">
    <w:name w:val="Unterschrift Zchn"/>
    <w:basedOn w:val="Absatz-Standardschriftart"/>
    <w:link w:val="Unterschrift"/>
    <w:rsid w:val="00212274"/>
    <w:rPr>
      <w:rFonts w:ascii="Arial" w:hAnsi="Arial"/>
      <w:lang w:val="de-CH" w:eastAsia="en-US"/>
    </w:rPr>
  </w:style>
  <w:style w:type="character" w:styleId="Fett">
    <w:name w:val="Strong"/>
    <w:qFormat/>
    <w:rsid w:val="0021227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101179"/>
    <w:rPr>
      <w:rFonts w:ascii="Arial" w:hAnsi="Arial"/>
      <w:lang w:val="de-CH" w:eastAsia="en-US"/>
    </w:rPr>
  </w:style>
  <w:style w:type="character" w:customStyle="1" w:styleId="Gesetz">
    <w:name w:val="Gesetz"/>
    <w:rsid w:val="00212274"/>
    <w:rPr>
      <w:color w:val="FF0000"/>
    </w:rPr>
  </w:style>
  <w:style w:type="paragraph" w:styleId="Kommentartext">
    <w:name w:val="annotation text"/>
    <w:basedOn w:val="Standard"/>
    <w:link w:val="KommentartextZchn"/>
    <w:rsid w:val="00212274"/>
    <w:pPr>
      <w:spacing w:after="0" w:line="240" w:lineRule="auto"/>
    </w:pPr>
    <w:rPr>
      <w:rFonts w:ascii="Arial" w:eastAsia="Times New Roman" w:hAnsi="Arial" w:cs="Times New Roman"/>
      <w:sz w:val="20"/>
      <w:szCs w:val="20"/>
      <w:lang w:eastAsia="en-US"/>
    </w:rPr>
  </w:style>
  <w:style w:type="character" w:customStyle="1" w:styleId="KommentartextZchn">
    <w:name w:val="Kommentartext Zchn"/>
    <w:basedOn w:val="Absatz-Standardschriftart"/>
    <w:link w:val="Kommentartext"/>
    <w:rsid w:val="00212274"/>
    <w:rPr>
      <w:rFonts w:ascii="Arial" w:hAnsi="Arial"/>
      <w:lang w:val="de-CH" w:eastAsia="en-US"/>
    </w:rPr>
  </w:style>
  <w:style w:type="paragraph" w:styleId="Unterschrift">
    <w:name w:val="Signature"/>
    <w:basedOn w:val="Standard"/>
    <w:link w:val="UnterschriftZchn"/>
    <w:rsid w:val="00212274"/>
    <w:pPr>
      <w:spacing w:after="0" w:line="240" w:lineRule="auto"/>
      <w:ind w:left="4252"/>
    </w:pPr>
    <w:rPr>
      <w:rFonts w:ascii="Arial" w:eastAsia="Times New Roman" w:hAnsi="Arial" w:cs="Times New Roman"/>
      <w:sz w:val="20"/>
      <w:szCs w:val="20"/>
      <w:lang w:eastAsia="en-US"/>
    </w:rPr>
  </w:style>
  <w:style w:type="character" w:customStyle="1" w:styleId="UnterschriftZchn">
    <w:name w:val="Unterschrift Zchn"/>
    <w:basedOn w:val="Absatz-Standardschriftart"/>
    <w:link w:val="Unterschrift"/>
    <w:rsid w:val="00212274"/>
    <w:rPr>
      <w:rFonts w:ascii="Arial" w:hAnsi="Arial"/>
      <w:lang w:val="de-CH" w:eastAsia="en-US"/>
    </w:rPr>
  </w:style>
  <w:style w:type="character" w:styleId="Fett">
    <w:name w:val="Strong"/>
    <w:qFormat/>
    <w:rsid w:val="002122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3</Pages>
  <Words>567</Words>
  <Characters>3574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