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88D" w:rsidRPr="00D65897" w:rsidRDefault="00BD288D" w:rsidP="00BD288D">
      <w:pPr>
        <w:pStyle w:val="Titel1-Kapiteltitel"/>
      </w:pPr>
      <w:r w:rsidRPr="00D65897">
        <w:t>Garantievertrag (Deckung eines Verlustrisikos)</w:t>
      </w:r>
    </w:p>
    <w:p w:rsidR="00BD288D" w:rsidRPr="00D65897" w:rsidRDefault="00BD288D" w:rsidP="00BD288D">
      <w:pPr>
        <w:pStyle w:val="Haupttext"/>
        <w:rPr>
          <w:lang w:val="de-CH"/>
        </w:rPr>
      </w:pPr>
      <w:r w:rsidRPr="00D65897">
        <w:rPr>
          <w:lang w:val="de-CH"/>
        </w:rPr>
        <w:t>zwischen</w:t>
      </w:r>
    </w:p>
    <w:p w:rsidR="00BD288D" w:rsidRPr="00D65897" w:rsidRDefault="00BD288D" w:rsidP="00BD288D">
      <w:pPr>
        <w:pStyle w:val="Haupttext"/>
        <w:rPr>
          <w:lang w:val="de-CH"/>
        </w:rPr>
      </w:pPr>
      <w:r w:rsidRPr="00D65897">
        <w:rPr>
          <w:lang w:val="de-CH"/>
        </w:rPr>
        <w:t>Hans Meyer AG, Basel (Promittent)</w:t>
      </w:r>
    </w:p>
    <w:p w:rsidR="00BD288D" w:rsidRPr="00D65897" w:rsidRDefault="00BD288D" w:rsidP="00BD288D">
      <w:pPr>
        <w:pStyle w:val="Haupttext"/>
        <w:rPr>
          <w:lang w:val="de-CH"/>
        </w:rPr>
      </w:pPr>
      <w:r w:rsidRPr="00D65897">
        <w:rPr>
          <w:lang w:val="de-CH"/>
        </w:rPr>
        <w:t>und</w:t>
      </w:r>
    </w:p>
    <w:p w:rsidR="00BD288D" w:rsidRPr="00D65897" w:rsidRDefault="00BD288D" w:rsidP="00BD288D">
      <w:pPr>
        <w:pStyle w:val="Haupttext"/>
        <w:rPr>
          <w:lang w:val="de-CH"/>
        </w:rPr>
      </w:pPr>
      <w:r w:rsidRPr="00D65897">
        <w:rPr>
          <w:lang w:val="de-CH"/>
        </w:rPr>
        <w:t>Fredi Lienert AG, Genf (</w:t>
      </w:r>
      <w:proofErr w:type="spellStart"/>
      <w:r w:rsidRPr="00D65897">
        <w:rPr>
          <w:lang w:val="de-CH"/>
        </w:rPr>
        <w:t>Promissar</w:t>
      </w:r>
      <w:proofErr w:type="spellEnd"/>
      <w:r w:rsidRPr="00D65897">
        <w:rPr>
          <w:lang w:val="de-CH"/>
        </w:rPr>
        <w:t>)</w:t>
      </w:r>
      <w:bookmarkStart w:id="0" w:name="_GoBack"/>
      <w:bookmarkEnd w:id="0"/>
    </w:p>
    <w:p w:rsidR="00BD288D" w:rsidRPr="00D65897" w:rsidRDefault="00BD288D" w:rsidP="00BD288D">
      <w:pPr>
        <w:pStyle w:val="Titel2"/>
      </w:pPr>
      <w:r w:rsidRPr="00D65897">
        <w:t>Art. I</w:t>
      </w:r>
    </w:p>
    <w:p w:rsidR="00BD288D" w:rsidRPr="00D65897" w:rsidRDefault="00BD288D" w:rsidP="00BD288D">
      <w:pPr>
        <w:pStyle w:val="Haupttext"/>
        <w:rPr>
          <w:lang w:val="de-CH"/>
        </w:rPr>
      </w:pPr>
      <w:r w:rsidRPr="00D65897">
        <w:rPr>
          <w:lang w:val="de-CH"/>
        </w:rPr>
        <w:t>Hans Meyer AG gibt hiermit an Fredi Lienert AG die Zusicherung ab, dass sie für die bilanzmässig ausgewiesenen Verluste aus dem Bierlieferungsvertrag vom ... zwischen Fredi Lienert AG und der Brauerei zum Süsswinkel in Genf bis längstens Ende 20xx mit einem Maximalbetrag von CHF</w:t>
      </w:r>
      <w:r w:rsidR="00D65897" w:rsidRPr="00D65897">
        <w:rPr>
          <w:lang w:val="de-CH"/>
        </w:rPr>
        <w:t> </w:t>
      </w:r>
      <w:r w:rsidRPr="00D65897">
        <w:rPr>
          <w:lang w:val="de-CH"/>
        </w:rPr>
        <w:t>400</w:t>
      </w:r>
      <w:r w:rsidR="00D65897" w:rsidRPr="00D65897">
        <w:rPr>
          <w:lang w:val="de-CH"/>
        </w:rPr>
        <w:t> </w:t>
      </w:r>
      <w:r w:rsidRPr="00D65897">
        <w:rPr>
          <w:lang w:val="de-CH"/>
        </w:rPr>
        <w:t>000</w:t>
      </w:r>
      <w:proofErr w:type="gramStart"/>
      <w:r w:rsidRPr="00D65897">
        <w:rPr>
          <w:lang w:val="de-CH"/>
        </w:rPr>
        <w:t>.–</w:t>
      </w:r>
      <w:proofErr w:type="gramEnd"/>
      <w:r w:rsidRPr="00D65897">
        <w:rPr>
          <w:lang w:val="de-CH"/>
        </w:rPr>
        <w:t xml:space="preserve"> (in Worten: Vierhunderttausend) pro Jahr aufkommen wird.</w:t>
      </w:r>
    </w:p>
    <w:p w:rsidR="00BD288D" w:rsidRPr="00D65897" w:rsidRDefault="00BD288D" w:rsidP="00BD288D">
      <w:pPr>
        <w:pStyle w:val="Titel2"/>
      </w:pPr>
      <w:r w:rsidRPr="00D65897">
        <w:t>Art. II</w:t>
      </w:r>
    </w:p>
    <w:p w:rsidR="00BD288D" w:rsidRPr="00D65897" w:rsidRDefault="00BD288D" w:rsidP="00BD288D">
      <w:pPr>
        <w:pStyle w:val="Haupttext"/>
        <w:rPr>
          <w:lang w:val="de-CH"/>
        </w:rPr>
      </w:pPr>
      <w:r w:rsidRPr="00D65897">
        <w:rPr>
          <w:lang w:val="de-CH"/>
        </w:rPr>
        <w:t>Die vorgenannte Garantiesumme ist nicht indexiert und wird 30 Tage ab Zustellung der jeweilig revidierten Jahresrechnung der Fredi Lienert AG zur Zahlung fällig. Eine Verzugsverzinsung findet nicht statt.</w:t>
      </w:r>
    </w:p>
    <w:p w:rsidR="00BD288D" w:rsidRPr="00D65897" w:rsidRDefault="00BD288D" w:rsidP="00BD288D">
      <w:pPr>
        <w:pStyle w:val="Titel2"/>
      </w:pPr>
      <w:r w:rsidRPr="00D65897">
        <w:t>Art. III</w:t>
      </w:r>
    </w:p>
    <w:p w:rsidR="00BD288D" w:rsidRPr="00D65897" w:rsidRDefault="00BD288D" w:rsidP="00BD288D">
      <w:pPr>
        <w:pStyle w:val="Haupttext"/>
        <w:rPr>
          <w:lang w:val="de-CH"/>
        </w:rPr>
      </w:pPr>
      <w:r w:rsidRPr="00D65897">
        <w:rPr>
          <w:lang w:val="de-CH"/>
        </w:rPr>
        <w:t>Allfällige Änderungen und Anpassungen zur vorliegenden Vereinbarung sind jederzeit möglich und bedürfen zu ihrer Gültigkeit der schriftlichen Form und der beidseitigen Unterzeichnung.</w:t>
      </w:r>
    </w:p>
    <w:p w:rsidR="00BD288D" w:rsidRPr="00D65897" w:rsidRDefault="00BD288D" w:rsidP="00BD288D">
      <w:pPr>
        <w:pStyle w:val="Titel2"/>
      </w:pPr>
      <w:r w:rsidRPr="00D65897">
        <w:t>Art. IV</w:t>
      </w:r>
    </w:p>
    <w:p w:rsidR="00BD288D" w:rsidRPr="00D65897" w:rsidRDefault="00BD288D" w:rsidP="00BD288D">
      <w:pPr>
        <w:pStyle w:val="Haupttext"/>
        <w:rPr>
          <w:lang w:val="de-CH"/>
        </w:rPr>
      </w:pPr>
      <w:r w:rsidRPr="00D65897">
        <w:rPr>
          <w:lang w:val="de-CH"/>
        </w:rPr>
        <w:t>In dieser Vereinbarung ungeregelte Punkte werden gemäss den allgemeinen Bestimmungen des Schweizerischen Obligationenrechts vereinbart.</w:t>
      </w:r>
    </w:p>
    <w:p w:rsidR="00BD288D" w:rsidRPr="00D65897" w:rsidRDefault="00BD288D" w:rsidP="00BD288D">
      <w:pPr>
        <w:pStyle w:val="Titel2"/>
      </w:pPr>
      <w:r w:rsidRPr="00D65897">
        <w:t>Art. V</w:t>
      </w:r>
    </w:p>
    <w:p w:rsidR="00BD288D" w:rsidRPr="00D65897" w:rsidRDefault="00BD288D" w:rsidP="00BD288D">
      <w:pPr>
        <w:pStyle w:val="Haupttext"/>
        <w:rPr>
          <w:lang w:val="de-CH"/>
        </w:rPr>
      </w:pPr>
      <w:r w:rsidRPr="00D65897">
        <w:rPr>
          <w:lang w:val="de-CH"/>
        </w:rPr>
        <w:t>Die vorliegende Garantievereinbarung wird in vier Exemplaren ausgefertigt à zwei pro Vertrag</w:t>
      </w:r>
      <w:r w:rsidRPr="00D65897">
        <w:rPr>
          <w:lang w:val="de-CH"/>
        </w:rPr>
        <w:t>s</w:t>
      </w:r>
      <w:r w:rsidRPr="00D65897">
        <w:rPr>
          <w:lang w:val="de-CH"/>
        </w:rPr>
        <w:t>partner.</w:t>
      </w:r>
    </w:p>
    <w:p w:rsidR="00BD288D" w:rsidRPr="00D65897" w:rsidRDefault="00BD288D" w:rsidP="00BD288D">
      <w:pPr>
        <w:pStyle w:val="Titel2"/>
      </w:pPr>
      <w:r w:rsidRPr="00D65897">
        <w:t>Art. VI</w:t>
      </w:r>
    </w:p>
    <w:p w:rsidR="00BD288D" w:rsidRPr="00D65897" w:rsidRDefault="00BD288D" w:rsidP="00BD288D">
      <w:pPr>
        <w:pStyle w:val="Haupttext"/>
        <w:rPr>
          <w:lang w:val="de-CH"/>
        </w:rPr>
      </w:pPr>
      <w:r w:rsidRPr="00D65897">
        <w:rPr>
          <w:lang w:val="de-CH"/>
        </w:rPr>
        <w:t>Für allfällige Streitigkeiten aus oder im Zusammenhang mit der vorliegenden Vereinbarung sind ausschliesslich die ordentlichen Gerichte von Basel-Stadt zuständig.</w:t>
      </w:r>
    </w:p>
    <w:p w:rsidR="00BD288D" w:rsidRPr="00D65897" w:rsidRDefault="00BD288D" w:rsidP="00BD288D">
      <w:pPr>
        <w:rPr>
          <w:rFonts w:ascii="Verdana" w:hAnsi="Verdana" w:cs="Arial"/>
        </w:rPr>
      </w:pPr>
    </w:p>
    <w:tbl>
      <w:tblPr>
        <w:tblW w:w="0" w:type="auto"/>
        <w:tblInd w:w="108" w:type="dxa"/>
        <w:tblLayout w:type="fixed"/>
        <w:tblLook w:val="01E0" w:firstRow="1" w:lastRow="1" w:firstColumn="1" w:lastColumn="1" w:noHBand="0" w:noVBand="0"/>
      </w:tblPr>
      <w:tblGrid>
        <w:gridCol w:w="4320"/>
        <w:gridCol w:w="454"/>
        <w:gridCol w:w="4321"/>
      </w:tblGrid>
      <w:tr w:rsidR="00BD288D" w:rsidRPr="00D65897" w:rsidTr="00743529">
        <w:trPr>
          <w:cantSplit/>
          <w:trHeight w:val="714"/>
          <w:tblHeader/>
        </w:trPr>
        <w:tc>
          <w:tcPr>
            <w:tcW w:w="4320" w:type="dxa"/>
            <w:shd w:val="clear" w:color="auto" w:fill="auto"/>
            <w:vAlign w:val="bottom"/>
          </w:tcPr>
          <w:p w:rsidR="00BD288D" w:rsidRPr="00D65897" w:rsidRDefault="00BD288D" w:rsidP="00BD288D">
            <w:pPr>
              <w:pStyle w:val="Haupttext"/>
              <w:rPr>
                <w:lang w:val="de-CH"/>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r w:rsidRPr="00D65897">
              <w:rPr>
                <w:lang w:val="de-CH"/>
              </w:rPr>
              <w:t>[Ort], Datum</w:t>
            </w:r>
          </w:p>
        </w:tc>
        <w:tc>
          <w:tcPr>
            <w:tcW w:w="454" w:type="dxa"/>
            <w:shd w:val="clear" w:color="auto" w:fill="auto"/>
            <w:vAlign w:val="bottom"/>
          </w:tcPr>
          <w:p w:rsidR="00BD288D" w:rsidRPr="00D65897" w:rsidRDefault="00BD288D" w:rsidP="00BD288D">
            <w:pPr>
              <w:pStyle w:val="Haupttext"/>
              <w:rPr>
                <w:lang w:val="de-CH"/>
              </w:rPr>
            </w:pPr>
          </w:p>
        </w:tc>
        <w:tc>
          <w:tcPr>
            <w:tcW w:w="4321" w:type="dxa"/>
            <w:shd w:val="clear" w:color="auto" w:fill="auto"/>
            <w:vAlign w:val="bottom"/>
          </w:tcPr>
          <w:p w:rsidR="00BD288D" w:rsidRPr="00D65897" w:rsidRDefault="00BD288D" w:rsidP="00BD288D">
            <w:pPr>
              <w:pStyle w:val="Haupttext"/>
              <w:rPr>
                <w:lang w:val="de-CH"/>
              </w:rPr>
            </w:pPr>
            <w:r w:rsidRPr="00D65897">
              <w:rPr>
                <w:lang w:val="de-CH"/>
              </w:rPr>
              <w:t>[Ort], Datum</w:t>
            </w:r>
          </w:p>
        </w:tc>
      </w:tr>
      <w:tr w:rsidR="00BD288D" w:rsidRPr="00D65897" w:rsidTr="00743529">
        <w:trPr>
          <w:trHeight w:val="714"/>
        </w:trPr>
        <w:tc>
          <w:tcPr>
            <w:tcW w:w="4320" w:type="dxa"/>
            <w:tcBorders>
              <w:bottom w:val="single" w:sz="4" w:space="0" w:color="auto"/>
            </w:tcBorders>
            <w:shd w:val="clear" w:color="auto" w:fill="auto"/>
          </w:tcPr>
          <w:p w:rsidR="00BD288D" w:rsidRPr="00D65897" w:rsidRDefault="00BD288D" w:rsidP="00BD288D">
            <w:pPr>
              <w:pStyle w:val="Haupttext"/>
              <w:rPr>
                <w:lang w:val="de-CH"/>
              </w:rPr>
            </w:pPr>
          </w:p>
        </w:tc>
        <w:tc>
          <w:tcPr>
            <w:tcW w:w="454" w:type="dxa"/>
            <w:shd w:val="clear" w:color="auto" w:fill="auto"/>
          </w:tcPr>
          <w:p w:rsidR="00BD288D" w:rsidRPr="00D65897" w:rsidRDefault="00BD288D" w:rsidP="00BD288D">
            <w:pPr>
              <w:pStyle w:val="Haupttext"/>
              <w:rPr>
                <w:lang w:val="de-CH"/>
              </w:rPr>
            </w:pPr>
          </w:p>
        </w:tc>
        <w:tc>
          <w:tcPr>
            <w:tcW w:w="4321" w:type="dxa"/>
            <w:tcBorders>
              <w:bottom w:val="single" w:sz="4" w:space="0" w:color="auto"/>
            </w:tcBorders>
            <w:shd w:val="clear" w:color="auto" w:fill="auto"/>
          </w:tcPr>
          <w:p w:rsidR="00BD288D" w:rsidRPr="00D65897" w:rsidRDefault="00BD288D" w:rsidP="00BD288D">
            <w:pPr>
              <w:pStyle w:val="Haupttext"/>
              <w:rPr>
                <w:lang w:val="de-CH"/>
              </w:rPr>
            </w:pPr>
          </w:p>
        </w:tc>
      </w:tr>
      <w:tr w:rsidR="00BD288D" w:rsidRPr="00D65897" w:rsidTr="00743529">
        <w:trPr>
          <w:trHeight w:val="907"/>
        </w:trPr>
        <w:tc>
          <w:tcPr>
            <w:tcW w:w="4320" w:type="dxa"/>
            <w:tcBorders>
              <w:top w:val="single" w:sz="4" w:space="0" w:color="auto"/>
            </w:tcBorders>
            <w:shd w:val="clear" w:color="auto" w:fill="auto"/>
            <w:vAlign w:val="bottom"/>
          </w:tcPr>
          <w:p w:rsidR="00BD288D" w:rsidRPr="00D65897" w:rsidRDefault="00BD288D" w:rsidP="00BD288D">
            <w:pPr>
              <w:pStyle w:val="Haupttext"/>
              <w:rPr>
                <w:lang w:val="de-CH"/>
              </w:rPr>
            </w:pPr>
            <w:r w:rsidRPr="00D65897">
              <w:rPr>
                <w:lang w:val="de-CH"/>
              </w:rPr>
              <w:lastRenderedPageBreak/>
              <w:t xml:space="preserve">Unterschrift </w:t>
            </w:r>
          </w:p>
        </w:tc>
        <w:tc>
          <w:tcPr>
            <w:tcW w:w="454" w:type="dxa"/>
            <w:shd w:val="clear" w:color="auto" w:fill="auto"/>
            <w:vAlign w:val="bottom"/>
          </w:tcPr>
          <w:p w:rsidR="00BD288D" w:rsidRPr="00D65897" w:rsidRDefault="00BD288D" w:rsidP="00BD288D">
            <w:pPr>
              <w:pStyle w:val="Haupttext"/>
              <w:rPr>
                <w:lang w:val="de-CH"/>
              </w:rPr>
            </w:pPr>
          </w:p>
        </w:tc>
        <w:tc>
          <w:tcPr>
            <w:tcW w:w="4321" w:type="dxa"/>
            <w:tcBorders>
              <w:top w:val="single" w:sz="4" w:space="0" w:color="auto"/>
            </w:tcBorders>
            <w:shd w:val="clear" w:color="auto" w:fill="auto"/>
            <w:vAlign w:val="bottom"/>
          </w:tcPr>
          <w:p w:rsidR="00BD288D" w:rsidRPr="00D65897" w:rsidRDefault="00BD288D" w:rsidP="00BD288D">
            <w:pPr>
              <w:pStyle w:val="Haupttext"/>
              <w:rPr>
                <w:lang w:val="de-CH"/>
              </w:rPr>
            </w:pPr>
            <w:r w:rsidRPr="00D65897">
              <w:rPr>
                <w:lang w:val="de-CH"/>
              </w:rPr>
              <w:t xml:space="preserve">Unterschrift </w:t>
            </w:r>
          </w:p>
        </w:tc>
      </w:tr>
      <w:bookmarkEnd w:id="1"/>
      <w:bookmarkEnd w:id="2"/>
      <w:bookmarkEnd w:id="3"/>
      <w:bookmarkEnd w:id="4"/>
      <w:bookmarkEnd w:id="5"/>
      <w:bookmarkEnd w:id="6"/>
      <w:bookmarkEnd w:id="7"/>
      <w:bookmarkEnd w:id="8"/>
      <w:bookmarkEnd w:id="9"/>
      <w:bookmarkEnd w:id="10"/>
      <w:bookmarkEnd w:id="11"/>
      <w:bookmarkEnd w:id="12"/>
    </w:tbl>
    <w:p w:rsidR="00BD288D" w:rsidRPr="00D65897" w:rsidRDefault="00BD288D" w:rsidP="00BD288D">
      <w:pPr>
        <w:pStyle w:val="Haupttext"/>
        <w:rPr>
          <w:rStyle w:val="Hervorhebung"/>
          <w:lang w:val="de-CH"/>
        </w:rPr>
      </w:pPr>
    </w:p>
    <w:p w:rsidR="00101179" w:rsidRPr="00D65897" w:rsidRDefault="00101179" w:rsidP="00BD288D"/>
    <w:sectPr w:rsidR="00101179" w:rsidRPr="00D65897"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979" w:rsidRDefault="00F87979">
      <w:r>
        <w:separator/>
      </w:r>
    </w:p>
  </w:endnote>
  <w:endnote w:type="continuationSeparator" w:id="0">
    <w:p w:rsidR="00F87979" w:rsidRDefault="00F87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D65897"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349E34C2" wp14:editId="345ABEC9">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1855E35D" wp14:editId="32001F0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5897">
      <w:rPr>
        <w:rFonts w:ascii="Verdana" w:hAnsi="Verdana"/>
        <w:noProof/>
        <w:snapToGrid w:val="0"/>
        <w:color w:val="999999"/>
        <w:sz w:val="16"/>
        <w:lang w:val="en-GB"/>
      </w:rPr>
      <w:tab/>
    </w:r>
    <w:r w:rsidRPr="00D65897">
      <w:rPr>
        <w:rFonts w:ascii="Verdana" w:hAnsi="Verdana"/>
        <w:noProof/>
        <w:snapToGrid w:val="0"/>
        <w:color w:val="999999"/>
        <w:sz w:val="16"/>
        <w:lang w:val="en-GB"/>
      </w:rPr>
      <w:br/>
      <w:t xml:space="preserve">           WEKA Business Media AG | </w:t>
    </w:r>
    <w:hyperlink r:id="rId2" w:history="1">
      <w:r w:rsidR="00A2656E" w:rsidRPr="00D65897">
        <w:rPr>
          <w:rStyle w:val="Hyperlink"/>
          <w:rFonts w:ascii="Verdana" w:hAnsi="Verdana"/>
          <w:noProof/>
          <w:snapToGrid w:val="0"/>
          <w:sz w:val="16"/>
          <w:lang w:val="en-GB"/>
        </w:rPr>
        <w:t>www.weka.ch</w:t>
      </w:r>
    </w:hyperlink>
    <w:r w:rsidR="00A2656E" w:rsidRPr="00D65897">
      <w:rPr>
        <w:rFonts w:ascii="Verdana" w:hAnsi="Verdana"/>
        <w:noProof/>
        <w:snapToGrid w:val="0"/>
        <w:color w:val="999999"/>
        <w:sz w:val="16"/>
        <w:lang w:val="en-GB"/>
      </w:rPr>
      <w:t xml:space="preserve"> |</w:t>
    </w:r>
    <w:r w:rsidRPr="00D65897">
      <w:rPr>
        <w:rFonts w:ascii="Verdana" w:hAnsi="Verdana"/>
        <w:noProof/>
        <w:snapToGrid w:val="0"/>
        <w:color w:val="999999"/>
        <w:sz w:val="16"/>
        <w:lang w:val="en-GB"/>
      </w:rPr>
      <w:tab/>
    </w:r>
    <w:r>
      <w:rPr>
        <w:rFonts w:ascii="Verdana" w:hAnsi="Verdana"/>
        <w:noProof/>
        <w:color w:val="999999"/>
        <w:sz w:val="16"/>
      </w:rPr>
      <w:fldChar w:fldCharType="begin"/>
    </w:r>
    <w:r w:rsidRPr="00D65897">
      <w:rPr>
        <w:rFonts w:ascii="Verdana" w:hAnsi="Verdana"/>
        <w:noProof/>
        <w:color w:val="999999"/>
        <w:sz w:val="16"/>
        <w:lang w:val="en-GB"/>
      </w:rPr>
      <w:instrText xml:space="preserve"> PAGE </w:instrText>
    </w:r>
    <w:r>
      <w:rPr>
        <w:rFonts w:ascii="Verdana" w:hAnsi="Verdana"/>
        <w:noProof/>
        <w:color w:val="999999"/>
        <w:sz w:val="16"/>
      </w:rPr>
      <w:fldChar w:fldCharType="separate"/>
    </w:r>
    <w:r w:rsidR="00D65897">
      <w:rPr>
        <w:rFonts w:ascii="Verdana" w:hAnsi="Verdana"/>
        <w:noProof/>
        <w:color w:val="999999"/>
        <w:sz w:val="16"/>
        <w:lang w:val="en-GB"/>
      </w:rPr>
      <w:t>2</w:t>
    </w:r>
    <w:r>
      <w:rPr>
        <w:rFonts w:ascii="Verdana" w:hAnsi="Verdana"/>
        <w:noProof/>
        <w:color w:val="999999"/>
        <w:sz w:val="16"/>
      </w:rPr>
      <w:fldChar w:fldCharType="end"/>
    </w:r>
    <w:r w:rsidRPr="00D65897">
      <w:rPr>
        <w:rFonts w:ascii="Verdana" w:hAnsi="Verdana"/>
        <w:noProof/>
        <w:snapToGrid w:val="0"/>
        <w:color w:val="999999"/>
        <w:sz w:val="16"/>
        <w:lang w:val="en-GB"/>
      </w:rPr>
      <w:t>/</w:t>
    </w:r>
    <w:r>
      <w:rPr>
        <w:rFonts w:ascii="Verdana" w:hAnsi="Verdana"/>
        <w:noProof/>
        <w:color w:val="999999"/>
        <w:sz w:val="16"/>
      </w:rPr>
      <w:fldChar w:fldCharType="begin"/>
    </w:r>
    <w:r w:rsidRPr="00D65897">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D65897">
      <w:rPr>
        <w:rFonts w:ascii="Verdana" w:hAnsi="Verdana"/>
        <w:noProof/>
        <w:color w:val="999999"/>
        <w:sz w:val="16"/>
        <w:lang w:val="en-GB"/>
      </w:rPr>
      <w:t>2</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979" w:rsidRDefault="00F87979">
      <w:r>
        <w:separator/>
      </w:r>
    </w:p>
  </w:footnote>
  <w:footnote w:type="continuationSeparator" w:id="0">
    <w:p w:rsidR="00F87979" w:rsidRDefault="00F879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BD288D">
      <w:rPr>
        <w:rFonts w:ascii="Verdana" w:hAnsi="Verdana"/>
        <w:noProof/>
        <w:color w:val="999999"/>
        <w:sz w:val="16"/>
        <w:lang w:val="fr-CH"/>
      </w:rPr>
      <w:t>Garantievertrag (Deckung eines Verlustrisikos)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
    <w:nsid w:val="64124977"/>
    <w:multiLevelType w:val="singleLevel"/>
    <w:tmpl w:val="CC8C8CB6"/>
    <w:lvl w:ilvl="0">
      <w:start w:val="1"/>
      <w:numFmt w:val="decimal"/>
      <w:pStyle w:val="HaupttextEinz1"/>
      <w:lvlText w:val="%1."/>
      <w:lvlJc w:val="left"/>
      <w:pPr>
        <w:tabs>
          <w:tab w:val="num" w:pos="454"/>
        </w:tabs>
        <w:ind w:left="454" w:hanging="454"/>
      </w:pPr>
    </w:lvl>
  </w:abstractNum>
  <w:num w:numId="1">
    <w:abstractNumId w:val="3"/>
  </w:num>
  <w:num w:numId="2">
    <w:abstractNumId w:val="2"/>
  </w:num>
  <w:num w:numId="3">
    <w:abstractNumId w:val="0"/>
  </w:num>
  <w:num w:numId="4">
    <w:abstractNumId w:val="1"/>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759FA"/>
    <w:rsid w:val="00391840"/>
    <w:rsid w:val="00406F76"/>
    <w:rsid w:val="004F2E4A"/>
    <w:rsid w:val="00641AF7"/>
    <w:rsid w:val="006C66E5"/>
    <w:rsid w:val="007D1353"/>
    <w:rsid w:val="0084662F"/>
    <w:rsid w:val="0085719F"/>
    <w:rsid w:val="008C35ED"/>
    <w:rsid w:val="008F16FC"/>
    <w:rsid w:val="00A2656E"/>
    <w:rsid w:val="00BD288D"/>
    <w:rsid w:val="00BF7A9A"/>
    <w:rsid w:val="00CE5FB7"/>
    <w:rsid w:val="00D228A7"/>
    <w:rsid w:val="00D65897"/>
    <w:rsid w:val="00D9014F"/>
    <w:rsid w:val="00F54A9D"/>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qFormat/>
    <w:rsid w:val="00101179"/>
    <w:rPr>
      <w:rFonts w:ascii="Univers 45 Light" w:hAnsi="Univers 45 Light"/>
    </w:rPr>
  </w:style>
  <w:style w:type="paragraph" w:styleId="Datum">
    <w:name w:val="Date"/>
    <w:basedOn w:val="Standard"/>
    <w:next w:val="Standard"/>
    <w:link w:val="DatumZchn"/>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101179"/>
    <w:rPr>
      <w:rFonts w:ascii="Arial" w:hAnsi="Arial"/>
      <w:lang w:val="de-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2</Pages>
  <Words>182</Words>
  <Characters>1196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