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C3" w:rsidRDefault="002565C3" w:rsidP="002565C3">
      <w:pPr>
        <w:pStyle w:val="Titel1-Kapiteltitel"/>
      </w:pPr>
      <w:r w:rsidRPr="004763D3">
        <w:t>Joint-Venture-Vertrag</w:t>
      </w:r>
      <w:r>
        <w:t xml:space="preserve"> (Basismuster)</w:t>
      </w:r>
    </w:p>
    <w:p w:rsidR="002565C3" w:rsidRPr="002565C3" w:rsidRDefault="002565C3" w:rsidP="002565C3">
      <w:pPr>
        <w:pStyle w:val="Haupttext"/>
        <w:rPr>
          <w:color w:val="FF0000"/>
        </w:rPr>
      </w:pPr>
      <w:r w:rsidRPr="002565C3">
        <w:rPr>
          <w:color w:val="FF0000"/>
        </w:rPr>
        <w:t>Hinweis: Unter einem Joint Venture wird eine Zusammenarbeit zwischen zwei oder mehreren Unternehmen verstanden. Diese Zusammenarbeit sollte vertraglich geregelt und die jeweiligen Rechte und Pflichten klar definiert werden.</w:t>
      </w:r>
    </w:p>
    <w:p w:rsidR="002565C3" w:rsidRPr="0043706A" w:rsidRDefault="002565C3" w:rsidP="002565C3">
      <w:pPr>
        <w:spacing w:line="360" w:lineRule="auto"/>
        <w:rPr>
          <w:rFonts w:ascii="Verdana" w:hAnsi="Verdana"/>
          <w:color w:val="FF0000"/>
          <w:sz w:val="18"/>
          <w:szCs w:val="18"/>
        </w:rPr>
      </w:pPr>
    </w:p>
    <w:p w:rsidR="002565C3" w:rsidRDefault="002565C3" w:rsidP="002565C3">
      <w:pPr>
        <w:pStyle w:val="Titel2"/>
      </w:pPr>
      <w:r>
        <w:t>Vertragsparteien</w:t>
      </w:r>
    </w:p>
    <w:p w:rsidR="002565C3" w:rsidRPr="0043706A" w:rsidRDefault="002565C3" w:rsidP="002565C3">
      <w:pPr>
        <w:pStyle w:val="Haupttext"/>
      </w:pPr>
      <w:r w:rsidRPr="0043706A">
        <w:t xml:space="preserve">Partner 1: Name, Adresse (Hier: </w:t>
      </w:r>
      <w:r>
        <w:rPr>
          <w:b/>
        </w:rPr>
        <w:t>A</w:t>
      </w:r>
      <w:r w:rsidRPr="0043706A">
        <w:t>)</w:t>
      </w:r>
    </w:p>
    <w:p w:rsidR="002565C3" w:rsidRDefault="002565C3" w:rsidP="002565C3">
      <w:pPr>
        <w:pStyle w:val="Haupttext"/>
        <w:rPr>
          <w:b/>
        </w:rPr>
      </w:pPr>
      <w:r w:rsidRPr="0043706A">
        <w:t xml:space="preserve">Partner 2: Name, Adresse (Hier: </w:t>
      </w:r>
      <w:r>
        <w:rPr>
          <w:b/>
        </w:rPr>
        <w:t>B</w:t>
      </w:r>
      <w:r w:rsidRPr="0043706A">
        <w:t>)</w:t>
      </w:r>
    </w:p>
    <w:p w:rsidR="002565C3" w:rsidRPr="0043706A" w:rsidRDefault="002565C3" w:rsidP="002565C3">
      <w:pPr>
        <w:pStyle w:val="VertragUntertitel"/>
        <w:spacing w:before="0" w:after="120" w:line="360" w:lineRule="auto"/>
        <w:rPr>
          <w:b w:val="0"/>
          <w:sz w:val="18"/>
        </w:rPr>
      </w:pPr>
    </w:p>
    <w:p w:rsidR="002565C3" w:rsidRPr="004763D3" w:rsidRDefault="002565C3" w:rsidP="002565C3">
      <w:pPr>
        <w:pStyle w:val="Titel2"/>
      </w:pPr>
      <w:r w:rsidRPr="004763D3">
        <w:t>Präambel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I.</w:t>
      </w:r>
      <w:r w:rsidRPr="004763D3">
        <w:tab/>
        <w:t xml:space="preserve">A verfügt über langjährige Erfahrung bei Herstellung und Vertrieb der Produkte X. Die Produkte X sind Gegenstand eigener Entwicklung durch A und werden von A in seinem Werk in </w:t>
      </w:r>
      <w:r>
        <w:t>[…]</w:t>
      </w:r>
      <w:r w:rsidRPr="004763D3">
        <w:t xml:space="preserve"> selbst hergestellt.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II.</w:t>
      </w:r>
      <w:r w:rsidRPr="004763D3">
        <w:tab/>
        <w:t xml:space="preserve">B ist eine Handelsgesellschaft mit Sitz in </w:t>
      </w:r>
      <w:r>
        <w:t>[…],</w:t>
      </w:r>
      <w:r w:rsidRPr="004763D3">
        <w:t xml:space="preserve"> die in der Vergangenheit die von A herg</w:t>
      </w:r>
      <w:r w:rsidRPr="004763D3">
        <w:t>e</w:t>
      </w:r>
      <w:r w:rsidRPr="004763D3">
        <w:t xml:space="preserve">stellten Produkte aufgrund des Exklusivvertrages vom </w:t>
      </w:r>
      <w:r>
        <w:t>[…]</w:t>
      </w:r>
      <w:r w:rsidRPr="004763D3">
        <w:t xml:space="preserve"> im Land Y vertrieben hat. B verfügt derzeit über keinerlei Erfahrungen in der Herstellung der Produkte X.</w:t>
      </w:r>
    </w:p>
    <w:p w:rsidR="002565C3" w:rsidRPr="004763D3" w:rsidRDefault="002565C3" w:rsidP="002565C3">
      <w:pPr>
        <w:pStyle w:val="Titel2"/>
      </w:pPr>
      <w:r w:rsidRPr="004763D3">
        <w:t xml:space="preserve">Art. 1 – </w:t>
      </w:r>
      <w:r>
        <w:t>Zusammenarbeit</w:t>
      </w:r>
    </w:p>
    <w:p w:rsidR="002565C3" w:rsidRPr="004763D3" w:rsidRDefault="002565C3" w:rsidP="002565C3">
      <w:pPr>
        <w:pStyle w:val="VertragHaupttext"/>
        <w:tabs>
          <w:tab w:val="left" w:pos="0"/>
        </w:tabs>
        <w:spacing w:after="120" w:line="360" w:lineRule="auto"/>
      </w:pPr>
      <w:r w:rsidRPr="004763D3">
        <w:t xml:space="preserve">A und B sind übereingekommen, </w:t>
      </w:r>
      <w:r>
        <w:t xml:space="preserve">im Rahmen einer Partnerschaft </w:t>
      </w:r>
      <w:r w:rsidRPr="004763D3">
        <w:t>im Lan</w:t>
      </w:r>
      <w:r>
        <w:t>de Y eine Produktion</w:t>
      </w:r>
      <w:r>
        <w:t>s</w:t>
      </w:r>
      <w:r>
        <w:t xml:space="preserve">stätte zur </w:t>
      </w:r>
      <w:r w:rsidRPr="004763D3">
        <w:t>Fertigung der Produkte X zur Deckung der lokalen Nachfrage im Lande Y gemeinsam zu e</w:t>
      </w:r>
      <w:r w:rsidRPr="004763D3">
        <w:t>r</w:t>
      </w:r>
      <w:r w:rsidRPr="004763D3">
        <w:t xml:space="preserve">richten und zu betreiben. Zu diesem Zwecke werden sie gemeinsam eine </w:t>
      </w:r>
      <w:r>
        <w:t>Betriebs</w:t>
      </w:r>
      <w:r w:rsidRPr="004763D3">
        <w:t>gesellschaft gemäss dem Recht des Landes Y gründen.</w:t>
      </w:r>
      <w:r>
        <w:t xml:space="preserve"> Dieser Joint-Venture-Gesellschaft wird Aufbau und Führung des geplanten U</w:t>
      </w:r>
      <w:r>
        <w:t>n</w:t>
      </w:r>
      <w:r>
        <w:t xml:space="preserve">ternehmens übertragen. </w:t>
      </w:r>
    </w:p>
    <w:p w:rsidR="002565C3" w:rsidRPr="004763D3" w:rsidRDefault="002565C3" w:rsidP="002565C3">
      <w:pPr>
        <w:pStyle w:val="Titel2"/>
      </w:pPr>
      <w:r w:rsidRPr="004763D3">
        <w:t xml:space="preserve">Art. 2 – Die </w:t>
      </w:r>
      <w:r>
        <w:t>Betriebsg</w:t>
      </w:r>
      <w:r w:rsidRPr="004763D3">
        <w:t>esellschaft</w:t>
      </w:r>
    </w:p>
    <w:p w:rsidR="002565C3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 xml:space="preserve">Als Instrument der Partnerschaft und zur Errichtung und Führung des unter </w:t>
      </w:r>
      <w:r>
        <w:rPr>
          <w:rFonts w:ascii="Verdana" w:hAnsi="Verdana"/>
          <w:color w:val="000000"/>
          <w:sz w:val="18"/>
        </w:rPr>
        <w:t>Art</w:t>
      </w:r>
      <w:r w:rsidRPr="003166CB">
        <w:rPr>
          <w:rFonts w:ascii="Verdana" w:hAnsi="Verdana"/>
          <w:color w:val="000000"/>
          <w:sz w:val="18"/>
        </w:rPr>
        <w:t>. 1 genannten Unternehmens wird eine Aktiengesellschaft gegründet.</w:t>
      </w:r>
    </w:p>
    <w:p w:rsidR="002565C3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 xml:space="preserve">Die Gesellschaft soll die Firma </w:t>
      </w:r>
      <w:r w:rsidRPr="000651FF">
        <w:rPr>
          <w:rFonts w:ascii="Verdana" w:hAnsi="Verdana"/>
          <w:color w:val="000000"/>
          <w:sz w:val="18"/>
        </w:rPr>
        <w:t>[</w:t>
      </w:r>
      <w:r>
        <w:rPr>
          <w:rFonts w:ascii="Verdana" w:hAnsi="Verdana"/>
          <w:color w:val="000000"/>
          <w:sz w:val="18"/>
        </w:rPr>
        <w:t>…</w:t>
      </w:r>
      <w:r w:rsidRPr="000651FF">
        <w:rPr>
          <w:rFonts w:ascii="Verdana" w:hAnsi="Verdana"/>
          <w:color w:val="000000"/>
          <w:sz w:val="18"/>
        </w:rPr>
        <w:t>]</w:t>
      </w:r>
      <w:r w:rsidRPr="003166CB">
        <w:rPr>
          <w:rFonts w:ascii="Verdana" w:hAnsi="Verdana"/>
          <w:color w:val="000000"/>
          <w:sz w:val="18"/>
        </w:rPr>
        <w:t xml:space="preserve"> tragen. Sitz der Gesellschaft ist</w:t>
      </w:r>
      <w:r>
        <w:rPr>
          <w:rFonts w:ascii="Verdana" w:hAnsi="Verdana"/>
          <w:color w:val="000000"/>
          <w:sz w:val="18"/>
        </w:rPr>
        <w:t xml:space="preserve"> […]</w:t>
      </w:r>
      <w:r w:rsidRPr="003166CB">
        <w:rPr>
          <w:rFonts w:ascii="Verdana" w:hAnsi="Verdana"/>
          <w:color w:val="000000"/>
          <w:sz w:val="18"/>
        </w:rPr>
        <w:t>.</w:t>
      </w:r>
    </w:p>
    <w:p w:rsidR="002565C3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>Die Gesellschaft soll über ein Aktienkapital von CHF 5 Mio. verfügen, eingeteilt in Namena</w:t>
      </w:r>
      <w:r w:rsidRPr="003166CB">
        <w:rPr>
          <w:rFonts w:ascii="Verdana" w:hAnsi="Verdana"/>
          <w:color w:val="000000"/>
          <w:sz w:val="18"/>
        </w:rPr>
        <w:t>k</w:t>
      </w:r>
      <w:r w:rsidRPr="003166CB">
        <w:rPr>
          <w:rFonts w:ascii="Verdana" w:hAnsi="Verdana"/>
          <w:color w:val="000000"/>
          <w:sz w:val="18"/>
        </w:rPr>
        <w:t>tien</w:t>
      </w:r>
      <w:r>
        <w:rPr>
          <w:rFonts w:ascii="Verdana" w:hAnsi="Verdana"/>
          <w:color w:val="000000"/>
          <w:sz w:val="18"/>
        </w:rPr>
        <w:t>/Inhaberaktien</w:t>
      </w:r>
      <w:r w:rsidRPr="003166CB">
        <w:rPr>
          <w:rFonts w:ascii="Verdana" w:hAnsi="Verdana"/>
          <w:color w:val="000000"/>
          <w:sz w:val="18"/>
        </w:rPr>
        <w:t xml:space="preserve"> à nom. </w:t>
      </w:r>
      <w:r w:rsidRPr="000651FF">
        <w:rPr>
          <w:rFonts w:ascii="Verdana" w:hAnsi="Verdana"/>
          <w:color w:val="000000"/>
          <w:sz w:val="18"/>
        </w:rPr>
        <w:t>C</w:t>
      </w:r>
      <w:r>
        <w:rPr>
          <w:rFonts w:ascii="Verdana" w:hAnsi="Verdana"/>
          <w:color w:val="000000"/>
          <w:sz w:val="18"/>
        </w:rPr>
        <w:t>HF</w:t>
      </w:r>
      <w:r w:rsidRPr="003166CB">
        <w:rPr>
          <w:rFonts w:ascii="Verdana" w:hAnsi="Verdana"/>
          <w:color w:val="000000"/>
          <w:sz w:val="18"/>
        </w:rPr>
        <w:t xml:space="preserve"> 1'000.--.</w:t>
      </w:r>
    </w:p>
    <w:p w:rsidR="002565C3" w:rsidRDefault="002565C3" w:rsidP="002565C3">
      <w:pPr>
        <w:pStyle w:val="Listenabsatz"/>
        <w:spacing w:after="120" w:line="360" w:lineRule="auto"/>
        <w:rPr>
          <w:rFonts w:ascii="Verdana" w:hAnsi="Verdana"/>
          <w:color w:val="000000"/>
          <w:sz w:val="18"/>
        </w:rPr>
      </w:pPr>
    </w:p>
    <w:p w:rsidR="002565C3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>Die Parteien räumen sich an den in ihrem Besitze stehenden Aktien ein Vo</w:t>
      </w:r>
      <w:r w:rsidRPr="000651FF">
        <w:rPr>
          <w:rFonts w:ascii="Verdana" w:hAnsi="Verdana"/>
          <w:color w:val="000000"/>
          <w:sz w:val="18"/>
        </w:rPr>
        <w:t>rkaufs</w:t>
      </w:r>
      <w:r w:rsidRPr="003166CB">
        <w:rPr>
          <w:rFonts w:ascii="Verdana" w:hAnsi="Verdana"/>
          <w:color w:val="000000"/>
          <w:sz w:val="18"/>
        </w:rPr>
        <w:t>recht ein. In die Statuten der Gesellschaft sind dementsprechende</w:t>
      </w:r>
      <w:r>
        <w:rPr>
          <w:rFonts w:ascii="Verdana" w:hAnsi="Verdana"/>
          <w:color w:val="000000"/>
          <w:sz w:val="18"/>
        </w:rPr>
        <w:t xml:space="preserve"> </w:t>
      </w:r>
      <w:r w:rsidRPr="003166CB">
        <w:rPr>
          <w:rFonts w:ascii="Verdana" w:hAnsi="Verdana"/>
          <w:color w:val="000000"/>
          <w:sz w:val="18"/>
        </w:rPr>
        <w:t>Bestimmungen aufzunehmen.</w:t>
      </w:r>
    </w:p>
    <w:p w:rsidR="002565C3" w:rsidRPr="003166CB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>Das Aktienkapital wird von den beiden Parteien wie folgt aufgebracht resp. inne- gehalten:</w:t>
      </w:r>
    </w:p>
    <w:p w:rsidR="002565C3" w:rsidRPr="003166CB" w:rsidRDefault="002565C3" w:rsidP="002565C3">
      <w:pPr>
        <w:spacing w:after="120" w:line="360" w:lineRule="auto"/>
        <w:ind w:left="993" w:right="3336" w:hanging="426"/>
        <w:rPr>
          <w:rFonts w:ascii="Verdana" w:hAnsi="Verdana"/>
          <w:color w:val="000000"/>
          <w:sz w:val="18"/>
        </w:rPr>
      </w:pPr>
      <w:r w:rsidRPr="003166CB">
        <w:rPr>
          <w:rFonts w:ascii="Verdana" w:hAnsi="Verdana"/>
          <w:color w:val="000000"/>
          <w:sz w:val="18"/>
        </w:rPr>
        <w:t>A</w:t>
      </w:r>
      <w:r w:rsidRPr="003166CB">
        <w:rPr>
          <w:rFonts w:ascii="Verdana" w:hAnsi="Verdana"/>
          <w:color w:val="000000"/>
          <w:sz w:val="18"/>
        </w:rPr>
        <w:tab/>
        <w:t>70 % des Aktienkapitals</w:t>
      </w:r>
    </w:p>
    <w:p w:rsidR="002565C3" w:rsidRDefault="002565C3" w:rsidP="002565C3">
      <w:pPr>
        <w:spacing w:after="120" w:line="360" w:lineRule="auto"/>
        <w:ind w:left="993" w:right="3339" w:hanging="426"/>
        <w:rPr>
          <w:rFonts w:ascii="Verdana" w:hAnsi="Verdana"/>
          <w:color w:val="000000"/>
          <w:sz w:val="18"/>
        </w:rPr>
      </w:pPr>
      <w:r w:rsidRPr="000651FF">
        <w:rPr>
          <w:rFonts w:ascii="Verdana" w:hAnsi="Verdana"/>
          <w:color w:val="000000"/>
          <w:sz w:val="18"/>
        </w:rPr>
        <w:t>B</w:t>
      </w:r>
      <w:r w:rsidRPr="003166CB">
        <w:rPr>
          <w:rFonts w:ascii="Verdana" w:hAnsi="Verdana"/>
          <w:color w:val="000000"/>
          <w:sz w:val="18"/>
        </w:rPr>
        <w:tab/>
        <w:t>30 % des Aktienkapitals</w:t>
      </w:r>
    </w:p>
    <w:p w:rsidR="002565C3" w:rsidRPr="0043706A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43706A">
        <w:rPr>
          <w:rFonts w:ascii="Verdana" w:hAnsi="Verdana"/>
          <w:color w:val="000000"/>
          <w:sz w:val="18"/>
        </w:rPr>
        <w:lastRenderedPageBreak/>
        <w:t>Dieses Beteiligungsverhältnis soll auch bei künftigen Kapitalerhöhungen aufrechterhalten we</w:t>
      </w:r>
      <w:r w:rsidRPr="0043706A">
        <w:rPr>
          <w:rFonts w:ascii="Verdana" w:hAnsi="Verdana"/>
          <w:color w:val="000000"/>
          <w:sz w:val="18"/>
        </w:rPr>
        <w:t>r</w:t>
      </w:r>
      <w:r w:rsidRPr="0043706A">
        <w:rPr>
          <w:rFonts w:ascii="Verdana" w:hAnsi="Verdana"/>
          <w:color w:val="000000"/>
          <w:sz w:val="18"/>
        </w:rPr>
        <w:t>den.</w:t>
      </w:r>
    </w:p>
    <w:p w:rsidR="002565C3" w:rsidRPr="003166CB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r w:rsidRPr="0043706A">
        <w:rPr>
          <w:rFonts w:ascii="Verdana" w:hAnsi="Verdana"/>
          <w:color w:val="000000"/>
          <w:sz w:val="18"/>
        </w:rPr>
        <w:t>Für den Fall, dass die Gesellschaft leitende Mitarbeiter an ihrem Aktienkapital zu beteiligen wünscht, sind die hierzu erforderlichen Aktien zunächst von A zur Verfügung zu stellen. Dabei darf die Beteiligung von A 51 % des Aktienkapitals keinesfalls unterschreiten.</w:t>
      </w:r>
    </w:p>
    <w:p w:rsidR="002565C3" w:rsidRPr="002565C3" w:rsidRDefault="002565C3" w:rsidP="002565C3">
      <w:pPr>
        <w:numPr>
          <w:ilvl w:val="0"/>
          <w:numId w:val="38"/>
        </w:numPr>
        <w:tabs>
          <w:tab w:val="left" w:pos="567"/>
        </w:tabs>
        <w:spacing w:after="120" w:line="360" w:lineRule="auto"/>
        <w:ind w:left="567" w:right="46" w:hanging="567"/>
        <w:rPr>
          <w:rFonts w:ascii="Verdana" w:hAnsi="Verdana"/>
          <w:color w:val="000000"/>
          <w:sz w:val="18"/>
        </w:rPr>
      </w:pPr>
      <w:bookmarkStart w:id="0" w:name="_Hlk28110395"/>
      <w:r w:rsidRPr="003166CB">
        <w:rPr>
          <w:rFonts w:ascii="Verdana" w:hAnsi="Verdana"/>
          <w:color w:val="000000"/>
          <w:sz w:val="18"/>
        </w:rPr>
        <w:t xml:space="preserve">Beide </w:t>
      </w:r>
      <w:r>
        <w:rPr>
          <w:rFonts w:ascii="Verdana" w:hAnsi="Verdana"/>
          <w:color w:val="000000"/>
          <w:sz w:val="18"/>
        </w:rPr>
        <w:t>Parteien</w:t>
      </w:r>
      <w:r w:rsidRPr="003166CB">
        <w:rPr>
          <w:rFonts w:ascii="Verdana" w:hAnsi="Verdana"/>
          <w:color w:val="000000"/>
          <w:sz w:val="18"/>
        </w:rPr>
        <w:t xml:space="preserve"> </w:t>
      </w:r>
      <w:bookmarkEnd w:id="0"/>
      <w:r w:rsidRPr="003166CB">
        <w:rPr>
          <w:rFonts w:ascii="Verdana" w:hAnsi="Verdana"/>
          <w:color w:val="000000"/>
          <w:sz w:val="18"/>
        </w:rPr>
        <w:t xml:space="preserve">werden sich im Verhältnis ihrer Anteile am Aktienkapital der Gesellschaft an der weiteren Finanzierung des Vorhabens beteiligen. Die Parteien gehen dabei von einem ungefähren Investitionsbedarf von CHF </w:t>
      </w:r>
      <w:r>
        <w:rPr>
          <w:rFonts w:ascii="Verdana" w:hAnsi="Verdana"/>
          <w:color w:val="000000"/>
          <w:sz w:val="18"/>
        </w:rPr>
        <w:t>[…]</w:t>
      </w:r>
      <w:r w:rsidRPr="003166CB">
        <w:rPr>
          <w:rFonts w:ascii="Verdana" w:hAnsi="Verdana"/>
          <w:color w:val="000000"/>
          <w:sz w:val="18"/>
        </w:rPr>
        <w:t xml:space="preserve"> aus.</w:t>
      </w:r>
    </w:p>
    <w:p w:rsidR="002565C3" w:rsidRPr="004763D3" w:rsidRDefault="002565C3" w:rsidP="002565C3">
      <w:pPr>
        <w:pStyle w:val="Titel2"/>
      </w:pPr>
      <w:r w:rsidRPr="004763D3">
        <w:t xml:space="preserve">Art. 3 – </w:t>
      </w:r>
      <w:r>
        <w:t>Leitung</w:t>
      </w:r>
      <w:r w:rsidRPr="004763D3">
        <w:t xml:space="preserve"> der Gesellschaft</w:t>
      </w:r>
    </w:p>
    <w:p w:rsidR="002565C3" w:rsidRPr="004763D3" w:rsidRDefault="002565C3" w:rsidP="002565C3">
      <w:pPr>
        <w:pStyle w:val="VertragHaupttext"/>
        <w:numPr>
          <w:ilvl w:val="0"/>
          <w:numId w:val="40"/>
        </w:numPr>
        <w:tabs>
          <w:tab w:val="left" w:pos="567"/>
        </w:tabs>
        <w:spacing w:after="120" w:line="360" w:lineRule="auto"/>
        <w:ind w:left="567" w:hanging="567"/>
      </w:pPr>
      <w:r w:rsidRPr="004763D3">
        <w:t xml:space="preserve">Im </w:t>
      </w:r>
      <w:r>
        <w:t>Verwaltungsrat</w:t>
      </w:r>
      <w:r w:rsidRPr="004763D3">
        <w:t xml:space="preserve"> der AG werden A und B wie folgt vertreten sein: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>A:</w:t>
      </w:r>
      <w:r w:rsidRPr="004763D3">
        <w:tab/>
        <w:t>Zwei Vertreter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>B:</w:t>
      </w:r>
      <w:r w:rsidRPr="004763D3">
        <w:tab/>
        <w:t>Drei Vertreter</w:t>
      </w:r>
    </w:p>
    <w:p w:rsidR="002565C3" w:rsidRDefault="002565C3" w:rsidP="002565C3">
      <w:pPr>
        <w:pStyle w:val="VertragHaupttext"/>
        <w:spacing w:after="120" w:line="360" w:lineRule="auto"/>
        <w:ind w:left="567"/>
      </w:pPr>
      <w:r w:rsidRPr="004763D3">
        <w:t xml:space="preserve">Die Parteien werden in der Hauptversammlung der AG ihre Stimmen so abgeben, dass </w:t>
      </w:r>
      <w:r>
        <w:t>drei</w:t>
      </w:r>
      <w:r w:rsidRPr="004763D3">
        <w:t xml:space="preserve"> von A und </w:t>
      </w:r>
      <w:r>
        <w:t>zwei</w:t>
      </w:r>
      <w:r w:rsidRPr="004763D3">
        <w:t xml:space="preserve"> von B vorgeschlagene Mitglieder </w:t>
      </w:r>
      <w:r>
        <w:t>des Verwaltungsrates</w:t>
      </w:r>
      <w:r w:rsidRPr="004763D3">
        <w:t xml:space="preserve"> g</w:t>
      </w:r>
      <w:r w:rsidRPr="004763D3">
        <w:t>e</w:t>
      </w:r>
      <w:r w:rsidRPr="004763D3">
        <w:t>wählt werden.</w:t>
      </w:r>
    </w:p>
    <w:p w:rsidR="002565C3" w:rsidRDefault="002565C3" w:rsidP="002565C3">
      <w:pPr>
        <w:pStyle w:val="VertragHaupttext"/>
        <w:numPr>
          <w:ilvl w:val="0"/>
          <w:numId w:val="40"/>
        </w:numPr>
        <w:tabs>
          <w:tab w:val="left" w:pos="567"/>
        </w:tabs>
        <w:spacing w:after="120" w:line="360" w:lineRule="auto"/>
        <w:ind w:left="567" w:hanging="567"/>
      </w:pPr>
      <w:r>
        <w:t>Der Verwaltungsrat fasst seine Beschlüsse mit der Mehrheit seiner Mitglieder. Bei Stimmengleichheit steht dem Präsidenten der Stichentscheid zu.</w:t>
      </w:r>
    </w:p>
    <w:p w:rsidR="002565C3" w:rsidRDefault="002565C3" w:rsidP="002565C3">
      <w:pPr>
        <w:pStyle w:val="VertragHaupttext"/>
        <w:numPr>
          <w:ilvl w:val="0"/>
          <w:numId w:val="40"/>
        </w:numPr>
        <w:tabs>
          <w:tab w:val="left" w:pos="567"/>
        </w:tabs>
        <w:spacing w:after="120" w:line="360" w:lineRule="auto"/>
        <w:ind w:left="567" w:hanging="567"/>
      </w:pPr>
      <w:r>
        <w:t>Folgende Geschäfte bedürfen der Beschlussfassung durch den Verwaltungsrat mit Zweidrittelsmehrheit:</w:t>
      </w:r>
    </w:p>
    <w:p w:rsidR="002565C3" w:rsidRDefault="002565C3" w:rsidP="002565C3">
      <w:pPr>
        <w:pStyle w:val="VertragHaupttext"/>
        <w:numPr>
          <w:ilvl w:val="1"/>
          <w:numId w:val="40"/>
        </w:numPr>
        <w:tabs>
          <w:tab w:val="left" w:pos="567"/>
        </w:tabs>
        <w:spacing w:after="120" w:line="360" w:lineRule="auto"/>
      </w:pPr>
      <w:r>
        <w:t>Genehmigung von Investitions- und Betriebsbudgets</w:t>
      </w:r>
    </w:p>
    <w:p w:rsidR="002565C3" w:rsidRDefault="002565C3" w:rsidP="002565C3">
      <w:pPr>
        <w:pStyle w:val="VertragHaupttext"/>
        <w:numPr>
          <w:ilvl w:val="1"/>
          <w:numId w:val="40"/>
        </w:numPr>
        <w:tabs>
          <w:tab w:val="left" w:pos="567"/>
        </w:tabs>
        <w:spacing w:after="120" w:line="360" w:lineRule="auto"/>
      </w:pPr>
      <w:r>
        <w:t>Bau, Kauf, Verkauf und Belastung von Grundstücken und Liegenschaften sowie Miete und Vermietung von Liegenschaften und Betriebsräumlichkeiten</w:t>
      </w:r>
    </w:p>
    <w:p w:rsidR="002565C3" w:rsidRDefault="002565C3" w:rsidP="002565C3">
      <w:pPr>
        <w:pStyle w:val="VertragHaupttext"/>
        <w:numPr>
          <w:ilvl w:val="1"/>
          <w:numId w:val="40"/>
        </w:numPr>
        <w:tabs>
          <w:tab w:val="left" w:pos="567"/>
        </w:tabs>
        <w:spacing w:after="120" w:line="360" w:lineRule="auto"/>
      </w:pPr>
      <w:r>
        <w:t>Inanspruchnahme von Bankkrediten über CHF 50 000.– soweit solche Kredite nicht schon in den Budgets gemäss lit. a) oben vorgesehen sind</w:t>
      </w:r>
    </w:p>
    <w:p w:rsidR="002565C3" w:rsidRDefault="002565C3" w:rsidP="002565C3">
      <w:pPr>
        <w:pStyle w:val="VertragHaupttext"/>
        <w:numPr>
          <w:ilvl w:val="1"/>
          <w:numId w:val="40"/>
        </w:numPr>
        <w:tabs>
          <w:tab w:val="left" w:pos="567"/>
        </w:tabs>
        <w:spacing w:after="120" w:line="360" w:lineRule="auto"/>
      </w:pPr>
      <w:r>
        <w:t>Anstellung und Entlassung des Direktors resp. Geschäftsführers der Betriebsgesellschaft</w:t>
      </w:r>
    </w:p>
    <w:p w:rsidR="002565C3" w:rsidRPr="004763D3" w:rsidRDefault="002565C3" w:rsidP="002565C3">
      <w:pPr>
        <w:pStyle w:val="VertragHaupttext"/>
        <w:numPr>
          <w:ilvl w:val="1"/>
          <w:numId w:val="40"/>
        </w:numPr>
        <w:tabs>
          <w:tab w:val="left" w:pos="567"/>
        </w:tabs>
        <w:spacing w:after="120" w:line="360" w:lineRule="auto"/>
      </w:pPr>
      <w:r>
        <w:t>Abschluss von Vereinbarungen zwischen einem Partner und der Gesellschaft, sofern sich aus diesem Vertrag nichts Gegenteiliges ergibt.</w:t>
      </w:r>
    </w:p>
    <w:p w:rsidR="002565C3" w:rsidRDefault="002565C3" w:rsidP="002565C3">
      <w:pPr>
        <w:pStyle w:val="VertragHaupttext"/>
        <w:numPr>
          <w:ilvl w:val="0"/>
          <w:numId w:val="40"/>
        </w:numPr>
        <w:tabs>
          <w:tab w:val="left" w:pos="567"/>
        </w:tabs>
        <w:spacing w:after="120" w:line="360" w:lineRule="auto"/>
        <w:ind w:left="567" w:hanging="567"/>
      </w:pPr>
      <w:r w:rsidRPr="004763D3">
        <w:t xml:space="preserve">Die Parteien haben sich darauf geeinigt, dass das Tagesgeschäft von einem angestellten </w:t>
      </w:r>
      <w:r>
        <w:t>G</w:t>
      </w:r>
      <w:r>
        <w:t>e</w:t>
      </w:r>
      <w:r>
        <w:t xml:space="preserve">schäftsführer </w:t>
      </w:r>
      <w:r w:rsidRPr="004763D3">
        <w:t xml:space="preserve">geleitet wird, der nicht Mitglied </w:t>
      </w:r>
      <w:r>
        <w:t>des Verwaltungsrates</w:t>
      </w:r>
      <w:r w:rsidRPr="004763D3">
        <w:t xml:space="preserve"> ist und der von A und B g</w:t>
      </w:r>
      <w:r w:rsidRPr="004763D3">
        <w:t>e</w:t>
      </w:r>
      <w:r w:rsidRPr="004763D3">
        <w:t xml:space="preserve">meinsam ausgewählt wird. Der </w:t>
      </w:r>
      <w:r>
        <w:t>Geschäftsführer</w:t>
      </w:r>
      <w:r w:rsidRPr="004763D3">
        <w:t xml:space="preserve"> soll die Befugnisse </w:t>
      </w:r>
      <w:r>
        <w:t>nach Massgabe eines Organ</w:t>
      </w:r>
      <w:r>
        <w:t>i</w:t>
      </w:r>
      <w:r>
        <w:t xml:space="preserve">sationselements </w:t>
      </w:r>
      <w:r w:rsidRPr="004763D3">
        <w:t>erhalten.</w:t>
      </w:r>
    </w:p>
    <w:p w:rsidR="002565C3" w:rsidRDefault="002565C3" w:rsidP="002565C3">
      <w:pPr>
        <w:pStyle w:val="VertragHaupttext"/>
        <w:tabs>
          <w:tab w:val="left" w:pos="567"/>
        </w:tabs>
        <w:spacing w:after="120" w:line="360" w:lineRule="auto"/>
      </w:pPr>
    </w:p>
    <w:p w:rsidR="002565C3" w:rsidRDefault="002565C3" w:rsidP="002565C3">
      <w:pPr>
        <w:pStyle w:val="VertragHaupttext"/>
        <w:tabs>
          <w:tab w:val="left" w:pos="567"/>
        </w:tabs>
        <w:spacing w:after="120" w:line="360" w:lineRule="auto"/>
      </w:pP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</w:pPr>
    </w:p>
    <w:p w:rsidR="002565C3" w:rsidRPr="004763D3" w:rsidRDefault="002565C3" w:rsidP="002565C3">
      <w:pPr>
        <w:pStyle w:val="Titel2"/>
      </w:pPr>
      <w:r w:rsidRPr="004763D3">
        <w:lastRenderedPageBreak/>
        <w:t xml:space="preserve">Art. </w:t>
      </w:r>
      <w:r>
        <w:t>4</w:t>
      </w:r>
      <w:r w:rsidRPr="004763D3">
        <w:t xml:space="preserve"> – Belieferung mit Komponenten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I.</w:t>
      </w:r>
      <w:r w:rsidRPr="004763D3">
        <w:tab/>
        <w:t>A verpflichtet sich, die zur Herstellung der Produkte X erforderlichen Komponenten, K1, K2, K3 und K4 an die neue AG zu liefern.</w:t>
      </w:r>
    </w:p>
    <w:p w:rsidR="002565C3" w:rsidRPr="004763D3" w:rsidRDefault="002565C3" w:rsidP="002565C3">
      <w:pPr>
        <w:pStyle w:val="VertragHaupttext"/>
        <w:spacing w:after="120" w:line="360" w:lineRule="auto"/>
        <w:ind w:firstLine="567"/>
      </w:pPr>
      <w:r w:rsidRPr="004763D3">
        <w:t>A sichert zu, dass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>1.</w:t>
      </w:r>
      <w:r w:rsidRPr="004763D3">
        <w:tab/>
        <w:t>A die kontinuierliche und zeitgerechte Belieferung der AG mit den vorgenannten Komp</w:t>
      </w:r>
      <w:r w:rsidRPr="004763D3">
        <w:t>o</w:t>
      </w:r>
      <w:r w:rsidRPr="004763D3">
        <w:t>nenten sicherstellen wird, und zwar in Übereinstimmung mit der Produkt</w:t>
      </w:r>
      <w:r w:rsidRPr="004763D3">
        <w:t>i</w:t>
      </w:r>
      <w:r w:rsidRPr="004763D3">
        <w:t xml:space="preserve">onsplanung, wie sie jährlich im </w:t>
      </w:r>
      <w:r>
        <w:t>Verwaltungsrat</w:t>
      </w:r>
      <w:r w:rsidRPr="004763D3">
        <w:t xml:space="preserve"> für das Geschäftsjahr vorgelegt wird.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>2.</w:t>
      </w:r>
      <w:r w:rsidRPr="004763D3">
        <w:tab/>
        <w:t>Die gelieferten Komponenten dieselbe Qualität haben wie die bei A in den eigenen Fert</w:t>
      </w:r>
      <w:r w:rsidRPr="004763D3">
        <w:t>i</w:t>
      </w:r>
      <w:r w:rsidRPr="004763D3">
        <w:t>gungsstätten eingebauten Komponenten.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>3.</w:t>
      </w:r>
      <w:r w:rsidRPr="004763D3">
        <w:tab/>
        <w:t>A die technischen Eigenschaften dieser gelieferten Komponenten nicht verändern wird, wenn dadurch die Verwendungsmöglichkeit bei der AG beeinträchtigt wird.</w:t>
      </w:r>
    </w:p>
    <w:p w:rsidR="002565C3" w:rsidRPr="004763D3" w:rsidRDefault="002565C3" w:rsidP="002565C3">
      <w:pPr>
        <w:pStyle w:val="VertragHaupttext"/>
        <w:tabs>
          <w:tab w:val="left" w:pos="1134"/>
        </w:tabs>
        <w:spacing w:after="120" w:line="360" w:lineRule="auto"/>
        <w:ind w:left="1134" w:hanging="567"/>
      </w:pPr>
      <w:r w:rsidRPr="004763D3">
        <w:tab/>
        <w:t xml:space="preserve">Die Preisklausel für die Festlegung der Verrechnungspreise sowie Zahlungsbedingungen und Lieferantenkredit werden in Beilage </w:t>
      </w:r>
      <w:r>
        <w:t>[…]</w:t>
      </w:r>
      <w:r w:rsidRPr="004763D3">
        <w:t xml:space="preserve"> festgelegt, die als Bestandteil dieses Vertr</w:t>
      </w:r>
      <w:r w:rsidRPr="004763D3">
        <w:t>a</w:t>
      </w:r>
      <w:r w:rsidRPr="004763D3">
        <w:t xml:space="preserve">ges gilt. </w:t>
      </w:r>
    </w:p>
    <w:p w:rsidR="002565C3" w:rsidRPr="004763D3" w:rsidRDefault="002565C3" w:rsidP="002565C3">
      <w:pPr>
        <w:pStyle w:val="Titel2"/>
      </w:pPr>
      <w:r w:rsidRPr="004763D3">
        <w:t xml:space="preserve">Art. </w:t>
      </w:r>
      <w:r>
        <w:t>5</w:t>
      </w:r>
      <w:r w:rsidRPr="004763D3">
        <w:t xml:space="preserve"> – Vermarktung</w:t>
      </w:r>
    </w:p>
    <w:p w:rsidR="002565C3" w:rsidRPr="004763D3" w:rsidRDefault="002565C3" w:rsidP="002565C3">
      <w:pPr>
        <w:pStyle w:val="VertragHaupttext"/>
        <w:numPr>
          <w:ilvl w:val="0"/>
          <w:numId w:val="41"/>
        </w:numPr>
        <w:tabs>
          <w:tab w:val="left" w:pos="567"/>
        </w:tabs>
        <w:spacing w:after="120" w:line="360" w:lineRule="auto"/>
        <w:ind w:left="567" w:hanging="567"/>
      </w:pPr>
      <w:r w:rsidRPr="004763D3">
        <w:t>Der zwischen A und B bestehende Exklusiv-Eigenhändlervertrag wird nach einem M</w:t>
      </w:r>
      <w:r w:rsidRPr="004763D3">
        <w:t>o</w:t>
      </w:r>
      <w:r w:rsidRPr="004763D3">
        <w:t>nat nach Aufnahme der kommerziellen Produktion der AG beendet.</w:t>
      </w:r>
    </w:p>
    <w:p w:rsidR="002565C3" w:rsidRPr="004763D3" w:rsidRDefault="002565C3" w:rsidP="002565C3">
      <w:pPr>
        <w:pStyle w:val="VertragHaupttext"/>
        <w:numPr>
          <w:ilvl w:val="0"/>
          <w:numId w:val="41"/>
        </w:numPr>
        <w:tabs>
          <w:tab w:val="left" w:pos="567"/>
        </w:tabs>
        <w:spacing w:after="120" w:line="360" w:lineRule="auto"/>
        <w:ind w:left="567" w:hanging="567"/>
      </w:pPr>
      <w:r w:rsidRPr="004763D3">
        <w:t>Die gesamte Produktion der AG wird aber dennoch über die Distributionskanäle von B im Lande Y vermarktet, wobei B die Handelsvertretung auf Provisionsbasis für die AG übernimmt. Der b</w:t>
      </w:r>
      <w:r w:rsidRPr="004763D3">
        <w:t>e</w:t>
      </w:r>
      <w:r w:rsidRPr="004763D3">
        <w:t xml:space="preserve">treffende Vertrag wird in Beilage 9 festgelegt, die als Bestandteil dieses Vertrages gilt.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III.</w:t>
      </w:r>
      <w:r w:rsidRPr="004763D3">
        <w:tab/>
        <w:t>A verpflichtet sich, im Lande Y keine konkurrenzierenden Produkte zu vertreiben, s</w:t>
      </w:r>
      <w:r w:rsidRPr="004763D3">
        <w:t>o</w:t>
      </w:r>
      <w:r w:rsidRPr="004763D3">
        <w:t>lange die AG den lokalen Markt befriedigen kann. B verpflichtet sich, über seine Distributionskanäle keine Wettbewerbsprodukte anderer Hersteller zu vertreiben.</w:t>
      </w:r>
    </w:p>
    <w:p w:rsidR="002565C3" w:rsidRDefault="002565C3" w:rsidP="002565C3">
      <w:pPr>
        <w:pStyle w:val="VertragHaupttext"/>
        <w:numPr>
          <w:ilvl w:val="0"/>
          <w:numId w:val="42"/>
        </w:numPr>
        <w:tabs>
          <w:tab w:val="left" w:pos="567"/>
        </w:tabs>
        <w:spacing w:after="120" w:line="360" w:lineRule="auto"/>
        <w:ind w:left="567" w:hanging="567"/>
      </w:pPr>
      <w:r w:rsidRPr="004763D3">
        <w:t>Bei der Preisgestaltung verpflichten sich beide Parteien, die kartellrechtlichen Besti</w:t>
      </w:r>
      <w:r w:rsidRPr="004763D3">
        <w:t>m</w:t>
      </w:r>
      <w:r w:rsidRPr="004763D3">
        <w:t>mungen der Schweiz und des Landes Y zu beachten.</w:t>
      </w:r>
    </w:p>
    <w:p w:rsidR="002565C3" w:rsidRPr="0080719E" w:rsidRDefault="002565C3" w:rsidP="002565C3">
      <w:pPr>
        <w:pStyle w:val="Titel2"/>
      </w:pPr>
      <w:r>
        <w:br w:type="page"/>
      </w:r>
      <w:r>
        <w:lastRenderedPageBreak/>
        <w:t>Art. 6</w:t>
      </w:r>
      <w:r>
        <w:t xml:space="preserve"> </w:t>
      </w:r>
      <w:r w:rsidRPr="004763D3">
        <w:t>–</w:t>
      </w:r>
      <w:r>
        <w:t xml:space="preserve"> </w:t>
      </w:r>
      <w:r w:rsidRPr="0080719E">
        <w:t>Markenrecht</w:t>
      </w:r>
    </w:p>
    <w:p w:rsidR="002565C3" w:rsidRDefault="002565C3" w:rsidP="002565C3">
      <w:pPr>
        <w:pStyle w:val="VertragHaupttext"/>
        <w:numPr>
          <w:ilvl w:val="0"/>
          <w:numId w:val="43"/>
        </w:numPr>
        <w:tabs>
          <w:tab w:val="left" w:pos="567"/>
        </w:tabs>
        <w:spacing w:after="120" w:line="360" w:lineRule="auto"/>
        <w:ind w:left="567" w:hanging="567"/>
      </w:pPr>
      <w:r w:rsidRPr="0080719E">
        <w:t>«</w:t>
      </w:r>
      <w:r>
        <w:t>A</w:t>
      </w:r>
      <w:r w:rsidRPr="0080719E">
        <w:t xml:space="preserve">» </w:t>
      </w:r>
      <w:r>
        <w:t xml:space="preserve">ist ein </w:t>
      </w:r>
      <w:r w:rsidRPr="0080719E">
        <w:t>markenrechtlich geschützte</w:t>
      </w:r>
      <w:r>
        <w:t>s</w:t>
      </w:r>
      <w:r w:rsidRPr="0080719E">
        <w:t xml:space="preserve"> Zeichen. Als B</w:t>
      </w:r>
      <w:r w:rsidRPr="0080719E">
        <w:t>e</w:t>
      </w:r>
      <w:r w:rsidRPr="0080719E">
        <w:t xml:space="preserve">standteil ihrer Firma verfügt die </w:t>
      </w:r>
      <w:r>
        <w:t>A</w:t>
      </w:r>
      <w:r w:rsidRPr="0080719E">
        <w:t xml:space="preserve"> über diese Zeichen im Rahmen des Gesellschaftszweckes.</w:t>
      </w:r>
    </w:p>
    <w:p w:rsidR="002565C3" w:rsidRPr="0080719E" w:rsidRDefault="002565C3" w:rsidP="002565C3">
      <w:pPr>
        <w:pStyle w:val="VertragHaupttext"/>
        <w:numPr>
          <w:ilvl w:val="0"/>
          <w:numId w:val="43"/>
        </w:numPr>
        <w:tabs>
          <w:tab w:val="left" w:pos="567"/>
        </w:tabs>
        <w:spacing w:after="120" w:line="360" w:lineRule="auto"/>
        <w:ind w:left="567" w:hanging="567"/>
      </w:pPr>
      <w:r w:rsidRPr="0080719E">
        <w:t>«</w:t>
      </w:r>
      <w:r>
        <w:t>B</w:t>
      </w:r>
      <w:r w:rsidRPr="0080719E">
        <w:t xml:space="preserve">» </w:t>
      </w:r>
      <w:r>
        <w:t xml:space="preserve">ist ein </w:t>
      </w:r>
      <w:r w:rsidRPr="0080719E">
        <w:t>markenrechtlich geschützte</w:t>
      </w:r>
      <w:r>
        <w:t>s</w:t>
      </w:r>
      <w:r w:rsidRPr="0080719E">
        <w:t xml:space="preserve"> Zeichen. Als B</w:t>
      </w:r>
      <w:r w:rsidRPr="0080719E">
        <w:t>e</w:t>
      </w:r>
      <w:r w:rsidRPr="0080719E">
        <w:t xml:space="preserve">standteil ihrer Firma verfügt die </w:t>
      </w:r>
      <w:r>
        <w:t>B</w:t>
      </w:r>
      <w:r w:rsidRPr="0080719E">
        <w:t xml:space="preserve"> über diese Zeichen im Rahmen des Gesellschaftszweckes.</w:t>
      </w:r>
    </w:p>
    <w:p w:rsidR="002565C3" w:rsidRPr="0080719E" w:rsidRDefault="002565C3" w:rsidP="002565C3">
      <w:pPr>
        <w:pStyle w:val="VertragHaupttext"/>
        <w:numPr>
          <w:ilvl w:val="0"/>
          <w:numId w:val="43"/>
        </w:numPr>
        <w:tabs>
          <w:tab w:val="left" w:pos="567"/>
        </w:tabs>
        <w:spacing w:after="120" w:line="360" w:lineRule="auto"/>
        <w:ind w:left="567" w:hanging="567"/>
      </w:pPr>
      <w:r w:rsidRPr="0080719E">
        <w:t>Eine über den Gesellschaftszweck hinausreichende Benützung dieser Zeichen setzt den Abschluss einer besonderen Vereinbarung unter den Partnern vo</w:t>
      </w:r>
      <w:r w:rsidRPr="0080719E">
        <w:t>r</w:t>
      </w:r>
      <w:r w:rsidRPr="0080719E">
        <w:t>aus.</w:t>
      </w:r>
    </w:p>
    <w:p w:rsidR="002565C3" w:rsidRDefault="002565C3" w:rsidP="002565C3">
      <w:pPr>
        <w:pStyle w:val="VertragHaupttext"/>
        <w:numPr>
          <w:ilvl w:val="0"/>
          <w:numId w:val="43"/>
        </w:numPr>
        <w:tabs>
          <w:tab w:val="left" w:pos="567"/>
        </w:tabs>
        <w:spacing w:after="120" w:line="360" w:lineRule="auto"/>
        <w:ind w:left="567" w:hanging="567"/>
      </w:pPr>
      <w:r w:rsidRPr="0080719E">
        <w:t>Mit dem Ausscheiden eines Partners aus der Gesellschaft entfällt das Recht der Gesel</w:t>
      </w:r>
      <w:r w:rsidRPr="0080719E">
        <w:t>l</w:t>
      </w:r>
      <w:r w:rsidRPr="0080719E">
        <w:t>schaft auf jede weitere Verwendung des von diesem Partner eingebrac</w:t>
      </w:r>
      <w:r w:rsidRPr="0080719E">
        <w:t>h</w:t>
      </w:r>
      <w:r w:rsidRPr="0080719E">
        <w:t>ten Zeichens.</w:t>
      </w:r>
    </w:p>
    <w:p w:rsidR="002565C3" w:rsidRPr="004763D3" w:rsidRDefault="002565C3" w:rsidP="002565C3">
      <w:pPr>
        <w:pStyle w:val="Titel2"/>
      </w:pPr>
      <w:r w:rsidRPr="004763D3">
        <w:t xml:space="preserve">Art. </w:t>
      </w:r>
      <w:r>
        <w:t>7</w:t>
      </w:r>
      <w:r w:rsidRPr="004763D3">
        <w:t xml:space="preserve"> – Geheimhaltung und Datenschutz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I.</w:t>
      </w:r>
      <w:r w:rsidRPr="004763D3">
        <w:tab/>
        <w:t>Beide Parteien verpflichten sich, Informationen der anderen Partei vor allem in Bezug auf Inn</w:t>
      </w:r>
      <w:r w:rsidRPr="004763D3">
        <w:t>o</w:t>
      </w:r>
      <w:r w:rsidRPr="004763D3">
        <w:t>vationen und Know-how gegenüber Dritten geheim zu halten, soweit diese nicht bereits Dritten bekannt oder zur Veröffentlichung bestimmt sind. Die Verpflic</w:t>
      </w:r>
      <w:r w:rsidRPr="004763D3">
        <w:t>h</w:t>
      </w:r>
      <w:r w:rsidRPr="004763D3">
        <w:t>tung gilt auch nach Vertragsende, so lange wie Interesse an der Geheimhaltung b</w:t>
      </w:r>
      <w:r w:rsidRPr="004763D3">
        <w:t>e</w:t>
      </w:r>
      <w:r w:rsidRPr="004763D3">
        <w:t xml:space="preserve">steht.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II.</w:t>
      </w:r>
      <w:r w:rsidRPr="004763D3">
        <w:tab/>
        <w:t>Beide Parteien verpflichten Angestellte, Berater oder sonstige Drittpersonen, die Ei</w:t>
      </w:r>
      <w:r w:rsidRPr="004763D3">
        <w:t>n</w:t>
      </w:r>
      <w:r w:rsidRPr="004763D3">
        <w:t>blick in das Know-how bzw. nicht zur Veröffentlichung bestimmte Informationen des Vertragspartners erha</w:t>
      </w:r>
      <w:r w:rsidRPr="004763D3">
        <w:t>l</w:t>
      </w:r>
      <w:r w:rsidRPr="004763D3">
        <w:t xml:space="preserve">ten, zu ebenso strenger Geheimhaltung. </w:t>
      </w:r>
    </w:p>
    <w:p w:rsidR="002565C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III.</w:t>
      </w:r>
      <w:r w:rsidRPr="004763D3">
        <w:tab/>
        <w:t>Bei Verletzung der Geheimhaltungsverpflichtung kann die verletzte Partei Schadenersatz verla</w:t>
      </w:r>
      <w:r w:rsidRPr="004763D3">
        <w:t>n</w:t>
      </w:r>
      <w:r w:rsidRPr="004763D3">
        <w:t xml:space="preserve">gen.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>
        <w:tab/>
        <w:t>Variante: Bei Verletzung der Geheimhaltungsverpflichtung kann die verletzte Partei eine Konve</w:t>
      </w:r>
      <w:r>
        <w:t>n</w:t>
      </w:r>
      <w:r>
        <w:t xml:space="preserve">tionalstrafe von CHF […] verlangen. </w:t>
      </w:r>
      <w:r w:rsidRPr="003166CB">
        <w:t>Ein über diesen Betrag hinaus gehender Schadenersatz bleibt vorbehalten.</w:t>
      </w:r>
    </w:p>
    <w:p w:rsidR="002565C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IV.</w:t>
      </w:r>
      <w:r w:rsidRPr="004763D3">
        <w:tab/>
        <w:t>Beide Parteien verpflichten, sich die Regelungen über Datenschutz und Datensicherung einzuha</w:t>
      </w:r>
      <w:r w:rsidRPr="004763D3">
        <w:t>l</w:t>
      </w:r>
      <w:r w:rsidRPr="004763D3">
        <w:t xml:space="preserve">ten, die für die Schweiz und das Land Y gelten und die Datensicherung immer auf dem neuesten technischen Stand zu halten.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</w:p>
    <w:p w:rsidR="002565C3" w:rsidRPr="004763D3" w:rsidRDefault="002565C3" w:rsidP="002565C3">
      <w:pPr>
        <w:pStyle w:val="Titel2"/>
      </w:pPr>
      <w:r>
        <w:br w:type="page"/>
      </w:r>
      <w:r w:rsidRPr="004763D3">
        <w:lastRenderedPageBreak/>
        <w:t>Art. 8 – Jahresabschluss/Dividendenpolitik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I.</w:t>
      </w:r>
      <w:r w:rsidRPr="004763D3">
        <w:tab/>
        <w:t>Im Rahmen der gesetzlichen Bestimmungen des Landes Y soll der Jahresabschluss der AG inte</w:t>
      </w:r>
      <w:r w:rsidRPr="004763D3">
        <w:t>r</w:t>
      </w:r>
      <w:r w:rsidRPr="004763D3">
        <w:t>national üblichen Standards entspr</w:t>
      </w:r>
      <w:r w:rsidRPr="004763D3">
        <w:t>e</w:t>
      </w:r>
      <w:r w:rsidRPr="004763D3">
        <w:t>chen.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II.</w:t>
      </w:r>
      <w:r w:rsidRPr="004763D3">
        <w:tab/>
        <w:t>Der Jahresabschluss der AG soll jährlich von einer lokal zugelassenen renommierten Wirtschaft</w:t>
      </w:r>
      <w:r w:rsidRPr="004763D3">
        <w:t>s</w:t>
      </w:r>
      <w:r w:rsidRPr="004763D3">
        <w:t>prüfungsgesellschaft nach internation</w:t>
      </w:r>
      <w:r w:rsidRPr="004763D3">
        <w:t>a</w:t>
      </w:r>
      <w:r w:rsidRPr="004763D3">
        <w:t>lem Standard geprüft werden.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III.</w:t>
      </w:r>
      <w:r w:rsidRPr="004763D3">
        <w:tab/>
        <w:t>Die Parteien sind sich einig, die ausgewiesenen Gewinne grundsätz</w:t>
      </w:r>
      <w:r w:rsidRPr="004763D3">
        <w:softHyphen/>
        <w:t>lich gemäss Statuten als Div</w:t>
      </w:r>
      <w:r w:rsidRPr="004763D3">
        <w:t>i</w:t>
      </w:r>
      <w:r w:rsidRPr="004763D3">
        <w:t>dende an die Aktionäre auszuschütten, ausser wenn die Liquidität der AG gefährdet und eine R</w:t>
      </w:r>
      <w:r w:rsidRPr="004763D3">
        <w:t>e</w:t>
      </w:r>
      <w:r w:rsidRPr="004763D3">
        <w:t>servenbildung not</w:t>
      </w:r>
      <w:r w:rsidRPr="004763D3">
        <w:softHyphen/>
        <w:t xml:space="preserve">wendig ist.  </w:t>
      </w:r>
    </w:p>
    <w:p w:rsidR="002565C3" w:rsidRPr="004763D3" w:rsidRDefault="002565C3" w:rsidP="002565C3">
      <w:pPr>
        <w:pStyle w:val="Titel2"/>
      </w:pPr>
      <w:r w:rsidRPr="004763D3">
        <w:t>Art. 9 – Aktienverkauf</w:t>
      </w:r>
    </w:p>
    <w:p w:rsidR="002565C3" w:rsidRPr="004763D3" w:rsidRDefault="002565C3" w:rsidP="002565C3">
      <w:pPr>
        <w:pStyle w:val="VertragHaupttext"/>
        <w:spacing w:after="120" w:line="360" w:lineRule="auto"/>
      </w:pPr>
      <w:r w:rsidRPr="004763D3">
        <w:t>Die Vertragsparteien räumen sich gegenseitig ein Vorkaufsrecht, namentlich bei Kündigung dieses Ve</w:t>
      </w:r>
      <w:r w:rsidRPr="004763D3">
        <w:t>r</w:t>
      </w:r>
      <w:r w:rsidRPr="004763D3">
        <w:t>trages, ein, siehe Art. 10. Die Bedingungen sind in der Beilage 10 festgelegt, die als Bestandteil des Vertrages gilt.</w:t>
      </w:r>
    </w:p>
    <w:p w:rsidR="002565C3" w:rsidRPr="004763D3" w:rsidRDefault="002565C3" w:rsidP="002565C3">
      <w:pPr>
        <w:pStyle w:val="Titel2"/>
      </w:pPr>
      <w:r w:rsidRPr="004763D3">
        <w:t>Art. 10 – Kündigung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I.</w:t>
      </w:r>
      <w:r w:rsidRPr="004763D3">
        <w:tab/>
        <w:t xml:space="preserve">Jede der Vertragsparteien hat das Recht, diesen Vertrag mit einer Kündigungsfrist von </w:t>
      </w:r>
      <w:r>
        <w:t>6</w:t>
      </w:r>
      <w:r w:rsidRPr="004763D3">
        <w:t xml:space="preserve"> Mon</w:t>
      </w:r>
      <w:r w:rsidRPr="004763D3">
        <w:t>a</w:t>
      </w:r>
      <w:r w:rsidRPr="004763D3">
        <w:t xml:space="preserve">ten zum Ablauf eines jeden Kalenderjahres zu kündigen, frühestens zum </w:t>
      </w:r>
      <w:r>
        <w:t>[…].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ab/>
        <w:t>Die Kündigung bedarf keiner Begründung.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II.</w:t>
      </w:r>
      <w:r w:rsidRPr="004763D3">
        <w:tab/>
        <w:t>Im Falle der Kündigung hat die kündigende Vertragspartei das Recht, der anderen Pa</w:t>
      </w:r>
      <w:r w:rsidRPr="004763D3">
        <w:t>r</w:t>
      </w:r>
      <w:r w:rsidRPr="004763D3">
        <w:t>tei die Aktien zu einem Preis anzubieten, der von einer von beiden Parteien ausgewählten unabhäng</w:t>
      </w:r>
      <w:r w:rsidRPr="004763D3">
        <w:t>i</w:t>
      </w:r>
      <w:r w:rsidRPr="004763D3">
        <w:t>gen Instanz festgelegt wird. Die andere Partei hat sich innerhalb von 30 Tagen für oder gegen den Kauf zu entscheiden.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III.</w:t>
      </w:r>
      <w:r w:rsidRPr="004763D3">
        <w:tab/>
        <w:t>Lehnt die andere Partei das Aktienangebot der kündigenden Partei ab, hat diese das Recht i</w:t>
      </w:r>
      <w:r w:rsidRPr="004763D3">
        <w:t>n</w:t>
      </w:r>
      <w:r w:rsidRPr="004763D3">
        <w:t>nerhalb von 30 Tagen die Aktien der and</w:t>
      </w:r>
      <w:r w:rsidRPr="004763D3">
        <w:t>e</w:t>
      </w:r>
      <w:r w:rsidRPr="004763D3">
        <w:t xml:space="preserve">ren Partei zu kaufen. </w:t>
      </w:r>
    </w:p>
    <w:p w:rsidR="002565C3" w:rsidRPr="004763D3" w:rsidRDefault="002565C3" w:rsidP="002565C3">
      <w:pPr>
        <w:pStyle w:val="VertragHaupttext"/>
        <w:tabs>
          <w:tab w:val="left" w:pos="567"/>
        </w:tabs>
        <w:spacing w:after="120" w:line="360" w:lineRule="auto"/>
        <w:ind w:left="567" w:hanging="567"/>
      </w:pPr>
      <w:r w:rsidRPr="004763D3">
        <w:t>IV.</w:t>
      </w:r>
      <w:r w:rsidRPr="004763D3">
        <w:tab/>
      </w:r>
      <w:r>
        <w:t>Die Kündigung dieses Vertrages aus wichtigem Grund bleibt vorbehalten.</w:t>
      </w:r>
    </w:p>
    <w:p w:rsidR="002565C3" w:rsidRDefault="002565C3" w:rsidP="002565C3">
      <w:pPr>
        <w:pStyle w:val="VertragUntertitel"/>
        <w:spacing w:before="0" w:after="120" w:line="360" w:lineRule="auto"/>
      </w:pPr>
    </w:p>
    <w:p w:rsidR="002565C3" w:rsidRPr="004763D3" w:rsidRDefault="002565C3" w:rsidP="002565C3">
      <w:pPr>
        <w:pStyle w:val="Titel2"/>
      </w:pPr>
      <w:r>
        <w:br w:type="page"/>
      </w:r>
      <w:r w:rsidRPr="004763D3">
        <w:lastRenderedPageBreak/>
        <w:t>Art. 11 – Schlussbestimmungen</w:t>
      </w:r>
    </w:p>
    <w:p w:rsidR="002565C3" w:rsidRPr="003166CB" w:rsidRDefault="002565C3" w:rsidP="002565C3">
      <w:pPr>
        <w:pStyle w:val="VertragHaupttext"/>
        <w:numPr>
          <w:ilvl w:val="0"/>
          <w:numId w:val="39"/>
        </w:numPr>
        <w:tabs>
          <w:tab w:val="left" w:pos="567"/>
        </w:tabs>
        <w:spacing w:after="120" w:line="360" w:lineRule="auto"/>
        <w:ind w:left="567" w:hanging="567"/>
      </w:pPr>
      <w:r w:rsidRPr="000651FF">
        <w:t>Sollten bestimmte Punkte in diesem Vertrag sowie den Beilagen und Statuten nicht geregelt oder einzelne Bestimmungen unwirksam sein, bleibt der Vertrag dennoch bestehen. Die unger</w:t>
      </w:r>
      <w:r w:rsidRPr="000651FF">
        <w:t>e</w:t>
      </w:r>
      <w:r w:rsidRPr="000651FF">
        <w:t xml:space="preserve">gelten oder unwirksamen Punkte sind durch eine Vereinbarung zu ersetzen, </w:t>
      </w:r>
      <w:r w:rsidRPr="003166CB">
        <w:t xml:space="preserve">die dem Recht entspricht und dem Willen beider Parteien möglichst nahekommt. </w:t>
      </w:r>
    </w:p>
    <w:p w:rsidR="002565C3" w:rsidRPr="003166CB" w:rsidRDefault="002565C3" w:rsidP="002565C3">
      <w:pPr>
        <w:pStyle w:val="VertragHaupttext"/>
        <w:numPr>
          <w:ilvl w:val="0"/>
          <w:numId w:val="39"/>
        </w:numPr>
        <w:tabs>
          <w:tab w:val="left" w:pos="567"/>
        </w:tabs>
        <w:spacing w:after="120" w:line="360" w:lineRule="auto"/>
        <w:ind w:left="567" w:hanging="567"/>
      </w:pPr>
      <w:r w:rsidRPr="003166CB">
        <w:t>Gerichtsstand ist [Ort] und Anwendung findet ausschliesslich schweizerisches Recht.</w:t>
      </w:r>
    </w:p>
    <w:p w:rsidR="002565C3" w:rsidRPr="003166CB" w:rsidRDefault="002565C3" w:rsidP="002565C3">
      <w:pPr>
        <w:pStyle w:val="VertragHaupttext"/>
        <w:numPr>
          <w:ilvl w:val="0"/>
          <w:numId w:val="39"/>
        </w:numPr>
        <w:tabs>
          <w:tab w:val="left" w:pos="567"/>
        </w:tabs>
        <w:spacing w:after="120" w:line="360" w:lineRule="auto"/>
        <w:ind w:left="567" w:hanging="567"/>
      </w:pPr>
      <w:r w:rsidRPr="003166CB">
        <w:t>Der vorliegende Vertrag wird zweifach ausgefertigt, für jede Partei ein Exemplar.</w:t>
      </w:r>
    </w:p>
    <w:p w:rsidR="002565C3" w:rsidRDefault="002565C3" w:rsidP="002565C3">
      <w:pPr>
        <w:pStyle w:val="Listenabsatz"/>
        <w:spacing w:after="120" w:line="360" w:lineRule="auto"/>
        <w:rPr>
          <w:rFonts w:ascii="Verdana" w:hAnsi="Verdana"/>
          <w:color w:val="000000"/>
          <w:sz w:val="18"/>
        </w:rPr>
      </w:pPr>
    </w:p>
    <w:p w:rsidR="002565C3" w:rsidRDefault="002565C3" w:rsidP="002565C3">
      <w:pPr>
        <w:pStyle w:val="Listenabsatz"/>
        <w:spacing w:after="120" w:line="360" w:lineRule="auto"/>
        <w:rPr>
          <w:rFonts w:ascii="Verdana" w:hAnsi="Verdana"/>
          <w:color w:val="000000"/>
          <w:sz w:val="18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3746"/>
      </w:tblGrid>
      <w:tr w:rsidR="002565C3" w:rsidRPr="005A0496" w:rsidTr="0043706A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ind w:left="-113"/>
              <w:rPr>
                <w:rFonts w:cs="Arial"/>
                <w:sz w:val="20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5A0496">
              <w:rPr>
                <w:rFonts w:cs="Arial"/>
                <w:sz w:val="20"/>
              </w:rPr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3746" w:type="dxa"/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ind w:left="-113"/>
              <w:rPr>
                <w:rFonts w:cs="Arial"/>
                <w:sz w:val="20"/>
              </w:rPr>
            </w:pPr>
            <w:r w:rsidRPr="005A0496">
              <w:rPr>
                <w:rFonts w:cs="Arial"/>
                <w:sz w:val="20"/>
              </w:rPr>
              <w:t>[Ort], Datum</w:t>
            </w:r>
          </w:p>
        </w:tc>
      </w:tr>
      <w:tr w:rsidR="002565C3" w:rsidRPr="005A0496" w:rsidTr="0043706A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454" w:type="dxa"/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3746" w:type="dxa"/>
            <w:tcBorders>
              <w:bottom w:val="single" w:sz="4" w:space="0" w:color="auto"/>
            </w:tcBorders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ind w:left="-113"/>
              <w:rPr>
                <w:rFonts w:cs="Arial"/>
                <w:sz w:val="20"/>
              </w:rPr>
            </w:pPr>
          </w:p>
        </w:tc>
      </w:tr>
      <w:tr w:rsidR="002565C3" w:rsidRPr="005A0496" w:rsidTr="0043706A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ind w:left="-113"/>
              <w:rPr>
                <w:rFonts w:cs="Arial"/>
                <w:sz w:val="20"/>
              </w:rPr>
            </w:pPr>
            <w:r w:rsidRPr="005A0496">
              <w:rPr>
                <w:rFonts w:cs="Arial"/>
                <w:sz w:val="20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37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ind w:left="-113"/>
              <w:rPr>
                <w:rFonts w:cs="Arial"/>
                <w:sz w:val="20"/>
              </w:rPr>
            </w:pPr>
            <w:r w:rsidRPr="005A0496">
              <w:rPr>
                <w:rFonts w:cs="Arial"/>
                <w:sz w:val="20"/>
              </w:rPr>
              <w:t xml:space="preserve">Unterschrift </w:t>
            </w:r>
          </w:p>
        </w:tc>
      </w:tr>
      <w:tr w:rsidR="002565C3" w:rsidRPr="005A0496" w:rsidTr="0043706A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454" w:type="dxa"/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  <w:tc>
          <w:tcPr>
            <w:tcW w:w="3746" w:type="dxa"/>
            <w:tcBorders>
              <w:bottom w:val="single" w:sz="4" w:space="0" w:color="auto"/>
            </w:tcBorders>
            <w:shd w:val="clear" w:color="auto" w:fill="auto"/>
          </w:tcPr>
          <w:p w:rsidR="002565C3" w:rsidRPr="005A0496" w:rsidRDefault="002565C3" w:rsidP="0043706A">
            <w:pPr>
              <w:pStyle w:val="VertragZeileDatumUnterschrift"/>
              <w:spacing w:before="0" w:after="120" w:line="360" w:lineRule="auto"/>
              <w:rPr>
                <w:rFonts w:cs="Arial"/>
                <w:sz w:val="20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2565C3" w:rsidRPr="003166CB" w:rsidRDefault="002565C3" w:rsidP="002565C3">
      <w:pPr>
        <w:tabs>
          <w:tab w:val="left" w:pos="567"/>
        </w:tabs>
        <w:spacing w:after="120" w:line="360" w:lineRule="auto"/>
        <w:ind w:right="46"/>
        <w:rPr>
          <w:rFonts w:ascii="Verdana" w:hAnsi="Verdana"/>
          <w:color w:val="000000"/>
          <w:sz w:val="18"/>
        </w:rPr>
      </w:pPr>
    </w:p>
    <w:p w:rsidR="002565C3" w:rsidRPr="004763D3" w:rsidRDefault="002565C3" w:rsidP="002565C3">
      <w:pPr>
        <w:pStyle w:val="VertragHaupttext"/>
        <w:spacing w:after="120" w:line="360" w:lineRule="auto"/>
        <w:rPr>
          <w:noProof/>
        </w:rPr>
      </w:pPr>
    </w:p>
    <w:p w:rsidR="008F1115" w:rsidRPr="002565C3" w:rsidRDefault="008F1115" w:rsidP="002565C3">
      <w:bookmarkStart w:id="14" w:name="_GoBack"/>
      <w:bookmarkEnd w:id="14"/>
    </w:p>
    <w:sectPr w:rsidR="008F1115" w:rsidRPr="002565C3" w:rsidSect="004C274C">
      <w:headerReference w:type="default" r:id="rId7"/>
      <w:footerReference w:type="default" r:id="rId8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C3" w:rsidRDefault="002565C3">
      <w:r>
        <w:separator/>
      </w:r>
    </w:p>
  </w:endnote>
  <w:endnote w:type="continuationSeparator" w:id="0">
    <w:p w:rsidR="002565C3" w:rsidRDefault="0025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565C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565C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55CB5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Pr="009D1693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>
      <w:rPr>
        <w:rFonts w:ascii="Verdana" w:hAnsi="Verdana"/>
        <w:noProof/>
        <w:snapToGrid w:val="0"/>
        <w:color w:val="999999"/>
        <w:sz w:val="16"/>
      </w:rPr>
      <w:t xml:space="preserve"> | Überarbeitet von Dr. David Schneeberger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F430A">
      <w:rPr>
        <w:rFonts w:ascii="Verdana" w:hAnsi="Verdana"/>
        <w:noProof/>
        <w:color w:val="999999"/>
        <w:sz w:val="16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F430A">
      <w:rPr>
        <w:rFonts w:ascii="Verdana" w:hAnsi="Verdana"/>
        <w:noProof/>
        <w:color w:val="999999"/>
        <w:sz w:val="16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C3" w:rsidRDefault="002565C3">
      <w:r>
        <w:separator/>
      </w:r>
    </w:p>
  </w:footnote>
  <w:footnote w:type="continuationSeparator" w:id="0">
    <w:p w:rsidR="002565C3" w:rsidRDefault="00256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115" w:rsidRDefault="002565C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BBFB2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>
      <w:rPr>
        <w:rFonts w:ascii="Verdana" w:hAnsi="Verdana"/>
        <w:noProof/>
        <w:color w:val="999999"/>
        <w:sz w:val="16"/>
        <w:lang w:val="fr-CH"/>
      </w:rPr>
      <w:t>Joint-Venutre-Vertrag (Basismuster)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11681"/>
    <w:multiLevelType w:val="hybridMultilevel"/>
    <w:tmpl w:val="4BC88D6A"/>
    <w:lvl w:ilvl="0" w:tplc="7A2691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12E8E"/>
    <w:multiLevelType w:val="hybridMultilevel"/>
    <w:tmpl w:val="85B262DA"/>
    <w:lvl w:ilvl="0" w:tplc="7A26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C4D0A"/>
    <w:multiLevelType w:val="hybridMultilevel"/>
    <w:tmpl w:val="9EFEF42E"/>
    <w:lvl w:ilvl="0" w:tplc="AFAC0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91296"/>
    <w:multiLevelType w:val="hybridMultilevel"/>
    <w:tmpl w:val="4BC88D6A"/>
    <w:lvl w:ilvl="0" w:tplc="7A2691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0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2" w15:restartNumberingAfterBreak="0">
    <w:nsid w:val="4DE511F2"/>
    <w:multiLevelType w:val="hybridMultilevel"/>
    <w:tmpl w:val="61240C00"/>
    <w:lvl w:ilvl="0" w:tplc="04B86E1C">
      <w:start w:val="4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03897"/>
    <w:multiLevelType w:val="hybridMultilevel"/>
    <w:tmpl w:val="4B545864"/>
    <w:lvl w:ilvl="0" w:tplc="7A26913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5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6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8"/>
  </w:num>
  <w:num w:numId="13">
    <w:abstractNumId w:val="17"/>
  </w:num>
  <w:num w:numId="14">
    <w:abstractNumId w:val="20"/>
  </w:num>
  <w:num w:numId="15">
    <w:abstractNumId w:val="20"/>
  </w:num>
  <w:num w:numId="16">
    <w:abstractNumId w:val="26"/>
  </w:num>
  <w:num w:numId="17">
    <w:abstractNumId w:val="21"/>
  </w:num>
  <w:num w:numId="18">
    <w:abstractNumId w:val="25"/>
  </w:num>
  <w:num w:numId="19">
    <w:abstractNumId w:val="24"/>
  </w:num>
  <w:num w:numId="20">
    <w:abstractNumId w:val="21"/>
  </w:num>
  <w:num w:numId="21">
    <w:abstractNumId w:val="15"/>
  </w:num>
  <w:num w:numId="22">
    <w:abstractNumId w:val="19"/>
  </w:num>
  <w:num w:numId="23">
    <w:abstractNumId w:val="25"/>
  </w:num>
  <w:num w:numId="24">
    <w:abstractNumId w:val="24"/>
  </w:num>
  <w:num w:numId="25">
    <w:abstractNumId w:val="21"/>
  </w:num>
  <w:num w:numId="26">
    <w:abstractNumId w:val="15"/>
  </w:num>
  <w:num w:numId="27">
    <w:abstractNumId w:val="19"/>
  </w:num>
  <w:num w:numId="28">
    <w:abstractNumId w:val="25"/>
  </w:num>
  <w:num w:numId="29">
    <w:abstractNumId w:val="21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1"/>
  </w:num>
  <w:num w:numId="39">
    <w:abstractNumId w:val="12"/>
  </w:num>
  <w:num w:numId="40">
    <w:abstractNumId w:val="23"/>
  </w:num>
  <w:num w:numId="41">
    <w:abstractNumId w:val="10"/>
  </w:num>
  <w:num w:numId="42">
    <w:abstractNumId w:val="2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3"/>
    <w:rsid w:val="00051914"/>
    <w:rsid w:val="00056B63"/>
    <w:rsid w:val="000F430A"/>
    <w:rsid w:val="001E1617"/>
    <w:rsid w:val="00212C4F"/>
    <w:rsid w:val="002565C3"/>
    <w:rsid w:val="00267992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D44B5"/>
    <w:rsid w:val="00C05D66"/>
    <w:rsid w:val="00CB4328"/>
    <w:rsid w:val="00DD3C8D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4:docId w14:val="34B8CDD5"/>
  <w15:chartTrackingRefBased/>
  <w15:docId w15:val="{2A3E8DFA-C11B-4065-9AAB-9B19A79F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565C3"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">
    <w:name w:val="Vertrag Haupttext"/>
    <w:basedOn w:val="Standard"/>
    <w:rsid w:val="002565C3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Untertitel">
    <w:name w:val="Vertrag Untertitel"/>
    <w:basedOn w:val="VertragHaupttext"/>
    <w:rsid w:val="002565C3"/>
    <w:pPr>
      <w:spacing w:before="240" w:line="320" w:lineRule="exact"/>
      <w:jc w:val="left"/>
    </w:pPr>
    <w:rPr>
      <w:b/>
      <w:sz w:val="24"/>
    </w:rPr>
  </w:style>
  <w:style w:type="paragraph" w:customStyle="1" w:styleId="VertragZeileDatumUnterschrift">
    <w:name w:val="Vertrag Zeile Datum/Unterschrift"/>
    <w:basedOn w:val="VertragHaupttext"/>
    <w:rsid w:val="002565C3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1-Vertrag">
    <w:name w:val="Titel 1 - Vertrag"/>
    <w:basedOn w:val="Standard"/>
    <w:next w:val="Standard"/>
    <w:rsid w:val="002565C3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Listenabsatz">
    <w:name w:val="List Paragraph"/>
    <w:basedOn w:val="Standard"/>
    <w:uiPriority w:val="34"/>
    <w:qFormat/>
    <w:rsid w:val="002565C3"/>
    <w:pPr>
      <w:ind w:left="708"/>
    </w:pPr>
  </w:style>
  <w:style w:type="character" w:styleId="Hyperlink">
    <w:name w:val="Hyperlink"/>
    <w:basedOn w:val="Absatz-Standardschriftart"/>
    <w:rsid w:val="002565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56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Office365\Toolvorlagen\Toolvorlage%20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6</Pages>
  <Words>1318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