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D6F" w:rsidRPr="00617B43" w:rsidRDefault="00BB6D6F" w:rsidP="00BB6D6F">
      <w:pPr>
        <w:pStyle w:val="Titel1-Vertrag"/>
        <w:rPr>
          <w:rFonts w:cs="Arial"/>
        </w:rPr>
      </w:pPr>
      <w:bookmarkStart w:id="0" w:name="_Toc89650084"/>
      <w:r w:rsidRPr="00617B43">
        <w:rPr>
          <w:rFonts w:cs="Arial"/>
        </w:rPr>
        <w:t>SLA für IT Facility Management</w:t>
      </w:r>
      <w:bookmarkEnd w:id="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104"/>
      </w:tblGrid>
      <w:tr w:rsidR="00BB6D6F" w:rsidTr="00E80508">
        <w:tc>
          <w:tcPr>
            <w:tcW w:w="9104" w:type="dxa"/>
          </w:tcPr>
          <w:p w:rsidR="00BB6D6F" w:rsidRPr="00617B43" w:rsidRDefault="00BB6D6F" w:rsidP="00E80508">
            <w:pPr>
              <w:rPr>
                <w:rFonts w:ascii="Arial" w:hAnsi="Arial"/>
                <w:b/>
                <w:lang w:val="fr-CH"/>
              </w:rPr>
            </w:pPr>
          </w:p>
          <w:p w:rsidR="00BB6D6F" w:rsidRPr="00617B43" w:rsidRDefault="00BB6D6F" w:rsidP="00BB6D6F">
            <w:pPr>
              <w:pStyle w:val="Haupttext"/>
              <w:rPr>
                <w:lang w:val="fr-CH"/>
              </w:rPr>
            </w:pPr>
            <w:r w:rsidRPr="00617B43">
              <w:rPr>
                <w:lang w:val="fr-CH"/>
              </w:rPr>
              <w:t xml:space="preserve">Service </w:t>
            </w:r>
            <w:proofErr w:type="spellStart"/>
            <w:r w:rsidRPr="00617B43">
              <w:rPr>
                <w:lang w:val="fr-CH"/>
              </w:rPr>
              <w:t>Level</w:t>
            </w:r>
            <w:proofErr w:type="spellEnd"/>
            <w:r w:rsidRPr="00617B43">
              <w:rPr>
                <w:lang w:val="fr-CH"/>
              </w:rPr>
              <w:t xml:space="preserve"> Agreement </w:t>
            </w:r>
            <w:proofErr w:type="spellStart"/>
            <w:r w:rsidRPr="00617B43">
              <w:rPr>
                <w:lang w:val="fr-CH"/>
              </w:rPr>
              <w:t>für</w:t>
            </w:r>
            <w:proofErr w:type="spellEnd"/>
            <w:r w:rsidRPr="00617B43">
              <w:rPr>
                <w:lang w:val="fr-CH"/>
              </w:rPr>
              <w:t xml:space="preserve"> </w:t>
            </w:r>
            <w:proofErr w:type="spellStart"/>
            <w:r w:rsidRPr="00617B43">
              <w:rPr>
                <w:lang w:val="fr-CH"/>
              </w:rPr>
              <w:t>das</w:t>
            </w:r>
            <w:proofErr w:type="spellEnd"/>
            <w:r w:rsidRPr="00617B43">
              <w:rPr>
                <w:lang w:val="fr-CH"/>
              </w:rPr>
              <w:t xml:space="preserve"> IT Facility Management</w:t>
            </w:r>
          </w:p>
          <w:p w:rsidR="00BB6D6F" w:rsidRPr="00617B43" w:rsidRDefault="00BB6D6F" w:rsidP="00BB6D6F">
            <w:pPr>
              <w:pStyle w:val="Haupttext"/>
              <w:rPr>
                <w:lang w:val="fr-CH"/>
              </w:rPr>
            </w:pPr>
          </w:p>
          <w:p w:rsidR="00BB6D6F" w:rsidRPr="00617B43" w:rsidRDefault="00BB6D6F" w:rsidP="00BB6D6F">
            <w:pPr>
              <w:pStyle w:val="Haupttext"/>
              <w:rPr>
                <w:lang w:val="fr-CH"/>
              </w:rPr>
            </w:pPr>
          </w:p>
          <w:p w:rsidR="00BB6D6F" w:rsidRPr="00BB6D6F" w:rsidRDefault="00BB6D6F" w:rsidP="00BB6D6F">
            <w:pPr>
              <w:pStyle w:val="Haupttext"/>
            </w:pPr>
            <w:r w:rsidRPr="00BB6D6F">
              <w:t>Dieses Service Level Agreement wird abgeschlossen zwischen:</w:t>
            </w:r>
          </w:p>
          <w:p w:rsidR="00BB6D6F" w:rsidRPr="00BB6D6F" w:rsidRDefault="00BB6D6F" w:rsidP="00BB6D6F">
            <w:pPr>
              <w:pStyle w:val="Haupttext"/>
            </w:pPr>
          </w:p>
          <w:p w:rsidR="00BB6D6F" w:rsidRPr="00BB6D6F" w:rsidRDefault="00BB6D6F" w:rsidP="00BB6D6F">
            <w:pPr>
              <w:pStyle w:val="Haupttext"/>
            </w:pPr>
          </w:p>
          <w:p w:rsidR="00BB6D6F" w:rsidRPr="00BB6D6F" w:rsidRDefault="00BB6D6F" w:rsidP="00617B43">
            <w:pPr>
              <w:pStyle w:val="Haupttext"/>
            </w:pPr>
            <w:r w:rsidRPr="00BB6D6F">
              <w:t xml:space="preserve">      –  Software-Service GmbH, </w:t>
            </w:r>
            <w:r w:rsidRPr="00BB6D6F">
              <w:tab/>
              <w:t xml:space="preserve">           im Folgenden -Leistungserbringer- genannt</w:t>
            </w:r>
          </w:p>
          <w:p w:rsidR="00BB6D6F" w:rsidRPr="00BB6D6F" w:rsidRDefault="00BB6D6F" w:rsidP="00BB6D6F">
            <w:pPr>
              <w:pStyle w:val="Haupttext"/>
            </w:pPr>
          </w:p>
          <w:p w:rsidR="00BB6D6F" w:rsidRPr="00BB6D6F" w:rsidRDefault="00BB6D6F" w:rsidP="00BB6D6F">
            <w:pPr>
              <w:pStyle w:val="Haupttext"/>
            </w:pPr>
            <w:r w:rsidRPr="00BB6D6F">
              <w:t xml:space="preserve">              </w:t>
            </w:r>
            <w:r w:rsidRPr="00BB6D6F">
              <w:tab/>
              <w:t>und</w:t>
            </w:r>
          </w:p>
          <w:p w:rsidR="00BB6D6F" w:rsidRPr="00BB6D6F" w:rsidRDefault="00BB6D6F" w:rsidP="00BB6D6F">
            <w:pPr>
              <w:pStyle w:val="Haupttext"/>
            </w:pPr>
          </w:p>
          <w:p w:rsidR="00BB6D6F" w:rsidRPr="00BB6D6F" w:rsidRDefault="00BB6D6F" w:rsidP="00BB6D6F">
            <w:pPr>
              <w:pStyle w:val="Haupttext"/>
            </w:pPr>
            <w:r w:rsidRPr="00BB6D6F">
              <w:t xml:space="preserve">      –  Import + Export Keller &amp; Co.,               im Folgenden -Leistungsbezüger- genannt</w:t>
            </w:r>
          </w:p>
          <w:p w:rsidR="00BB6D6F" w:rsidRPr="00BB6D6F" w:rsidRDefault="00BB6D6F" w:rsidP="00BB6D6F">
            <w:pPr>
              <w:pStyle w:val="Haupttext"/>
            </w:pPr>
          </w:p>
          <w:p w:rsidR="00BB6D6F" w:rsidRPr="00BB6D6F" w:rsidRDefault="00BB6D6F" w:rsidP="00BB6D6F">
            <w:pPr>
              <w:pStyle w:val="Haupttext"/>
            </w:pPr>
            <w:r w:rsidRPr="00BB6D6F">
              <w:t xml:space="preserve">        im Folgenden gemeinsam  </w:t>
            </w:r>
            <w:r w:rsidRPr="00BB6D6F">
              <w:tab/>
            </w:r>
            <w:r w:rsidRPr="00BB6D6F">
              <w:tab/>
              <w:t>als -Partner- bezeichnet</w:t>
            </w:r>
            <w:r w:rsidRPr="00BB6D6F">
              <w:tab/>
            </w:r>
          </w:p>
          <w:p w:rsidR="00BB6D6F" w:rsidRDefault="00BB6D6F" w:rsidP="00E80508">
            <w:pPr>
              <w:pStyle w:val="LauftextVertrag"/>
              <w:spacing w:line="240" w:lineRule="auto"/>
              <w:rPr>
                <w:rFonts w:ascii="Arial" w:hAnsi="Arial"/>
                <w:b/>
                <w:sz w:val="22"/>
              </w:rPr>
            </w:pPr>
          </w:p>
        </w:tc>
      </w:tr>
    </w:tbl>
    <w:p w:rsidR="00BB6D6F" w:rsidRDefault="00BB6D6F" w:rsidP="00BB6D6F">
      <w:pPr>
        <w:pStyle w:val="LauftextVertrag"/>
        <w:spacing w:line="240" w:lineRule="auto"/>
        <w:rPr>
          <w:rFonts w:ascii="Arial" w:hAnsi="Arial"/>
          <w:sz w:val="22"/>
        </w:rPr>
      </w:pPr>
    </w:p>
    <w:p w:rsidR="00BB6D6F" w:rsidRPr="00BE7A8D" w:rsidRDefault="00BB6D6F" w:rsidP="00BB6D6F">
      <w:pPr>
        <w:pStyle w:val="Haupttext"/>
      </w:pPr>
      <w:r w:rsidRPr="00BE7A8D">
        <w:t xml:space="preserve">Referenzierte Dokumente: </w:t>
      </w:r>
      <w:r w:rsidRPr="00BE7A8D">
        <w:tab/>
        <w:t>–</w:t>
      </w:r>
      <w:r w:rsidRPr="00BE7A8D">
        <w:tab/>
        <w:t>Rahmenvertrag</w:t>
      </w:r>
    </w:p>
    <w:p w:rsidR="00BB6D6F" w:rsidRPr="00BE7A8D" w:rsidRDefault="00BB6D6F" w:rsidP="00BB6D6F">
      <w:pPr>
        <w:pStyle w:val="Haupttext"/>
      </w:pPr>
      <w:r w:rsidRPr="00BE7A8D">
        <w:t xml:space="preserve"> </w:t>
      </w:r>
      <w:r w:rsidRPr="00BE7A8D">
        <w:tab/>
        <w:t>–</w:t>
      </w:r>
      <w:r w:rsidRPr="00BE7A8D">
        <w:tab/>
      </w:r>
      <w:r>
        <w:tab/>
      </w:r>
      <w:r>
        <w:tab/>
      </w:r>
      <w:r>
        <w:tab/>
      </w:r>
      <w:r w:rsidRPr="00BE7A8D">
        <w:t>Manual x, y, z, etc.</w:t>
      </w:r>
    </w:p>
    <w:p w:rsidR="00BB6D6F" w:rsidRPr="00BE7A8D" w:rsidRDefault="00BB6D6F" w:rsidP="00BB6D6F">
      <w:pPr>
        <w:pStyle w:val="Haupttext"/>
      </w:pPr>
      <w:r w:rsidRPr="00BE7A8D">
        <w:t>Version:</w:t>
      </w:r>
      <w:r w:rsidRPr="00BE7A8D">
        <w:tab/>
      </w:r>
      <w:r w:rsidRPr="00BE7A8D">
        <w:tab/>
      </w:r>
      <w:r>
        <w:tab/>
      </w:r>
      <w:r>
        <w:tab/>
      </w:r>
      <w:r w:rsidRPr="00BE7A8D">
        <w:t>1.0</w:t>
      </w:r>
    </w:p>
    <w:p w:rsidR="00BB6D6F" w:rsidRPr="00BE7A8D" w:rsidRDefault="00BB6D6F" w:rsidP="00BB6D6F">
      <w:pPr>
        <w:pStyle w:val="Haupttext"/>
      </w:pPr>
      <w:r w:rsidRPr="00BE7A8D">
        <w:t>Ersteller:</w:t>
      </w:r>
      <w:r w:rsidRPr="00BE7A8D">
        <w:tab/>
      </w:r>
      <w:r w:rsidRPr="00BE7A8D">
        <w:tab/>
      </w:r>
      <w:r>
        <w:tab/>
      </w:r>
      <w:r>
        <w:tab/>
      </w:r>
      <w:r w:rsidRPr="00BE7A8D">
        <w:t>M. Muster und S. Sample</w:t>
      </w:r>
    </w:p>
    <w:p w:rsidR="00BB6D6F" w:rsidRPr="00BE7A8D" w:rsidRDefault="00BB6D6F" w:rsidP="00BB6D6F">
      <w:pPr>
        <w:pStyle w:val="Haupttext"/>
      </w:pPr>
      <w:r w:rsidRPr="00BE7A8D">
        <w:t>Datum:</w:t>
      </w:r>
      <w:r w:rsidRPr="00BE7A8D">
        <w:tab/>
      </w:r>
      <w:r w:rsidRPr="00BE7A8D">
        <w:tab/>
      </w:r>
      <w:r>
        <w:tab/>
      </w:r>
      <w:r>
        <w:tab/>
      </w:r>
      <w:r>
        <w:tab/>
      </w:r>
      <w:r w:rsidRPr="00BE7A8D">
        <w:t>TT.MM.JJJJ</w:t>
      </w:r>
    </w:p>
    <w:p w:rsidR="00BB6D6F" w:rsidRPr="00BE7A8D" w:rsidRDefault="00BB6D6F" w:rsidP="00BB6D6F">
      <w:pPr>
        <w:pStyle w:val="Titel2"/>
      </w:pPr>
      <w:r w:rsidRPr="00BE7A8D">
        <w:t>I.</w:t>
      </w:r>
      <w:r w:rsidRPr="00BE7A8D">
        <w:tab/>
        <w:t>Vertragsgegenstand</w:t>
      </w:r>
    </w:p>
    <w:p w:rsidR="00BB6D6F" w:rsidRPr="00BE7A8D" w:rsidRDefault="00BB6D6F" w:rsidP="00BB6D6F">
      <w:pPr>
        <w:pStyle w:val="Haupttext"/>
        <w:rPr>
          <w:rFonts w:eastAsia="Times"/>
        </w:rPr>
      </w:pPr>
      <w:r w:rsidRPr="00BE7A8D">
        <w:rPr>
          <w:rFonts w:eastAsia="Times"/>
        </w:rPr>
        <w:t>Der Leistungserbringer übernimmt die Betreuung und den Unterhalt der im Anhang aufgeführten Hardware und der dazugehörigen Software. Darüber hinaus unterstützt er den Leistungsbezüger in der Anwendung der betreffenden Systeme und leistet Hilfestellung und Beratung bei Problemen via Help</w:t>
      </w:r>
      <w:r>
        <w:rPr>
          <w:rFonts w:eastAsia="Times"/>
        </w:rPr>
        <w:t>-</w:t>
      </w:r>
      <w:r w:rsidRPr="00BE7A8D">
        <w:rPr>
          <w:rFonts w:eastAsia="Times"/>
        </w:rPr>
        <w:t>Desk.</w:t>
      </w:r>
    </w:p>
    <w:p w:rsidR="00BB6D6F" w:rsidRPr="00617B43" w:rsidRDefault="00BB6D6F" w:rsidP="00BB6D6F">
      <w:pPr>
        <w:pStyle w:val="Haupttext"/>
      </w:pPr>
      <w:r w:rsidRPr="00617B43">
        <w:t>Alle zusätzlichen Informationen, die diesem Vertrag als Anhang beiliegen, gelten als integrierende Vertragsb</w:t>
      </w:r>
      <w:r w:rsidRPr="00617B43">
        <w:t>e</w:t>
      </w:r>
      <w:r w:rsidRPr="00617B43">
        <w:t xml:space="preserve">standteile. </w:t>
      </w:r>
    </w:p>
    <w:p w:rsidR="00BB6D6F" w:rsidRPr="00BE7A8D" w:rsidRDefault="00BB6D6F" w:rsidP="00BB6D6F">
      <w:pPr>
        <w:pStyle w:val="Haupttext"/>
        <w:rPr>
          <w:rFonts w:ascii="Arial" w:hAnsi="Arial"/>
        </w:rPr>
      </w:pPr>
    </w:p>
    <w:p w:rsidR="00BB6D6F" w:rsidRPr="00BE7A8D" w:rsidRDefault="00BB6D6F" w:rsidP="00BB6D6F">
      <w:pPr>
        <w:pStyle w:val="Titel2"/>
        <w:ind w:left="567" w:hanging="567"/>
      </w:pPr>
      <w:r w:rsidRPr="00BE7A8D">
        <w:lastRenderedPageBreak/>
        <w:t>II.</w:t>
      </w:r>
      <w:r w:rsidRPr="00BE7A8D">
        <w:tab/>
        <w:t>Beschreibung der Dienstleistung des Leistungserbringers</w:t>
      </w:r>
    </w:p>
    <w:p w:rsidR="00BB6D6F" w:rsidRPr="00BE7A8D" w:rsidRDefault="00BB6D6F" w:rsidP="00BB6D6F">
      <w:pPr>
        <w:pStyle w:val="Haupttext"/>
      </w:pPr>
      <w:r w:rsidRPr="00BE7A8D">
        <w:t>Im Einzelnen hat der Leistungserbringer folgende Leistungen zu erbringen:</w:t>
      </w:r>
    </w:p>
    <w:p w:rsidR="00BB6D6F" w:rsidRPr="00BE7A8D" w:rsidRDefault="00BB6D6F" w:rsidP="00BB6D6F">
      <w:pPr>
        <w:pStyle w:val="HaupttextEinzWrfel"/>
        <w:tabs>
          <w:tab w:val="clear" w:pos="397"/>
          <w:tab w:val="num" w:pos="794"/>
        </w:tabs>
        <w:ind w:left="794"/>
      </w:pPr>
      <w:r w:rsidRPr="00BE7A8D">
        <w:t>die Pflege der Software im Rahmen ihrer in der Dokumentation vom Hersteller beschrieb</w:t>
      </w:r>
      <w:r w:rsidRPr="00BE7A8D">
        <w:t>e</w:t>
      </w:r>
      <w:r w:rsidRPr="00BE7A8D">
        <w:t>nen Funktionen</w:t>
      </w:r>
    </w:p>
    <w:p w:rsidR="00BB6D6F" w:rsidRPr="00BE7A8D" w:rsidRDefault="00BB6D6F" w:rsidP="00BB6D6F">
      <w:pPr>
        <w:pStyle w:val="HaupttextEinzWrfel"/>
        <w:ind w:left="794"/>
      </w:pPr>
      <w:r w:rsidRPr="00BE7A8D">
        <w:t>Annahme und Qualifizierung telefonischer, schriftlicher oder elektronisch übermittelter A</w:t>
      </w:r>
      <w:r w:rsidRPr="00BE7A8D">
        <w:t>n</w:t>
      </w:r>
      <w:r w:rsidRPr="00BE7A8D">
        <w:t>fragen, Probleme, Anforderungen und Anliegen des Anwenders bzw. systemgenerierter Meldungen</w:t>
      </w:r>
    </w:p>
    <w:p w:rsidR="00BB6D6F" w:rsidRPr="00BE7A8D" w:rsidRDefault="00BB6D6F" w:rsidP="00BB6D6F">
      <w:pPr>
        <w:pStyle w:val="HaupttextEinzWrfel"/>
        <w:ind w:left="794"/>
      </w:pPr>
      <w:r w:rsidRPr="00BE7A8D">
        <w:t xml:space="preserve">Beratung und wenn nötig Behebung auftretender Probleme </w:t>
      </w:r>
    </w:p>
    <w:p w:rsidR="00BB6D6F" w:rsidRPr="00BE7A8D" w:rsidRDefault="00BB6D6F" w:rsidP="00BB6D6F">
      <w:pPr>
        <w:pStyle w:val="HaupttextEinzWrfel"/>
        <w:ind w:left="794"/>
      </w:pPr>
      <w:r w:rsidRPr="00BE7A8D">
        <w:t xml:space="preserve">telefonische, softwaregestützte Sofortunterstützung im Umgang mit der Software oder der Hardware inklusive der Peripherie-Komponenten (z.B. Drucker, Scanner etc.) sowie des Netzwerks und dessen </w:t>
      </w:r>
      <w:proofErr w:type="spellStart"/>
      <w:r w:rsidRPr="00BE7A8D">
        <w:t>Betrieb</w:t>
      </w:r>
      <w:r w:rsidR="00617B43">
        <w:t>s</w:t>
      </w:r>
      <w:r w:rsidRPr="00BE7A8D">
        <w:t>ystem</w:t>
      </w:r>
      <w:r w:rsidR="00617B43">
        <w:t>s</w:t>
      </w:r>
      <w:proofErr w:type="spellEnd"/>
      <w:r w:rsidRPr="00BE7A8D">
        <w:t xml:space="preserve"> </w:t>
      </w:r>
    </w:p>
    <w:p w:rsidR="00BB6D6F" w:rsidRPr="00BE7A8D" w:rsidRDefault="00BB6D6F" w:rsidP="00BB6D6F">
      <w:pPr>
        <w:pStyle w:val="HaupttextEinzWrfel"/>
        <w:ind w:left="794"/>
      </w:pPr>
      <w:r w:rsidRPr="00BE7A8D">
        <w:t xml:space="preserve">Auskunft über bekannte Fehler und deren Behebung und Informationen zu vorbeugenden Massnahmen </w:t>
      </w:r>
    </w:p>
    <w:p w:rsidR="00BB6D6F" w:rsidRPr="00BE7A8D" w:rsidRDefault="00BB6D6F" w:rsidP="00BB6D6F">
      <w:pPr>
        <w:pStyle w:val="HaupttextEinzWrfel"/>
        <w:ind w:left="794"/>
      </w:pPr>
      <w:r w:rsidRPr="00BE7A8D">
        <w:t xml:space="preserve">Informieren betroffener Anwender über Störungen zentraler Komponenten </w:t>
      </w:r>
    </w:p>
    <w:p w:rsidR="00BB6D6F" w:rsidRPr="00BE7A8D" w:rsidRDefault="00BB6D6F" w:rsidP="00BB6D6F">
      <w:pPr>
        <w:pStyle w:val="HaupttextEinzWrfel"/>
        <w:ind w:left="794"/>
      </w:pPr>
      <w:r w:rsidRPr="00BE7A8D">
        <w:t>Reporting der aufgetretenen Probleme (Trouble Ticketing System)</w:t>
      </w:r>
    </w:p>
    <w:p w:rsidR="00BB6D6F" w:rsidRPr="00BE7A8D" w:rsidRDefault="00BB6D6F" w:rsidP="00BB6D6F">
      <w:pPr>
        <w:pStyle w:val="HaupttextEinzWrfel"/>
        <w:ind w:left="794"/>
      </w:pPr>
      <w:r w:rsidRPr="00BE7A8D">
        <w:t>Unaufgeforderte Übergabe des Trouble Ticket Reports an den Leistungsbezüger am letzten Tag jedes Monats</w:t>
      </w:r>
    </w:p>
    <w:p w:rsidR="00BB6D6F" w:rsidRPr="00BE7A8D" w:rsidRDefault="00BB6D6F" w:rsidP="00BB6D6F">
      <w:pPr>
        <w:pStyle w:val="HaupttextEinzWrfel"/>
        <w:ind w:left="794"/>
      </w:pPr>
      <w:r w:rsidRPr="00BE7A8D">
        <w:t>Weiter verpflichtet sich der Leistungserbringer zu folgenden Leistungen:</w:t>
      </w:r>
    </w:p>
    <w:p w:rsidR="00BB6D6F" w:rsidRPr="00BE7A8D" w:rsidRDefault="00BB6D6F" w:rsidP="00BB6D6F">
      <w:pPr>
        <w:pStyle w:val="HaupttextEinzWrfel"/>
        <w:ind w:left="794"/>
      </w:pPr>
      <w:r w:rsidRPr="00BE7A8D">
        <w:t>die kostenlose Überlassung aktualisierter Versionen der Software (Updates) nebst zugeh</w:t>
      </w:r>
      <w:r w:rsidRPr="00BE7A8D">
        <w:t>ö</w:t>
      </w:r>
      <w:r w:rsidRPr="00BE7A8D">
        <w:t>riger Dokumentation auf Diskette oder CD-ROM</w:t>
      </w:r>
    </w:p>
    <w:p w:rsidR="00BB6D6F" w:rsidRPr="00BE7A8D" w:rsidRDefault="00BB6D6F" w:rsidP="00BB6D6F">
      <w:pPr>
        <w:pStyle w:val="HaupttextEinzWrfel"/>
        <w:ind w:left="794"/>
      </w:pPr>
      <w:r w:rsidRPr="00BE7A8D">
        <w:t>die Überlassung weiterentwickelter Versionen der Lizenz-Software (Upgrades) nebst zug</w:t>
      </w:r>
      <w:r w:rsidRPr="00BE7A8D">
        <w:t>e</w:t>
      </w:r>
      <w:r w:rsidRPr="00BE7A8D">
        <w:t>hörigen Dokumentationen mit einem Nachlass von ... % auf den Listenpreis</w:t>
      </w:r>
    </w:p>
    <w:p w:rsidR="00BB6D6F" w:rsidRPr="00BE7A8D" w:rsidRDefault="00BB6D6F" w:rsidP="00BB6D6F">
      <w:pPr>
        <w:pStyle w:val="HaupttextEinzWrfel"/>
        <w:ind w:left="794"/>
      </w:pPr>
      <w:r w:rsidRPr="00BE7A8D">
        <w:t>die Verpflichtung des Leistungserbringers zur Einführung und Pflege der jeweils aktual</w:t>
      </w:r>
      <w:r w:rsidRPr="00BE7A8D">
        <w:t>i</w:t>
      </w:r>
      <w:r w:rsidRPr="00BE7A8D">
        <w:t>sierten Programmversion</w:t>
      </w:r>
    </w:p>
    <w:p w:rsidR="00BB6D6F" w:rsidRPr="00BE7A8D" w:rsidRDefault="00BB6D6F" w:rsidP="00BB6D6F">
      <w:pPr>
        <w:pStyle w:val="Titel2"/>
      </w:pPr>
      <w:r w:rsidRPr="00BE7A8D">
        <w:t>III.</w:t>
      </w:r>
      <w:r w:rsidRPr="00BE7A8D">
        <w:tab/>
        <w:t>Kommunikation und Service Levels</w:t>
      </w:r>
    </w:p>
    <w:p w:rsidR="00BB6D6F" w:rsidRPr="00BE7A8D" w:rsidRDefault="00BB6D6F" w:rsidP="00BB6D6F">
      <w:pPr>
        <w:pStyle w:val="Haupttext"/>
      </w:pPr>
      <w:r w:rsidRPr="00BE7A8D">
        <w:t xml:space="preserve">Die Kommunikation zwischen den Benutzern erfolgt per Telefon, E-Mail oder Fax. </w:t>
      </w:r>
    </w:p>
    <w:p w:rsidR="00BB6D6F" w:rsidRPr="00BE7A8D" w:rsidRDefault="00BB6D6F" w:rsidP="00BB6D6F">
      <w:pPr>
        <w:pStyle w:val="Haupttext"/>
      </w:pPr>
      <w:r w:rsidRPr="00BE7A8D">
        <w:t xml:space="preserve">Beim Leistungserbringer ist das Personal von Montag bis Freitag von 08.00 bis 12.00 und von 13.00 bis 18 Uhr zu erreichen. Der Leistungsbezüger wird jeden Montag benachrichtigt, wer in den darüber hinaus gehenden Zeiten (Pikett) zu erreichen ist. </w:t>
      </w:r>
    </w:p>
    <w:p w:rsidR="00BB6D6F" w:rsidRPr="00BE7A8D" w:rsidRDefault="00BB6D6F" w:rsidP="00BB6D6F">
      <w:pPr>
        <w:pStyle w:val="Haupttext"/>
      </w:pPr>
      <w:r w:rsidRPr="00BE7A8D">
        <w:t>Für die Entgegennahme der Meldungen während der Geschäftszeit oder dem Pikettdienst gelten folgende Service Levels:</w:t>
      </w:r>
    </w:p>
    <w:p w:rsidR="00BB6D6F" w:rsidRPr="00BE7A8D" w:rsidRDefault="00BB6D6F" w:rsidP="00BB6D6F">
      <w:pPr>
        <w:pStyle w:val="HaupttextEinzWrfel"/>
        <w:tabs>
          <w:tab w:val="clear" w:pos="397"/>
          <w:tab w:val="num" w:pos="794"/>
        </w:tabs>
        <w:ind w:left="794"/>
      </w:pPr>
      <w:r w:rsidRPr="00BE7A8D">
        <w:t>...</w:t>
      </w:r>
      <w:r w:rsidR="00617B43">
        <w:t xml:space="preserve"> </w:t>
      </w:r>
      <w:r w:rsidRPr="00BE7A8D">
        <w:t>Prozent aller Anrufe werden innerhalb von ... Minuten nach dem Anwählen der direkten Nummer angenommen.</w:t>
      </w:r>
    </w:p>
    <w:p w:rsidR="00BB6D6F" w:rsidRPr="00BE7A8D" w:rsidRDefault="00BB6D6F" w:rsidP="00BB6D6F">
      <w:pPr>
        <w:pStyle w:val="HaupttextEinzWrfel"/>
        <w:tabs>
          <w:tab w:val="clear" w:pos="397"/>
          <w:tab w:val="num" w:pos="794"/>
        </w:tabs>
        <w:ind w:left="794"/>
      </w:pPr>
      <w:r w:rsidRPr="00BE7A8D">
        <w:t>...</w:t>
      </w:r>
      <w:r w:rsidR="00617B43">
        <w:t xml:space="preserve"> </w:t>
      </w:r>
      <w:r w:rsidRPr="00BE7A8D">
        <w:t>Prozent aller E-Mails werden innerhalb von ... Minuten in der bedienten Betriebszeit entgegengenommen.</w:t>
      </w:r>
    </w:p>
    <w:p w:rsidR="00BB6D6F" w:rsidRPr="00BE7A8D" w:rsidRDefault="00BB6D6F" w:rsidP="00BB6D6F">
      <w:pPr>
        <w:pStyle w:val="HaupttextEinzWrfel"/>
        <w:tabs>
          <w:tab w:val="clear" w:pos="397"/>
          <w:tab w:val="num" w:pos="794"/>
        </w:tabs>
        <w:ind w:left="794"/>
      </w:pPr>
      <w:r w:rsidRPr="00BE7A8D">
        <w:lastRenderedPageBreak/>
        <w:t>...</w:t>
      </w:r>
      <w:r w:rsidR="00617B43">
        <w:t xml:space="preserve"> </w:t>
      </w:r>
      <w:r w:rsidRPr="00BE7A8D">
        <w:t xml:space="preserve">Prozent aller Rückrufe bei nicht telefonischen Störmeldungen erfolgen innerhalb </w:t>
      </w:r>
      <w:r>
        <w:t>…</w:t>
      </w:r>
      <w:r w:rsidR="00617B43">
        <w:t xml:space="preserve"> </w:t>
      </w:r>
      <w:r w:rsidRPr="00BE7A8D">
        <w:t>M</w:t>
      </w:r>
      <w:r w:rsidRPr="00BE7A8D">
        <w:t>i</w:t>
      </w:r>
      <w:r w:rsidRPr="00BE7A8D">
        <w:t xml:space="preserve">nuten. </w:t>
      </w:r>
    </w:p>
    <w:p w:rsidR="00BB6D6F" w:rsidRPr="00BE7A8D" w:rsidRDefault="00BB6D6F" w:rsidP="00BB6D6F">
      <w:pPr>
        <w:pStyle w:val="HaupttextEinzWrfel"/>
        <w:numPr>
          <w:ilvl w:val="0"/>
          <w:numId w:val="0"/>
        </w:numPr>
        <w:ind w:left="28" w:hanging="28"/>
      </w:pPr>
      <w:r w:rsidRPr="00BE7A8D">
        <w:t>Die Meldungen werden nach folgendem Modus an die Person oder di</w:t>
      </w:r>
      <w:r>
        <w:t xml:space="preserve">e Firma weitergeleitet, die für </w:t>
      </w:r>
      <w:r w:rsidRPr="00BE7A8D">
        <w:t>die Lösung des Problems zuständig ist:</w:t>
      </w:r>
    </w:p>
    <w:p w:rsidR="00BB6D6F" w:rsidRPr="00BB6D6F" w:rsidRDefault="00BB6D6F" w:rsidP="00BB6D6F">
      <w:pPr>
        <w:pStyle w:val="HaupttextEinzWrfel"/>
        <w:tabs>
          <w:tab w:val="clear" w:pos="397"/>
          <w:tab w:val="num" w:pos="794"/>
        </w:tabs>
        <w:ind w:left="794"/>
      </w:pPr>
      <w:r w:rsidRPr="00BB6D6F">
        <w:t xml:space="preserve">Bei Komplettausfall des Systems innerhalb … Minuten. </w:t>
      </w:r>
    </w:p>
    <w:p w:rsidR="00BB6D6F" w:rsidRPr="00BB6D6F" w:rsidRDefault="00BB6D6F" w:rsidP="00BB6D6F">
      <w:pPr>
        <w:pStyle w:val="HaupttextEinzWrfel"/>
        <w:tabs>
          <w:tab w:val="clear" w:pos="397"/>
          <w:tab w:val="num" w:pos="794"/>
        </w:tabs>
        <w:ind w:left="794"/>
      </w:pPr>
      <w:r w:rsidRPr="00BB6D6F">
        <w:t>Bei Ausfall einer wesentlichen Komponente des Systems innerhalb von ... Minuten.</w:t>
      </w:r>
    </w:p>
    <w:p w:rsidR="00BB6D6F" w:rsidRPr="00BB6D6F" w:rsidRDefault="00BB6D6F" w:rsidP="00BB6D6F">
      <w:pPr>
        <w:pStyle w:val="HaupttextEinzWrfel"/>
        <w:tabs>
          <w:tab w:val="clear" w:pos="397"/>
          <w:tab w:val="num" w:pos="794"/>
        </w:tabs>
        <w:ind w:left="794"/>
      </w:pPr>
      <w:r w:rsidRPr="00BB6D6F">
        <w:t xml:space="preserve">Bei Ausfall einer nicht wesentlichen Komponente des Systems innerhalb von ... Stunden. </w:t>
      </w:r>
    </w:p>
    <w:p w:rsidR="00BB6D6F" w:rsidRPr="00BB6D6F" w:rsidRDefault="00BB6D6F" w:rsidP="00BB6D6F">
      <w:pPr>
        <w:pStyle w:val="HaupttextEinzWrfel"/>
        <w:tabs>
          <w:tab w:val="clear" w:pos="397"/>
          <w:tab w:val="num" w:pos="794"/>
        </w:tabs>
        <w:ind w:left="794"/>
      </w:pPr>
      <w:r w:rsidRPr="00BB6D6F">
        <w:t>Das Personal beider Partner ist verpflichtet, bei der Lösung eines Problems aktiv mitzuwi</w:t>
      </w:r>
      <w:r w:rsidRPr="00BB6D6F">
        <w:t>r</w:t>
      </w:r>
      <w:r w:rsidRPr="00BB6D6F">
        <w:t xml:space="preserve">ken.  </w:t>
      </w:r>
    </w:p>
    <w:p w:rsidR="00BB6D6F" w:rsidRPr="00BE7A8D" w:rsidRDefault="00BB6D6F" w:rsidP="00BB6D6F">
      <w:pPr>
        <w:pStyle w:val="Titel2"/>
      </w:pPr>
      <w:r w:rsidRPr="00BE7A8D">
        <w:t>IV.</w:t>
      </w:r>
      <w:r w:rsidRPr="00BE7A8D">
        <w:tab/>
        <w:t>Reporting</w:t>
      </w:r>
    </w:p>
    <w:p w:rsidR="00BB6D6F" w:rsidRPr="00BE7A8D" w:rsidRDefault="00BB6D6F" w:rsidP="00BB6D6F">
      <w:pPr>
        <w:pStyle w:val="Haupttext"/>
        <w:ind w:left="705" w:hanging="705"/>
      </w:pPr>
      <w:r w:rsidRPr="00BB6D6F">
        <w:t>1.</w:t>
      </w:r>
      <w:r>
        <w:tab/>
      </w:r>
      <w:r w:rsidRPr="00BE7A8D">
        <w:t>Der Nachweis der vereinbarten Leistungen erfolgt auf Basis eines monatlich erstellten Qu</w:t>
      </w:r>
      <w:r w:rsidRPr="00BE7A8D">
        <w:t>a</w:t>
      </w:r>
      <w:r w:rsidRPr="00BE7A8D">
        <w:t xml:space="preserve">litätsberichts. </w:t>
      </w:r>
    </w:p>
    <w:p w:rsidR="00BB6D6F" w:rsidRPr="00BE7A8D" w:rsidRDefault="00BB6D6F" w:rsidP="00BB6D6F">
      <w:pPr>
        <w:pStyle w:val="Haupttext"/>
      </w:pPr>
      <w:r>
        <w:t>2.</w:t>
      </w:r>
      <w:r>
        <w:tab/>
      </w:r>
      <w:r w:rsidRPr="00BE7A8D">
        <w:t>Die Reports enthalten Folgendes:</w:t>
      </w:r>
    </w:p>
    <w:p w:rsidR="00BB6D6F" w:rsidRPr="00BE7A8D" w:rsidRDefault="00BB6D6F" w:rsidP="00617B43">
      <w:pPr>
        <w:pStyle w:val="HaupttextEinzWrfel"/>
        <w:tabs>
          <w:tab w:val="clear" w:pos="397"/>
        </w:tabs>
        <w:ind w:left="1092"/>
      </w:pPr>
      <w:r w:rsidRPr="00BE7A8D">
        <w:t xml:space="preserve">Anzahl der eingegangenen Meldungen nach Kommunikationsmittel (Telefon, </w:t>
      </w:r>
      <w:r w:rsidRPr="00BE7A8D">
        <w:br/>
        <w:t xml:space="preserve">E-Mail, Fax usw.) </w:t>
      </w:r>
    </w:p>
    <w:p w:rsidR="00BB6D6F" w:rsidRPr="00BE7A8D" w:rsidRDefault="00BB6D6F" w:rsidP="00617B43">
      <w:pPr>
        <w:pStyle w:val="HaupttextEinzWrfel"/>
        <w:ind w:left="1092"/>
      </w:pPr>
      <w:r w:rsidRPr="00BE7A8D">
        <w:t xml:space="preserve">Anzahl der eingegangenen Meldungen nach Problemen </w:t>
      </w:r>
    </w:p>
    <w:p w:rsidR="00BB6D6F" w:rsidRPr="00BE7A8D" w:rsidRDefault="00BB6D6F" w:rsidP="00617B43">
      <w:pPr>
        <w:pStyle w:val="HaupttextEinzWrfel"/>
        <w:ind w:left="1092"/>
      </w:pPr>
      <w:r w:rsidRPr="00BE7A8D">
        <w:t>Erreichbarkeitsdiagramm pro Tag, Erreichbarkeitsquote, Anzahl der Meldungen, Se</w:t>
      </w:r>
      <w:r w:rsidRPr="00BE7A8D">
        <w:t>r</w:t>
      </w:r>
      <w:r w:rsidRPr="00BE7A8D">
        <w:t xml:space="preserve">vice-Level-Erfüllung </w:t>
      </w:r>
    </w:p>
    <w:p w:rsidR="00BB6D6F" w:rsidRPr="00BE7A8D" w:rsidRDefault="00BB6D6F" w:rsidP="00617B43">
      <w:pPr>
        <w:pStyle w:val="HaupttextEinzWrfel"/>
        <w:ind w:left="1092"/>
      </w:pPr>
      <w:r w:rsidRPr="00BE7A8D">
        <w:t>Wartezeiten bis zur Weiterleitung der M</w:t>
      </w:r>
      <w:bookmarkStart w:id="1" w:name="_GoBack"/>
      <w:bookmarkEnd w:id="1"/>
      <w:r w:rsidRPr="00BE7A8D">
        <w:t>eldungen nach Kommunikationsmitteln</w:t>
      </w:r>
    </w:p>
    <w:p w:rsidR="00BB6D6F" w:rsidRPr="00BE7A8D" w:rsidRDefault="00BB6D6F" w:rsidP="00617B43">
      <w:pPr>
        <w:pStyle w:val="HaupttextEinzWrfel"/>
        <w:ind w:left="1092"/>
      </w:pPr>
      <w:r w:rsidRPr="00BE7A8D">
        <w:t>Anzahl und Art der gelösten Probleme</w:t>
      </w:r>
    </w:p>
    <w:p w:rsidR="00BB6D6F" w:rsidRPr="00BE7A8D" w:rsidRDefault="00BB6D6F" w:rsidP="00BB6D6F">
      <w:pPr>
        <w:pStyle w:val="Titel2"/>
      </w:pPr>
      <w:r w:rsidRPr="00BE7A8D">
        <w:t>V.</w:t>
      </w:r>
      <w:r w:rsidRPr="00BE7A8D">
        <w:tab/>
        <w:t>Honorar</w:t>
      </w:r>
    </w:p>
    <w:p w:rsidR="00BB6D6F" w:rsidRPr="00BE7A8D" w:rsidRDefault="00BB6D6F" w:rsidP="00BB6D6F">
      <w:pPr>
        <w:pStyle w:val="Haupttext"/>
        <w:ind w:left="705" w:hanging="705"/>
      </w:pPr>
      <w:r>
        <w:t>1.</w:t>
      </w:r>
      <w:r>
        <w:tab/>
      </w:r>
      <w:r w:rsidRPr="00BE7A8D">
        <w:t xml:space="preserve">Pro Benützer und Monat bezahlt der Leistungsbezüger dem Leistungserbringer einen Betrag von </w:t>
      </w:r>
      <w:proofErr w:type="gramStart"/>
      <w:r w:rsidRPr="00BE7A8D">
        <w:t>CHF ....</w:t>
      </w:r>
      <w:proofErr w:type="gramEnd"/>
      <w:r w:rsidRPr="00BE7A8D">
        <w:t xml:space="preserve"> . Darin eingeschlossen sind Unterhalt und Betrieb der im Anhang beschrieb</w:t>
      </w:r>
      <w:r w:rsidRPr="00BE7A8D">
        <w:t>e</w:t>
      </w:r>
      <w:r w:rsidRPr="00BE7A8D">
        <w:t>nen IT-Infrastruktur,  ... Meldungen und ... Problemlösungen via</w:t>
      </w:r>
      <w:r>
        <w:t xml:space="preserve"> Help-</w:t>
      </w:r>
      <w:r w:rsidRPr="00BE7A8D">
        <w:t xml:space="preserve">Desk. </w:t>
      </w:r>
    </w:p>
    <w:p w:rsidR="00BB6D6F" w:rsidRPr="00BE7A8D" w:rsidRDefault="00BB6D6F" w:rsidP="00BB6D6F">
      <w:pPr>
        <w:pStyle w:val="Haupttext"/>
      </w:pPr>
      <w:r>
        <w:t>2.</w:t>
      </w:r>
      <w:r>
        <w:tab/>
      </w:r>
      <w:r w:rsidRPr="00BE7A8D">
        <w:t xml:space="preserve">Darüberhinausgehende Aufwendungen werden </w:t>
      </w:r>
      <w:proofErr w:type="spellStart"/>
      <w:r w:rsidRPr="00BE7A8D">
        <w:t>folgendermassen</w:t>
      </w:r>
      <w:proofErr w:type="spellEnd"/>
      <w:r w:rsidRPr="00BE7A8D">
        <w:t xml:space="preserve"> berechnet:</w:t>
      </w:r>
    </w:p>
    <w:p w:rsidR="00BB6D6F" w:rsidRPr="00BE7A8D" w:rsidRDefault="00BB6D6F" w:rsidP="00617B43">
      <w:pPr>
        <w:pStyle w:val="HaupttextEinzWrfel"/>
        <w:tabs>
          <w:tab w:val="clear" w:pos="397"/>
          <w:tab w:val="left" w:pos="1418"/>
        </w:tabs>
        <w:ind w:left="794" w:hanging="368"/>
      </w:pPr>
      <w:r w:rsidRPr="00BE7A8D">
        <w:t>CHF ... pro zusätzlicher Meldung</w:t>
      </w:r>
    </w:p>
    <w:p w:rsidR="00BB6D6F" w:rsidRPr="00BE7A8D" w:rsidRDefault="00BB6D6F" w:rsidP="00617B43">
      <w:pPr>
        <w:pStyle w:val="HaupttextEinzWrfel"/>
        <w:tabs>
          <w:tab w:val="left" w:pos="1418"/>
        </w:tabs>
        <w:ind w:left="794" w:hanging="368"/>
      </w:pPr>
      <w:r w:rsidRPr="00BE7A8D">
        <w:t>CHF ... pro zusätzlicher Stunde für Problemlösungen</w:t>
      </w:r>
    </w:p>
    <w:p w:rsidR="00BB6D6F" w:rsidRPr="00BE7A8D" w:rsidRDefault="00BB6D6F" w:rsidP="00BB6D6F">
      <w:pPr>
        <w:pStyle w:val="HaupttextEinzWrfel"/>
        <w:numPr>
          <w:ilvl w:val="0"/>
          <w:numId w:val="0"/>
        </w:numPr>
        <w:ind w:left="705" w:hanging="705"/>
      </w:pPr>
      <w:r>
        <w:t>3.</w:t>
      </w:r>
      <w:r>
        <w:tab/>
      </w:r>
      <w:r>
        <w:tab/>
      </w:r>
      <w:r w:rsidRPr="00BE7A8D">
        <w:t>Der Leistungserbringer erstellt jeweils Anfang Monat eine Rechnung mit detaillierten Ang</w:t>
      </w:r>
      <w:r w:rsidRPr="00BE7A8D">
        <w:t>a</w:t>
      </w:r>
      <w:r w:rsidRPr="00BE7A8D">
        <w:t xml:space="preserve">ben jedes Teilbetrages für den vergangenen Monat. Die Zahlungsfrist beträgt …. Tage. </w:t>
      </w:r>
    </w:p>
    <w:p w:rsidR="00BB6D6F" w:rsidRPr="00BE7A8D" w:rsidRDefault="00BB6D6F" w:rsidP="00BB6D6F">
      <w:pPr>
        <w:pStyle w:val="Titel2"/>
      </w:pPr>
      <w:r w:rsidRPr="00BE7A8D">
        <w:t>VI.</w:t>
      </w:r>
      <w:r w:rsidRPr="00BE7A8D">
        <w:tab/>
        <w:t>Datenschutz und Geheimhaltung</w:t>
      </w:r>
    </w:p>
    <w:p w:rsidR="00BB6D6F" w:rsidRPr="00BE7A8D" w:rsidRDefault="00BB6D6F" w:rsidP="00BB6D6F">
      <w:pPr>
        <w:pStyle w:val="Haupttext"/>
      </w:pPr>
      <w:r w:rsidRPr="00BE7A8D">
        <w:t>Prinzipiell gelten die relevanten Abschnitte des Rahmenvertrags und zusätzlich:</w:t>
      </w:r>
    </w:p>
    <w:p w:rsidR="00BB6D6F" w:rsidRPr="00BE7A8D" w:rsidRDefault="00BB6D6F" w:rsidP="00BB6D6F">
      <w:pPr>
        <w:pStyle w:val="Haupttext"/>
        <w:ind w:left="705" w:hanging="705"/>
      </w:pPr>
      <w:r w:rsidRPr="00BB6D6F">
        <w:lastRenderedPageBreak/>
        <w:t>1.</w:t>
      </w:r>
      <w:r>
        <w:tab/>
      </w:r>
      <w:r w:rsidRPr="00BE7A8D">
        <w:t>Die Vertragsparteien behandeln alle Ereignisse vertraulich, die den vorliegenden SLA b</w:t>
      </w:r>
      <w:r w:rsidRPr="00BE7A8D">
        <w:t>e</w:t>
      </w:r>
      <w:r w:rsidRPr="00BE7A8D">
        <w:t xml:space="preserve">treffen und weder offenkundig noch allgemein zugänglich sind, namentlich Know-how-Informationen. </w:t>
      </w:r>
    </w:p>
    <w:p w:rsidR="00BB6D6F" w:rsidRPr="00BE7A8D" w:rsidRDefault="00BB6D6F" w:rsidP="00BB6D6F">
      <w:pPr>
        <w:pStyle w:val="Haupttext"/>
        <w:ind w:left="705" w:hanging="705"/>
      </w:pPr>
      <w:r>
        <w:t>2.</w:t>
      </w:r>
      <w:r>
        <w:tab/>
      </w:r>
      <w:r w:rsidRPr="00BE7A8D">
        <w:t xml:space="preserve">Beide Parteien verpflichten sich dafür zu sorgen, dass die Mitarbeiter die oben genannten Punkte genau einhalten, auch nach Beendigung des Arbeitsverhältnisses. </w:t>
      </w:r>
    </w:p>
    <w:p w:rsidR="00BB6D6F" w:rsidRPr="00BE7A8D" w:rsidRDefault="00BB6D6F" w:rsidP="00BB6D6F">
      <w:pPr>
        <w:pStyle w:val="Haupttext"/>
        <w:ind w:left="705" w:hanging="705"/>
      </w:pPr>
      <w:r>
        <w:t>3.</w:t>
      </w:r>
      <w:r>
        <w:tab/>
      </w:r>
      <w:r w:rsidRPr="00BE7A8D">
        <w:t xml:space="preserve">Werden die Bestimmungen über die Geheimhaltung oder Datenschutz von einer Partei nicht befolgt, hat diese der anderen Partei einen Betrag von </w:t>
      </w:r>
      <w:proofErr w:type="gramStart"/>
      <w:r w:rsidRPr="00BE7A8D">
        <w:t>CHF ..............</w:t>
      </w:r>
      <w:proofErr w:type="gramEnd"/>
      <w:r w:rsidRPr="00BE7A8D">
        <w:t xml:space="preserve"> </w:t>
      </w:r>
      <w:r>
        <w:t xml:space="preserve">[max. 50´000.00 CHF] </w:t>
      </w:r>
      <w:r w:rsidRPr="00BE7A8D">
        <w:t>zu bezahlen. Diese Konventionalstrafe ist auch dann geschuldet, wenn noch weitere Schadenersatzansprüche geltend gemacht werden.</w:t>
      </w:r>
    </w:p>
    <w:p w:rsidR="00BB6D6F" w:rsidRPr="00BE7A8D" w:rsidRDefault="00BB6D6F" w:rsidP="00BB6D6F">
      <w:pPr>
        <w:pStyle w:val="Haupttext"/>
        <w:ind w:left="705" w:hanging="705"/>
      </w:pPr>
      <w:r>
        <w:t>4.</w:t>
      </w:r>
      <w:r>
        <w:tab/>
      </w:r>
      <w:r w:rsidRPr="00BE7A8D">
        <w:t xml:space="preserve">Diese Bestimmungen sind ab Beginn der Zusammenarbeit einzuhalten und gelten auch im festgelegten Umfang weiter nach Beendigung des Vertragsverhältnisses. </w:t>
      </w:r>
    </w:p>
    <w:p w:rsidR="00BB6D6F" w:rsidRPr="00BE7A8D" w:rsidRDefault="00BB6D6F" w:rsidP="00BB6D6F">
      <w:pPr>
        <w:pStyle w:val="Haupttext"/>
      </w:pPr>
      <w:r>
        <w:t>5.</w:t>
      </w:r>
      <w:r>
        <w:tab/>
      </w:r>
      <w:r w:rsidRPr="00BE7A8D">
        <w:t xml:space="preserve">Der Leistungserbringer übernimmt und finanziert die branchenüblichen Versicherungen. </w:t>
      </w:r>
    </w:p>
    <w:p w:rsidR="00BB6D6F" w:rsidRPr="00BE7A8D" w:rsidRDefault="00BB6D6F" w:rsidP="00BB6D6F">
      <w:pPr>
        <w:pStyle w:val="Titel2"/>
      </w:pPr>
      <w:r w:rsidRPr="00BE7A8D">
        <w:t>VII.</w:t>
      </w:r>
      <w:r w:rsidRPr="00BE7A8D">
        <w:tab/>
        <w:t>Beizug von Dritten</w:t>
      </w:r>
    </w:p>
    <w:p w:rsidR="00BB6D6F" w:rsidRPr="00BE7A8D" w:rsidRDefault="00BB6D6F" w:rsidP="00BB6D6F">
      <w:pPr>
        <w:pStyle w:val="Haupttext"/>
        <w:ind w:left="705" w:hanging="705"/>
      </w:pPr>
      <w:r w:rsidRPr="00BB6D6F">
        <w:t>1.</w:t>
      </w:r>
      <w:r>
        <w:tab/>
      </w:r>
      <w:r w:rsidRPr="00BE7A8D">
        <w:t xml:space="preserve">Zur Erfüllung dieses Vertrages können nach Vereinbarung beider Parteien Dritte beigezogen </w:t>
      </w:r>
      <w:r>
        <w:t xml:space="preserve">  </w:t>
      </w:r>
      <w:r w:rsidRPr="00BE7A8D">
        <w:t>werden.</w:t>
      </w:r>
    </w:p>
    <w:p w:rsidR="00BB6D6F" w:rsidRPr="00BE7A8D" w:rsidRDefault="00BB6D6F" w:rsidP="00BB6D6F">
      <w:pPr>
        <w:pStyle w:val="Haupttext"/>
        <w:ind w:left="705" w:hanging="705"/>
      </w:pPr>
      <w:r>
        <w:t>2.</w:t>
      </w:r>
      <w:r>
        <w:tab/>
      </w:r>
      <w:r w:rsidRPr="00BE7A8D">
        <w:t>Der Leistungserbringer verpflichtet sich, im Vertrag mit den betreffenden Personen oder Unternehmen eine Klausel über Geheimhaltung und Datenschutz einzufügen, die ebenso streng ist wie die vorliegende.</w:t>
      </w:r>
    </w:p>
    <w:p w:rsidR="00BB6D6F" w:rsidRPr="00BE7A8D" w:rsidRDefault="00BB6D6F" w:rsidP="00BB6D6F">
      <w:pPr>
        <w:pStyle w:val="Haupttext"/>
        <w:ind w:left="705" w:hanging="705"/>
      </w:pPr>
      <w:r>
        <w:t>3.</w:t>
      </w:r>
      <w:r>
        <w:tab/>
      </w:r>
      <w:r w:rsidRPr="00BE7A8D">
        <w:t>Wenn Probleme von den Lieferanten der Soft- oder Hardware behoben werden müssen, ist der Leistungserbringer dafür zuständig, die Vereinbarungen über Geheimhaltung und D</w:t>
      </w:r>
      <w:r w:rsidRPr="00BE7A8D">
        <w:t>a</w:t>
      </w:r>
      <w:r w:rsidRPr="00BE7A8D">
        <w:t xml:space="preserve">tenschutz diesem weiterzugeben. </w:t>
      </w:r>
    </w:p>
    <w:p w:rsidR="00BB6D6F" w:rsidRPr="00BE7A8D" w:rsidRDefault="00BB6D6F" w:rsidP="00BB6D6F">
      <w:pPr>
        <w:pStyle w:val="Titel2"/>
      </w:pPr>
      <w:r w:rsidRPr="00BE7A8D">
        <w:t>VIII.</w:t>
      </w:r>
      <w:r w:rsidRPr="00BE7A8D">
        <w:tab/>
        <w:t>Gewährleistung</w:t>
      </w:r>
    </w:p>
    <w:p w:rsidR="00BB6D6F" w:rsidRPr="00BE7A8D" w:rsidRDefault="00BB6D6F" w:rsidP="00BB6D6F">
      <w:pPr>
        <w:pStyle w:val="Haupttext"/>
        <w:ind w:left="705" w:hanging="705"/>
      </w:pPr>
      <w:r w:rsidRPr="00BB6D6F">
        <w:t>1.</w:t>
      </w:r>
      <w:r>
        <w:tab/>
      </w:r>
      <w:r w:rsidRPr="00BE7A8D">
        <w:t xml:space="preserve">Der Leistungserbringer verpflichtet sich, auftretende Probleme nach bestem Wissen auf dem </w:t>
      </w:r>
      <w:r>
        <w:t>aktuellen Stand der Technik</w:t>
      </w:r>
      <w:r w:rsidRPr="00BE7A8D">
        <w:t xml:space="preserve"> zu lösen. </w:t>
      </w:r>
    </w:p>
    <w:p w:rsidR="00BB6D6F" w:rsidRPr="00BE7A8D" w:rsidRDefault="00BB6D6F" w:rsidP="00BB6D6F">
      <w:pPr>
        <w:pStyle w:val="Haupttext"/>
        <w:ind w:left="705" w:hanging="705"/>
      </w:pPr>
      <w:r>
        <w:t>2.</w:t>
      </w:r>
      <w:r>
        <w:tab/>
      </w:r>
      <w:r w:rsidRPr="00BE7A8D">
        <w:t>Ergeben sich Fehler, die der Leistungserbringer wegen Grobfahrlässigkeit oder Verschulden zu verantworten hat, ist der Leistungsbezüger berechtigt, die monatliche Pauschale en</w:t>
      </w:r>
      <w:r w:rsidRPr="00BE7A8D">
        <w:t>t</w:t>
      </w:r>
      <w:r w:rsidRPr="00BE7A8D">
        <w:t>sprechend zu kürzen. Eine Tabelle für Kürzungen bei bestimmten Fehlern ist Vertragsb</w:t>
      </w:r>
      <w:r w:rsidRPr="00BE7A8D">
        <w:t>e</w:t>
      </w:r>
      <w:r w:rsidRPr="00BE7A8D">
        <w:t xml:space="preserve">standteil (Anhang 3). </w:t>
      </w:r>
    </w:p>
    <w:p w:rsidR="00BB6D6F" w:rsidRPr="00BE7A8D" w:rsidRDefault="00BB6D6F" w:rsidP="00BB6D6F">
      <w:pPr>
        <w:pStyle w:val="Titel2"/>
      </w:pPr>
      <w:r w:rsidRPr="00BE7A8D">
        <w:t>IX.</w:t>
      </w:r>
      <w:r w:rsidRPr="00BE7A8D">
        <w:tab/>
        <w:t>Änderung oder Auflösung des Vertrages</w:t>
      </w:r>
    </w:p>
    <w:p w:rsidR="00BB6D6F" w:rsidRPr="00BE7A8D" w:rsidRDefault="00BB6D6F" w:rsidP="00BB6D6F">
      <w:pPr>
        <w:pStyle w:val="Haupttext"/>
        <w:ind w:left="705" w:hanging="705"/>
      </w:pPr>
      <w:r w:rsidRPr="00BB6D6F">
        <w:t>1.</w:t>
      </w:r>
      <w:r>
        <w:tab/>
      </w:r>
      <w:r w:rsidRPr="00BE7A8D">
        <w:t xml:space="preserve">Dieser Vertrag kann nur schriftlich geändert werden. Als Schriftform gelten auch </w:t>
      </w:r>
      <w:r w:rsidRPr="00BE7A8D">
        <w:br/>
        <w:t xml:space="preserve">E-Mails mit digitalen Unterschriften. </w:t>
      </w:r>
    </w:p>
    <w:p w:rsidR="00BB6D6F" w:rsidRPr="00BE7A8D" w:rsidRDefault="00BB6D6F" w:rsidP="00BB6D6F">
      <w:pPr>
        <w:pStyle w:val="Haupttext"/>
      </w:pPr>
      <w:r>
        <w:t>2.</w:t>
      </w:r>
      <w:r>
        <w:tab/>
      </w:r>
      <w:r w:rsidRPr="00BE7A8D">
        <w:t xml:space="preserve">Der Vertrag kann mit der Frist von drei Monaten auf Ende eines Monats gekündigt werden. </w:t>
      </w:r>
    </w:p>
    <w:p w:rsidR="00BB6D6F" w:rsidRDefault="00BB6D6F" w:rsidP="00BB6D6F">
      <w:pPr>
        <w:pStyle w:val="Haupttext"/>
        <w:ind w:left="705" w:hanging="705"/>
      </w:pPr>
      <w:r>
        <w:t>3.</w:t>
      </w:r>
      <w:r>
        <w:tab/>
      </w:r>
      <w:r w:rsidRPr="00BE7A8D">
        <w:t>Zum Zeitpunkt der Vertragsauflösung hat der Leistungserbringer Anspruch auf Vergütung der bereits erbrachten Lieferungen und Leistungen.</w:t>
      </w:r>
    </w:p>
    <w:p w:rsidR="00BB6D6F" w:rsidRDefault="00BB6D6F" w:rsidP="00BB6D6F">
      <w:pPr>
        <w:pStyle w:val="Haupttext"/>
        <w:ind w:left="705" w:hanging="705"/>
      </w:pPr>
    </w:p>
    <w:p w:rsidR="00BB6D6F" w:rsidRPr="00BE7A8D" w:rsidRDefault="00BB6D6F" w:rsidP="00BB6D6F">
      <w:pPr>
        <w:pStyle w:val="Haupttext"/>
        <w:ind w:left="705" w:hanging="705"/>
      </w:pPr>
    </w:p>
    <w:p w:rsidR="00BB6D6F" w:rsidRPr="00BE7A8D" w:rsidRDefault="00BB6D6F" w:rsidP="00BB6D6F">
      <w:pPr>
        <w:pStyle w:val="LauftextVertragEinzug"/>
        <w:tabs>
          <w:tab w:val="clear" w:pos="227"/>
          <w:tab w:val="left" w:pos="340"/>
        </w:tabs>
        <w:spacing w:before="60" w:line="240" w:lineRule="auto"/>
        <w:ind w:left="945" w:firstLine="0"/>
        <w:jc w:val="left"/>
        <w:rPr>
          <w:rFonts w:ascii="Arial" w:hAnsi="Arial" w:cs="Arial"/>
          <w:spacing w:val="0"/>
          <w:sz w:val="20"/>
        </w:rPr>
      </w:pPr>
    </w:p>
    <w:tbl>
      <w:tblPr>
        <w:tblW w:w="0" w:type="auto"/>
        <w:tblInd w:w="108" w:type="dxa"/>
        <w:tblLayout w:type="fixed"/>
        <w:tblLook w:val="01E0" w:firstRow="1" w:lastRow="1" w:firstColumn="1" w:lastColumn="1" w:noHBand="0" w:noVBand="0"/>
      </w:tblPr>
      <w:tblGrid>
        <w:gridCol w:w="4320"/>
        <w:gridCol w:w="454"/>
        <w:gridCol w:w="4321"/>
      </w:tblGrid>
      <w:tr w:rsidR="00BB6D6F" w:rsidRPr="00FE3ADA" w:rsidTr="00E80508">
        <w:trPr>
          <w:cantSplit/>
          <w:trHeight w:val="714"/>
          <w:tblHeader/>
        </w:trPr>
        <w:tc>
          <w:tcPr>
            <w:tcW w:w="4320" w:type="dxa"/>
            <w:shd w:val="clear" w:color="auto" w:fill="auto"/>
            <w:vAlign w:val="bottom"/>
          </w:tcPr>
          <w:p w:rsidR="00BB6D6F" w:rsidRPr="00FE3ADA" w:rsidRDefault="00BB6D6F" w:rsidP="00BB6D6F">
            <w:pPr>
              <w:pStyle w:val="Haupttext"/>
            </w:pPr>
            <w:bookmarkStart w:id="2" w:name="OLE_LINK1"/>
            <w:bookmarkStart w:id="3" w:name="OLE_LINK2"/>
            <w:bookmarkStart w:id="4" w:name="OLE_LINK3"/>
            <w:bookmarkStart w:id="5" w:name="OLE_LINK6"/>
            <w:bookmarkStart w:id="6" w:name="OLE_LINK7"/>
            <w:bookmarkStart w:id="7" w:name="OLE_LINK8"/>
            <w:bookmarkStart w:id="8" w:name="OLE_LINK9"/>
            <w:bookmarkStart w:id="9" w:name="OLE_LINK10"/>
            <w:bookmarkStart w:id="10" w:name="OLE_LINK11"/>
            <w:bookmarkStart w:id="11" w:name="OLE_LINK12"/>
            <w:bookmarkStart w:id="12" w:name="OLE_LINK13"/>
            <w:bookmarkStart w:id="13" w:name="OLE_LINK14"/>
            <w:bookmarkStart w:id="14" w:name="OLE_LINK15"/>
            <w:r w:rsidRPr="00FE3ADA">
              <w:t>[Ort], Datum</w:t>
            </w:r>
          </w:p>
        </w:tc>
        <w:tc>
          <w:tcPr>
            <w:tcW w:w="454" w:type="dxa"/>
            <w:shd w:val="clear" w:color="auto" w:fill="auto"/>
            <w:vAlign w:val="bottom"/>
          </w:tcPr>
          <w:p w:rsidR="00BB6D6F" w:rsidRPr="00FE3ADA" w:rsidRDefault="00BB6D6F" w:rsidP="00BB6D6F">
            <w:pPr>
              <w:pStyle w:val="Haupttext"/>
            </w:pPr>
          </w:p>
        </w:tc>
        <w:tc>
          <w:tcPr>
            <w:tcW w:w="4321" w:type="dxa"/>
            <w:shd w:val="clear" w:color="auto" w:fill="auto"/>
            <w:vAlign w:val="bottom"/>
          </w:tcPr>
          <w:p w:rsidR="00BB6D6F" w:rsidRPr="00FE3ADA" w:rsidRDefault="00BB6D6F" w:rsidP="00BB6D6F">
            <w:pPr>
              <w:pStyle w:val="Haupttext"/>
            </w:pPr>
            <w:r w:rsidRPr="00FE3ADA">
              <w:t>[Ort], Datum</w:t>
            </w:r>
          </w:p>
        </w:tc>
      </w:tr>
      <w:tr w:rsidR="00BB6D6F" w:rsidRPr="00FE3ADA" w:rsidTr="00E80508">
        <w:trPr>
          <w:trHeight w:val="714"/>
        </w:trPr>
        <w:tc>
          <w:tcPr>
            <w:tcW w:w="4320" w:type="dxa"/>
            <w:tcBorders>
              <w:bottom w:val="single" w:sz="4" w:space="0" w:color="auto"/>
            </w:tcBorders>
            <w:shd w:val="clear" w:color="auto" w:fill="auto"/>
          </w:tcPr>
          <w:p w:rsidR="00BB6D6F" w:rsidRPr="00FE3ADA" w:rsidRDefault="00BB6D6F" w:rsidP="00BB6D6F">
            <w:pPr>
              <w:pStyle w:val="Haupttext"/>
            </w:pPr>
          </w:p>
        </w:tc>
        <w:tc>
          <w:tcPr>
            <w:tcW w:w="454" w:type="dxa"/>
            <w:shd w:val="clear" w:color="auto" w:fill="auto"/>
          </w:tcPr>
          <w:p w:rsidR="00BB6D6F" w:rsidRPr="00FE3ADA" w:rsidRDefault="00BB6D6F" w:rsidP="00BB6D6F">
            <w:pPr>
              <w:pStyle w:val="Haupttext"/>
            </w:pPr>
          </w:p>
        </w:tc>
        <w:tc>
          <w:tcPr>
            <w:tcW w:w="4321" w:type="dxa"/>
            <w:tcBorders>
              <w:bottom w:val="single" w:sz="4" w:space="0" w:color="auto"/>
            </w:tcBorders>
            <w:shd w:val="clear" w:color="auto" w:fill="auto"/>
          </w:tcPr>
          <w:p w:rsidR="00BB6D6F" w:rsidRPr="00FE3ADA" w:rsidRDefault="00BB6D6F" w:rsidP="00BB6D6F">
            <w:pPr>
              <w:pStyle w:val="Haupttext"/>
            </w:pPr>
          </w:p>
        </w:tc>
      </w:tr>
      <w:tr w:rsidR="00BB6D6F" w:rsidRPr="00FE3ADA" w:rsidTr="00E80508">
        <w:trPr>
          <w:trHeight w:val="907"/>
        </w:trPr>
        <w:tc>
          <w:tcPr>
            <w:tcW w:w="4320" w:type="dxa"/>
            <w:tcBorders>
              <w:top w:val="single" w:sz="4" w:space="0" w:color="auto"/>
            </w:tcBorders>
            <w:shd w:val="clear" w:color="auto" w:fill="auto"/>
            <w:vAlign w:val="bottom"/>
          </w:tcPr>
          <w:p w:rsidR="00BB6D6F" w:rsidRPr="00FE3ADA" w:rsidRDefault="00BB6D6F" w:rsidP="00BB6D6F">
            <w:pPr>
              <w:pStyle w:val="Haupttext"/>
            </w:pPr>
            <w:r w:rsidRPr="00FE3ADA">
              <w:t xml:space="preserve">Unterschrift </w:t>
            </w:r>
          </w:p>
        </w:tc>
        <w:tc>
          <w:tcPr>
            <w:tcW w:w="454" w:type="dxa"/>
            <w:shd w:val="clear" w:color="auto" w:fill="auto"/>
            <w:vAlign w:val="bottom"/>
          </w:tcPr>
          <w:p w:rsidR="00BB6D6F" w:rsidRPr="00FE3ADA" w:rsidRDefault="00BB6D6F" w:rsidP="00BB6D6F">
            <w:pPr>
              <w:pStyle w:val="Haupttext"/>
            </w:pPr>
          </w:p>
        </w:tc>
        <w:tc>
          <w:tcPr>
            <w:tcW w:w="4321" w:type="dxa"/>
            <w:tcBorders>
              <w:top w:val="single" w:sz="4" w:space="0" w:color="auto"/>
            </w:tcBorders>
            <w:shd w:val="clear" w:color="auto" w:fill="auto"/>
            <w:vAlign w:val="bottom"/>
          </w:tcPr>
          <w:p w:rsidR="00BB6D6F" w:rsidRPr="00FE3ADA" w:rsidRDefault="00BB6D6F" w:rsidP="00BB6D6F">
            <w:pPr>
              <w:pStyle w:val="Haupttext"/>
            </w:pPr>
            <w:r w:rsidRPr="00FE3ADA">
              <w:t xml:space="preserve">Unterschrift </w:t>
            </w:r>
          </w:p>
        </w:tc>
      </w:tr>
      <w:tr w:rsidR="00BB6D6F" w:rsidRPr="00F12852" w:rsidTr="00E80508">
        <w:trPr>
          <w:trHeight w:val="717"/>
        </w:trPr>
        <w:tc>
          <w:tcPr>
            <w:tcW w:w="4320" w:type="dxa"/>
            <w:tcBorders>
              <w:bottom w:val="single" w:sz="4" w:space="0" w:color="auto"/>
            </w:tcBorders>
            <w:shd w:val="clear" w:color="auto" w:fill="auto"/>
          </w:tcPr>
          <w:p w:rsidR="00BB6D6F" w:rsidRPr="00F12852" w:rsidRDefault="00BB6D6F" w:rsidP="00BB6D6F">
            <w:pPr>
              <w:pStyle w:val="Haupttext"/>
            </w:pPr>
          </w:p>
        </w:tc>
        <w:tc>
          <w:tcPr>
            <w:tcW w:w="454" w:type="dxa"/>
            <w:shd w:val="clear" w:color="auto" w:fill="auto"/>
          </w:tcPr>
          <w:p w:rsidR="00BB6D6F" w:rsidRPr="00F12852" w:rsidRDefault="00BB6D6F" w:rsidP="00BB6D6F">
            <w:pPr>
              <w:pStyle w:val="Haupttext"/>
            </w:pPr>
          </w:p>
        </w:tc>
        <w:tc>
          <w:tcPr>
            <w:tcW w:w="4321" w:type="dxa"/>
            <w:tcBorders>
              <w:bottom w:val="single" w:sz="4" w:space="0" w:color="auto"/>
            </w:tcBorders>
            <w:shd w:val="clear" w:color="auto" w:fill="auto"/>
          </w:tcPr>
          <w:p w:rsidR="00BB6D6F" w:rsidRPr="00F12852" w:rsidRDefault="00BB6D6F" w:rsidP="00BB6D6F">
            <w:pPr>
              <w:pStyle w:val="Haupttext"/>
            </w:pPr>
          </w:p>
        </w:tc>
      </w:tr>
      <w:bookmarkEnd w:id="2"/>
      <w:bookmarkEnd w:id="3"/>
      <w:bookmarkEnd w:id="4"/>
      <w:bookmarkEnd w:id="5"/>
      <w:bookmarkEnd w:id="6"/>
      <w:bookmarkEnd w:id="7"/>
      <w:bookmarkEnd w:id="8"/>
      <w:bookmarkEnd w:id="9"/>
      <w:bookmarkEnd w:id="10"/>
      <w:bookmarkEnd w:id="11"/>
      <w:bookmarkEnd w:id="12"/>
      <w:bookmarkEnd w:id="13"/>
      <w:bookmarkEnd w:id="14"/>
    </w:tbl>
    <w:p w:rsidR="00101179" w:rsidRPr="00BB6D6F" w:rsidRDefault="00101179" w:rsidP="00BB6D6F">
      <w:pPr>
        <w:pStyle w:val="Haupttext"/>
      </w:pPr>
    </w:p>
    <w:sectPr w:rsidR="00101179" w:rsidRPr="00BB6D6F"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340CB302" wp14:editId="663C2638">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2C933206" wp14:editId="25F2D770">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BB6D6F">
      <w:rPr>
        <w:rFonts w:ascii="Verdana" w:hAnsi="Verdana"/>
        <w:noProof/>
        <w:snapToGrid w:val="0"/>
        <w:color w:val="999999"/>
        <w:sz w:val="16"/>
      </w:rPr>
      <w:t xml:space="preserve"> Überarbeitet von Barbara Klug</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617B43">
      <w:rPr>
        <w:rFonts w:ascii="Verdana" w:hAnsi="Verdana"/>
        <w:noProof/>
        <w:color w:val="999999"/>
        <w:sz w:val="16"/>
      </w:rPr>
      <w:t>3</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617B43">
      <w:rPr>
        <w:rFonts w:ascii="Verdana" w:hAnsi="Verdana"/>
        <w:noProof/>
        <w:color w:val="999999"/>
        <w:sz w:val="16"/>
      </w:rPr>
      <w:t>5</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BB6D6F">
      <w:rPr>
        <w:rFonts w:ascii="Verdana" w:hAnsi="Verdana"/>
        <w:noProof/>
        <w:color w:val="999999"/>
        <w:sz w:val="16"/>
        <w:lang w:val="fr-CH"/>
      </w:rPr>
      <w:t>SLA für IT Facility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nsid w:val="16B97575"/>
    <w:multiLevelType w:val="singleLevel"/>
    <w:tmpl w:val="B8EE0A02"/>
    <w:lvl w:ilvl="0">
      <w:start w:val="1"/>
      <w:numFmt w:val="bullet"/>
      <w:lvlText w:val=""/>
      <w:lvlJc w:val="left"/>
      <w:pPr>
        <w:tabs>
          <w:tab w:val="num" w:pos="1211"/>
        </w:tabs>
        <w:ind w:left="1134" w:hanging="283"/>
      </w:pPr>
      <w:rPr>
        <w:rFonts w:ascii="Symbol" w:hAnsi="Symbol" w:hint="default"/>
        <w:sz w:val="22"/>
      </w:rPr>
    </w:lvl>
  </w:abstractNum>
  <w:abstractNum w:abstractNumId="15">
    <w:nsid w:val="16D947AB"/>
    <w:multiLevelType w:val="singleLevel"/>
    <w:tmpl w:val="98D48A2A"/>
    <w:lvl w:ilvl="0">
      <w:start w:val="1"/>
      <w:numFmt w:val="decimal"/>
      <w:lvlText w:val="%1."/>
      <w:lvlJc w:val="left"/>
      <w:pPr>
        <w:tabs>
          <w:tab w:val="num" w:pos="1021"/>
        </w:tabs>
        <w:ind w:left="1021" w:hanging="454"/>
      </w:pPr>
      <w:rPr>
        <w:rFonts w:ascii="Arial" w:hAnsi="Arial" w:hint="default"/>
        <w:b w:val="0"/>
        <w:i w:val="0"/>
        <w:sz w:val="22"/>
      </w:rPr>
    </w:lvl>
  </w:abstractNum>
  <w:abstractNum w:abstractNumId="16">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3D263C0"/>
    <w:multiLevelType w:val="multilevel"/>
    <w:tmpl w:val="CF72E2F0"/>
    <w:numStyleLink w:val="StyleNummerierteAufzhlung"/>
  </w:abstractNum>
  <w:abstractNum w:abstractNumId="18">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9">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nsid w:val="2AB92407"/>
    <w:multiLevelType w:val="singleLevel"/>
    <w:tmpl w:val="2FD45D30"/>
    <w:lvl w:ilvl="0">
      <w:start w:val="1"/>
      <w:numFmt w:val="decimal"/>
      <w:lvlText w:val="%1."/>
      <w:lvlJc w:val="left"/>
      <w:pPr>
        <w:tabs>
          <w:tab w:val="num" w:pos="927"/>
        </w:tabs>
        <w:ind w:left="851" w:hanging="284"/>
      </w:pPr>
      <w:rPr>
        <w:rFonts w:ascii="Arial" w:hAnsi="Arial" w:hint="default"/>
        <w:b w:val="0"/>
        <w:i w:val="0"/>
        <w:sz w:val="22"/>
      </w:rPr>
    </w:lvl>
  </w:abstractNum>
  <w:abstractNum w:abstractNumId="21">
    <w:nsid w:val="30363B60"/>
    <w:multiLevelType w:val="singleLevel"/>
    <w:tmpl w:val="B17A1072"/>
    <w:lvl w:ilvl="0">
      <w:start w:val="1"/>
      <w:numFmt w:val="bullet"/>
      <w:lvlText w:val=""/>
      <w:lvlJc w:val="left"/>
      <w:pPr>
        <w:tabs>
          <w:tab w:val="num" w:pos="927"/>
        </w:tabs>
        <w:ind w:left="851" w:hanging="284"/>
      </w:pPr>
      <w:rPr>
        <w:rFonts w:ascii="Symbol" w:hAnsi="Symbol" w:hint="default"/>
        <w:sz w:val="22"/>
      </w:rPr>
    </w:lvl>
  </w:abstractNum>
  <w:abstractNum w:abstractNumId="22">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4FE4536"/>
    <w:multiLevelType w:val="singleLevel"/>
    <w:tmpl w:val="98D48A2A"/>
    <w:lvl w:ilvl="0">
      <w:start w:val="1"/>
      <w:numFmt w:val="decimal"/>
      <w:lvlText w:val="%1."/>
      <w:lvlJc w:val="left"/>
      <w:pPr>
        <w:tabs>
          <w:tab w:val="num" w:pos="1021"/>
        </w:tabs>
        <w:ind w:left="1021" w:hanging="454"/>
      </w:pPr>
      <w:rPr>
        <w:rFonts w:ascii="Arial" w:hAnsi="Arial" w:hint="default"/>
        <w:b w:val="0"/>
        <w:i w:val="0"/>
        <w:sz w:val="22"/>
      </w:rPr>
    </w:lvl>
  </w:abstractNum>
  <w:abstractNum w:abstractNumId="24">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EC4065"/>
    <w:multiLevelType w:val="multilevel"/>
    <w:tmpl w:val="06C4F356"/>
    <w:numStyleLink w:val="StyleAufzhlung"/>
  </w:abstractNum>
  <w:abstractNum w:abstractNumId="27">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8">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40DB548B"/>
    <w:multiLevelType w:val="hybridMultilevel"/>
    <w:tmpl w:val="09D0C5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380589D"/>
    <w:multiLevelType w:val="singleLevel"/>
    <w:tmpl w:val="07B27A20"/>
    <w:lvl w:ilvl="0">
      <w:start w:val="1"/>
      <w:numFmt w:val="decimal"/>
      <w:lvlText w:val="%1."/>
      <w:lvlJc w:val="left"/>
      <w:pPr>
        <w:tabs>
          <w:tab w:val="num" w:pos="927"/>
        </w:tabs>
        <w:ind w:left="851" w:hanging="284"/>
      </w:pPr>
      <w:rPr>
        <w:rFonts w:ascii="Arial" w:hAnsi="Arial" w:hint="default"/>
        <w:b w:val="0"/>
        <w:i w:val="0"/>
        <w:sz w:val="22"/>
      </w:rPr>
    </w:lvl>
  </w:abstractNum>
  <w:abstractNum w:abstractNumId="31">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3">
    <w:nsid w:val="4BBB05FF"/>
    <w:multiLevelType w:val="hybridMultilevel"/>
    <w:tmpl w:val="CF6E2D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4EDC23D3"/>
    <w:multiLevelType w:val="hybridMultilevel"/>
    <w:tmpl w:val="20221D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60AE4070"/>
    <w:multiLevelType w:val="hybridMultilevel"/>
    <w:tmpl w:val="C31466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40">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1">
    <w:nsid w:val="68780797"/>
    <w:multiLevelType w:val="singleLevel"/>
    <w:tmpl w:val="98D48A2A"/>
    <w:lvl w:ilvl="0">
      <w:start w:val="1"/>
      <w:numFmt w:val="decimal"/>
      <w:lvlText w:val="%1."/>
      <w:lvlJc w:val="left"/>
      <w:pPr>
        <w:tabs>
          <w:tab w:val="num" w:pos="1021"/>
        </w:tabs>
        <w:ind w:left="1021" w:hanging="454"/>
      </w:pPr>
      <w:rPr>
        <w:rFonts w:ascii="Arial" w:hAnsi="Arial" w:hint="default"/>
        <w:b w:val="0"/>
        <w:i w:val="0"/>
        <w:sz w:val="22"/>
      </w:rPr>
    </w:lvl>
  </w:abstractNum>
  <w:abstractNum w:abstractNumId="42">
    <w:nsid w:val="6C071CE5"/>
    <w:multiLevelType w:val="singleLevel"/>
    <w:tmpl w:val="4CA4BA66"/>
    <w:lvl w:ilvl="0">
      <w:start w:val="3"/>
      <w:numFmt w:val="decimal"/>
      <w:lvlText w:val="%1."/>
      <w:lvlJc w:val="left"/>
      <w:pPr>
        <w:tabs>
          <w:tab w:val="num" w:pos="927"/>
        </w:tabs>
        <w:ind w:left="851" w:hanging="284"/>
      </w:pPr>
      <w:rPr>
        <w:rFonts w:ascii="Arial" w:hAnsi="Arial" w:hint="default"/>
        <w:b w:val="0"/>
        <w:i w:val="0"/>
        <w:sz w:val="22"/>
      </w:rPr>
    </w:lvl>
  </w:abstractNum>
  <w:abstractNum w:abstractNumId="43">
    <w:nsid w:val="78313FDF"/>
    <w:multiLevelType w:val="hybridMultilevel"/>
    <w:tmpl w:val="8D1039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7D3479E3"/>
    <w:multiLevelType w:val="singleLevel"/>
    <w:tmpl w:val="C1BE3BA4"/>
    <w:lvl w:ilvl="0">
      <w:start w:val="1"/>
      <w:numFmt w:val="decimal"/>
      <w:lvlText w:val="%1."/>
      <w:lvlJc w:val="left"/>
      <w:pPr>
        <w:tabs>
          <w:tab w:val="num" w:pos="927"/>
        </w:tabs>
        <w:ind w:left="851" w:hanging="284"/>
      </w:pPr>
      <w:rPr>
        <w:rFonts w:ascii="Arial" w:hAnsi="Arial" w:hint="default"/>
        <w:b w:val="0"/>
        <w:i w:val="0"/>
        <w:sz w:val="22"/>
      </w:rPr>
    </w:lvl>
  </w:abstractNum>
  <w:num w:numId="1">
    <w:abstractNumId w:val="39"/>
  </w:num>
  <w:num w:numId="2">
    <w:abstractNumId w:val="32"/>
  </w:num>
  <w:num w:numId="3">
    <w:abstractNumId w:val="18"/>
  </w:num>
  <w:num w:numId="4">
    <w:abstractNumId w:val="27"/>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7"/>
  </w:num>
  <w:num w:numId="17">
    <w:abstractNumId w:val="16"/>
  </w:num>
  <w:num w:numId="18">
    <w:abstractNumId w:val="35"/>
  </w:num>
  <w:num w:numId="19">
    <w:abstractNumId w:val="12"/>
  </w:num>
  <w:num w:numId="20">
    <w:abstractNumId w:val="24"/>
  </w:num>
  <w:num w:numId="21">
    <w:abstractNumId w:val="26"/>
  </w:num>
  <w:num w:numId="22">
    <w:abstractNumId w:val="17"/>
  </w:num>
  <w:num w:numId="23">
    <w:abstractNumId w:val="25"/>
  </w:num>
  <w:num w:numId="24">
    <w:abstractNumId w:val="22"/>
  </w:num>
  <w:num w:numId="25">
    <w:abstractNumId w:val="19"/>
  </w:num>
  <w:num w:numId="26">
    <w:abstractNumId w:val="40"/>
  </w:num>
  <w:num w:numId="27">
    <w:abstractNumId w:val="28"/>
  </w:num>
  <w:num w:numId="28">
    <w:abstractNumId w:val="10"/>
  </w:num>
  <w:num w:numId="29">
    <w:abstractNumId w:val="31"/>
  </w:num>
  <w:num w:numId="30">
    <w:abstractNumId w:val="13"/>
  </w:num>
  <w:num w:numId="31">
    <w:abstractNumId w:val="36"/>
  </w:num>
  <w:num w:numId="32">
    <w:abstractNumId w:val="22"/>
    <w:lvlOverride w:ilvl="0">
      <w:startOverride w:val="1"/>
    </w:lvlOverride>
  </w:num>
  <w:num w:numId="33">
    <w:abstractNumId w:val="30"/>
  </w:num>
  <w:num w:numId="34">
    <w:abstractNumId w:val="44"/>
  </w:num>
  <w:num w:numId="35">
    <w:abstractNumId w:val="15"/>
  </w:num>
  <w:num w:numId="36">
    <w:abstractNumId w:val="23"/>
  </w:num>
  <w:num w:numId="37">
    <w:abstractNumId w:val="41"/>
  </w:num>
  <w:num w:numId="38">
    <w:abstractNumId w:val="21"/>
  </w:num>
  <w:num w:numId="39">
    <w:abstractNumId w:val="14"/>
  </w:num>
  <w:num w:numId="40">
    <w:abstractNumId w:val="42"/>
  </w:num>
  <w:num w:numId="41">
    <w:abstractNumId w:val="20"/>
  </w:num>
  <w:num w:numId="42">
    <w:abstractNumId w:val="32"/>
  </w:num>
  <w:num w:numId="43">
    <w:abstractNumId w:val="34"/>
  </w:num>
  <w:num w:numId="44">
    <w:abstractNumId w:val="38"/>
  </w:num>
  <w:num w:numId="45">
    <w:abstractNumId w:val="33"/>
  </w:num>
  <w:num w:numId="46">
    <w:abstractNumId w:val="29"/>
  </w:num>
  <w:num w:numId="47">
    <w:abstractNumId w:val="4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759FA"/>
    <w:rsid w:val="00391840"/>
    <w:rsid w:val="00406F76"/>
    <w:rsid w:val="004F2E4A"/>
    <w:rsid w:val="00617B43"/>
    <w:rsid w:val="00641AF7"/>
    <w:rsid w:val="006C66E5"/>
    <w:rsid w:val="006F0703"/>
    <w:rsid w:val="007D1353"/>
    <w:rsid w:val="0084662F"/>
    <w:rsid w:val="0085719F"/>
    <w:rsid w:val="008C35ED"/>
    <w:rsid w:val="008F16FC"/>
    <w:rsid w:val="00A2656E"/>
    <w:rsid w:val="00A6569F"/>
    <w:rsid w:val="00B0385F"/>
    <w:rsid w:val="00BB6D6F"/>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LauftextVertragdopEinzug">
    <w:name w:val="LauftextVertragdop.Einzug"/>
    <w:basedOn w:val="LauftextVertrag"/>
    <w:next w:val="LauftextVertrag"/>
    <w:rsid w:val="00BB6D6F"/>
    <w:pPr>
      <w:tabs>
        <w:tab w:val="clear" w:pos="2010"/>
        <w:tab w:val="clear" w:pos="3061"/>
        <w:tab w:val="left" w:pos="454"/>
      </w:tabs>
      <w:ind w:left="454" w:hanging="227"/>
    </w:pPr>
  </w:style>
  <w:style w:type="paragraph" w:customStyle="1" w:styleId="LauftextVertrag">
    <w:name w:val="LauftextVertrag"/>
    <w:rsid w:val="00BB6D6F"/>
    <w:pPr>
      <w:tabs>
        <w:tab w:val="left" w:pos="2010"/>
        <w:tab w:val="left" w:pos="3061"/>
      </w:tabs>
      <w:spacing w:line="212" w:lineRule="atLeast"/>
      <w:jc w:val="both"/>
    </w:pPr>
    <w:rPr>
      <w:rFonts w:ascii="Helvetica" w:hAnsi="Helvetica"/>
      <w:spacing w:val="-15"/>
      <w:sz w:val="18"/>
    </w:rPr>
  </w:style>
  <w:style w:type="paragraph" w:customStyle="1" w:styleId="LauftextVertragEinzug">
    <w:name w:val="LauftextVertragEinzug"/>
    <w:basedOn w:val="LauftextVertrag"/>
    <w:next w:val="LauftextVertrag"/>
    <w:rsid w:val="00BB6D6F"/>
    <w:pPr>
      <w:tabs>
        <w:tab w:val="left" w:pos="227"/>
      </w:tabs>
      <w:ind w:left="227" w:hanging="227"/>
    </w:pPr>
  </w:style>
  <w:style w:type="paragraph" w:customStyle="1" w:styleId="ZifferText">
    <w:name w:val="ZifferText"/>
    <w:basedOn w:val="Standard"/>
    <w:rsid w:val="00BB6D6F"/>
    <w:pPr>
      <w:spacing w:before="100" w:after="100" w:line="336" w:lineRule="auto"/>
      <w:ind w:left="567"/>
    </w:pPr>
    <w:rPr>
      <w:rFonts w:ascii="Arial" w:eastAsia="Times New Roman" w:hAnsi="Arial" w:cs="Times New Roman"/>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LauftextVertragdopEinzug">
    <w:name w:val="LauftextVertragdop.Einzug"/>
    <w:basedOn w:val="LauftextVertrag"/>
    <w:next w:val="LauftextVertrag"/>
    <w:rsid w:val="00BB6D6F"/>
    <w:pPr>
      <w:tabs>
        <w:tab w:val="clear" w:pos="2010"/>
        <w:tab w:val="clear" w:pos="3061"/>
        <w:tab w:val="left" w:pos="454"/>
      </w:tabs>
      <w:ind w:left="454" w:hanging="227"/>
    </w:pPr>
  </w:style>
  <w:style w:type="paragraph" w:customStyle="1" w:styleId="LauftextVertrag">
    <w:name w:val="LauftextVertrag"/>
    <w:rsid w:val="00BB6D6F"/>
    <w:pPr>
      <w:tabs>
        <w:tab w:val="left" w:pos="2010"/>
        <w:tab w:val="left" w:pos="3061"/>
      </w:tabs>
      <w:spacing w:line="212" w:lineRule="atLeast"/>
      <w:jc w:val="both"/>
    </w:pPr>
    <w:rPr>
      <w:rFonts w:ascii="Helvetica" w:hAnsi="Helvetica"/>
      <w:spacing w:val="-15"/>
      <w:sz w:val="18"/>
    </w:rPr>
  </w:style>
  <w:style w:type="paragraph" w:customStyle="1" w:styleId="LauftextVertragEinzug">
    <w:name w:val="LauftextVertragEinzug"/>
    <w:basedOn w:val="LauftextVertrag"/>
    <w:next w:val="LauftextVertrag"/>
    <w:rsid w:val="00BB6D6F"/>
    <w:pPr>
      <w:tabs>
        <w:tab w:val="left" w:pos="227"/>
      </w:tabs>
      <w:ind w:left="227" w:hanging="227"/>
    </w:pPr>
  </w:style>
  <w:style w:type="paragraph" w:customStyle="1" w:styleId="ZifferText">
    <w:name w:val="ZifferText"/>
    <w:basedOn w:val="Standard"/>
    <w:rsid w:val="00BB6D6F"/>
    <w:pPr>
      <w:spacing w:before="100" w:after="100" w:line="336" w:lineRule="auto"/>
      <w:ind w:left="567"/>
    </w:pPr>
    <w:rPr>
      <w:rFonts w:ascii="Arial" w:eastAsia="Times New Roman" w:hAnsi="Arial" w:cs="Times New 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935</Words>
  <Characters>6394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