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179" w:rsidRPr="0091406B" w:rsidRDefault="00101179" w:rsidP="00101179">
      <w:pPr>
        <w:pStyle w:val="Titel1-Kapiteltitel"/>
      </w:pPr>
      <w:r w:rsidRPr="0091406B">
        <w:t>Sicherungsübereignung</w:t>
      </w:r>
    </w:p>
    <w:p w:rsidR="00101179" w:rsidRPr="0091406B" w:rsidRDefault="00101179" w:rsidP="0091406B">
      <w:pPr>
        <w:pStyle w:val="Titel2"/>
        <w:ind w:left="709" w:hanging="709"/>
      </w:pPr>
      <w:r w:rsidRPr="0091406B">
        <w:t>I.</w:t>
      </w:r>
      <w:r w:rsidRPr="0091406B">
        <w:tab/>
        <w:t>Vertragsparteien</w:t>
      </w:r>
    </w:p>
    <w:p w:rsidR="00101179" w:rsidRPr="0091406B" w:rsidRDefault="00101179" w:rsidP="0091406B">
      <w:pPr>
        <w:pStyle w:val="HaupttextEinz1"/>
        <w:tabs>
          <w:tab w:val="clear" w:pos="397"/>
          <w:tab w:val="clear" w:pos="454"/>
        </w:tabs>
        <w:ind w:left="709" w:hanging="709"/>
        <w:rPr>
          <w:lang w:val="de-CH"/>
        </w:rPr>
      </w:pPr>
      <w:r w:rsidRPr="0091406B">
        <w:rPr>
          <w:lang w:val="de-CH"/>
        </w:rPr>
        <w:t>Schuldner und Veräusserer:</w:t>
      </w:r>
      <w:r w:rsidR="0091406B" w:rsidRPr="0091406B">
        <w:rPr>
          <w:lang w:val="de-CH"/>
        </w:rPr>
        <w:t xml:space="preserve"> </w:t>
      </w:r>
      <w:r w:rsidRPr="0091406B">
        <w:rPr>
          <w:lang w:val="de-CH"/>
        </w:rPr>
        <w:t xml:space="preserve">Gebr. Rudolf und Hans Fankhauser, Metzgerei, </w:t>
      </w:r>
      <w:proofErr w:type="spellStart"/>
      <w:r w:rsidRPr="0091406B">
        <w:rPr>
          <w:lang w:val="de-CH"/>
        </w:rPr>
        <w:t>Allmendstrasse</w:t>
      </w:r>
      <w:proofErr w:type="spellEnd"/>
      <w:r w:rsidRPr="0091406B">
        <w:rPr>
          <w:lang w:val="de-CH"/>
        </w:rPr>
        <w:t xml:space="preserve"> 28, 3000 Bern</w:t>
      </w:r>
    </w:p>
    <w:p w:rsidR="00101179" w:rsidRPr="0091406B" w:rsidRDefault="00101179" w:rsidP="0091406B">
      <w:pPr>
        <w:pStyle w:val="HaupttextEinz1"/>
        <w:tabs>
          <w:tab w:val="clear" w:pos="397"/>
          <w:tab w:val="clear" w:pos="454"/>
        </w:tabs>
        <w:ind w:left="709" w:hanging="709"/>
        <w:rPr>
          <w:lang w:val="de-CH"/>
        </w:rPr>
      </w:pPr>
      <w:r w:rsidRPr="0091406B">
        <w:rPr>
          <w:lang w:val="de-CH"/>
        </w:rPr>
        <w:t xml:space="preserve">Gläubiger und Erwerber: Gewerbebank AG, </w:t>
      </w:r>
      <w:proofErr w:type="spellStart"/>
      <w:r w:rsidRPr="0091406B">
        <w:rPr>
          <w:lang w:val="de-CH"/>
        </w:rPr>
        <w:t>Worberstr</w:t>
      </w:r>
      <w:r w:rsidR="0091406B">
        <w:rPr>
          <w:lang w:val="de-CH"/>
        </w:rPr>
        <w:t>asse</w:t>
      </w:r>
      <w:proofErr w:type="spellEnd"/>
      <w:r w:rsidRPr="0091406B">
        <w:rPr>
          <w:lang w:val="de-CH"/>
        </w:rPr>
        <w:t xml:space="preserve"> 8, 3000 Bern</w:t>
      </w:r>
    </w:p>
    <w:p w:rsidR="00101179" w:rsidRPr="0091406B" w:rsidRDefault="00101179" w:rsidP="00101179">
      <w:pPr>
        <w:pStyle w:val="Titel2"/>
      </w:pPr>
      <w:r w:rsidRPr="0091406B">
        <w:t>II.</w:t>
      </w:r>
      <w:r w:rsidRPr="0091406B">
        <w:tab/>
        <w:t>Präambel</w:t>
      </w:r>
    </w:p>
    <w:p w:rsidR="00101179" w:rsidRPr="0091406B" w:rsidRDefault="00101179" w:rsidP="0091406B">
      <w:pPr>
        <w:pStyle w:val="HaupttextEinz1"/>
        <w:numPr>
          <w:ilvl w:val="0"/>
          <w:numId w:val="9"/>
        </w:numPr>
        <w:tabs>
          <w:tab w:val="clear" w:pos="397"/>
          <w:tab w:val="clear" w:pos="454"/>
        </w:tabs>
        <w:ind w:left="709" w:hanging="709"/>
        <w:rPr>
          <w:lang w:val="de-CH"/>
        </w:rPr>
      </w:pPr>
      <w:r w:rsidRPr="0091406B">
        <w:rPr>
          <w:lang w:val="de-CH"/>
        </w:rPr>
        <w:t>Die Gebrüder Fankhauser betreiben in Bern eine Metzgerei. Sie haben im April 20xx ve</w:t>
      </w:r>
      <w:r w:rsidRPr="0091406B">
        <w:rPr>
          <w:lang w:val="de-CH"/>
        </w:rPr>
        <w:t>r</w:t>
      </w:r>
      <w:r w:rsidRPr="0091406B">
        <w:rPr>
          <w:lang w:val="de-CH"/>
        </w:rPr>
        <w:t>schiedene Betriebseinrichtungen erneuert und neue Maschinen angeschafft, welche von der Gewe</w:t>
      </w:r>
      <w:r w:rsidRPr="0091406B">
        <w:rPr>
          <w:lang w:val="de-CH"/>
        </w:rPr>
        <w:t>r</w:t>
      </w:r>
      <w:r w:rsidRPr="0091406B">
        <w:rPr>
          <w:lang w:val="de-CH"/>
        </w:rPr>
        <w:t>bebank AG finanziert wurden.</w:t>
      </w:r>
    </w:p>
    <w:p w:rsidR="00101179" w:rsidRPr="0091406B" w:rsidRDefault="00101179" w:rsidP="0091406B">
      <w:pPr>
        <w:pStyle w:val="HaupttextEinz1"/>
        <w:tabs>
          <w:tab w:val="clear" w:pos="397"/>
          <w:tab w:val="clear" w:pos="454"/>
        </w:tabs>
        <w:ind w:left="709" w:hanging="709"/>
        <w:rPr>
          <w:lang w:val="de-CH"/>
        </w:rPr>
      </w:pPr>
      <w:r w:rsidRPr="0091406B">
        <w:rPr>
          <w:lang w:val="de-CH"/>
        </w:rPr>
        <w:t>Zwecks Sicherstellung des von der Gewerbebank AG gemäss separatem Kreditvertrag g</w:t>
      </w:r>
      <w:r w:rsidRPr="0091406B">
        <w:rPr>
          <w:lang w:val="de-CH"/>
        </w:rPr>
        <w:t>e</w:t>
      </w:r>
      <w:r w:rsidRPr="0091406B">
        <w:rPr>
          <w:lang w:val="de-CH"/>
        </w:rPr>
        <w:t>währten Betriebsdarlehens, schliessen die Parteien die nachfolgende Vereinbarung.</w:t>
      </w:r>
    </w:p>
    <w:p w:rsidR="00101179" w:rsidRPr="0091406B" w:rsidRDefault="00101179" w:rsidP="00101179">
      <w:pPr>
        <w:pStyle w:val="Titel2"/>
      </w:pPr>
      <w:r w:rsidRPr="0091406B">
        <w:t>III.</w:t>
      </w:r>
      <w:r w:rsidRPr="0091406B">
        <w:tab/>
        <w:t>Gegenstand der Sicherstellung</w:t>
      </w:r>
    </w:p>
    <w:p w:rsidR="00101179" w:rsidRPr="0091406B" w:rsidRDefault="00101179" w:rsidP="0091406B">
      <w:pPr>
        <w:pStyle w:val="HaupttextEinz1"/>
        <w:numPr>
          <w:ilvl w:val="0"/>
          <w:numId w:val="6"/>
        </w:numPr>
        <w:tabs>
          <w:tab w:val="clear" w:pos="397"/>
          <w:tab w:val="clear" w:pos="454"/>
        </w:tabs>
        <w:ind w:left="709" w:hanging="709"/>
        <w:rPr>
          <w:lang w:val="de-CH"/>
        </w:rPr>
      </w:pPr>
      <w:r w:rsidRPr="0091406B">
        <w:rPr>
          <w:lang w:val="de-CH"/>
        </w:rPr>
        <w:t>Die Gebrüder Fankhauser treten der Gewerbebank AG die folgenden Maschinen zu Eige</w:t>
      </w:r>
      <w:r w:rsidRPr="0091406B">
        <w:rPr>
          <w:lang w:val="de-CH"/>
        </w:rPr>
        <w:t>n</w:t>
      </w:r>
      <w:r w:rsidRPr="0091406B">
        <w:rPr>
          <w:lang w:val="de-CH"/>
        </w:rPr>
        <w:t>tum ab: eine Knochenfräse, eine Wurstmaschine, eine Zwillingsmaschine.</w:t>
      </w:r>
    </w:p>
    <w:p w:rsidR="00101179" w:rsidRPr="0091406B" w:rsidRDefault="00101179" w:rsidP="0091406B">
      <w:pPr>
        <w:pStyle w:val="HaupttextEinz1"/>
        <w:tabs>
          <w:tab w:val="clear" w:pos="397"/>
          <w:tab w:val="clear" w:pos="454"/>
        </w:tabs>
        <w:ind w:left="709" w:hanging="709"/>
        <w:rPr>
          <w:lang w:val="de-CH"/>
        </w:rPr>
      </w:pPr>
      <w:r w:rsidRPr="0091406B">
        <w:rPr>
          <w:lang w:val="de-CH"/>
        </w:rPr>
        <w:t>Die Maschinen befinden sich in neuem Zustand und weisen insgesamt einen Wert von CHF</w:t>
      </w:r>
      <w:r w:rsidR="0091406B">
        <w:rPr>
          <w:lang w:val="de-CH"/>
        </w:rPr>
        <w:t> </w:t>
      </w:r>
      <w:r w:rsidRPr="0091406B">
        <w:rPr>
          <w:lang w:val="de-CH"/>
        </w:rPr>
        <w:t>12</w:t>
      </w:r>
      <w:r w:rsidR="0091406B">
        <w:rPr>
          <w:lang w:val="de-CH"/>
        </w:rPr>
        <w:t> </w:t>
      </w:r>
      <w:r w:rsidRPr="0091406B">
        <w:rPr>
          <w:lang w:val="de-CH"/>
        </w:rPr>
        <w:t>500</w:t>
      </w:r>
      <w:proofErr w:type="gramStart"/>
      <w:r w:rsidRPr="0091406B">
        <w:rPr>
          <w:lang w:val="de-CH"/>
        </w:rPr>
        <w:t>.–</w:t>
      </w:r>
      <w:proofErr w:type="gramEnd"/>
      <w:r w:rsidRPr="0091406B">
        <w:rPr>
          <w:lang w:val="de-CH"/>
        </w:rPr>
        <w:t xml:space="preserve"> auf.</w:t>
      </w:r>
    </w:p>
    <w:p w:rsidR="00101179" w:rsidRPr="0091406B" w:rsidRDefault="00101179" w:rsidP="0091406B">
      <w:pPr>
        <w:pStyle w:val="HaupttextEinz1"/>
        <w:tabs>
          <w:tab w:val="clear" w:pos="397"/>
          <w:tab w:val="clear" w:pos="454"/>
        </w:tabs>
        <w:ind w:left="709" w:hanging="709"/>
        <w:rPr>
          <w:lang w:val="de-CH"/>
        </w:rPr>
      </w:pPr>
      <w:r w:rsidRPr="0091406B">
        <w:rPr>
          <w:lang w:val="de-CH"/>
        </w:rPr>
        <w:t>Die Maschinen verbleiben im Geschäftsbetrieb der Veräusserer und stehen diesen mietwe</w:t>
      </w:r>
      <w:r w:rsidRPr="0091406B">
        <w:rPr>
          <w:lang w:val="de-CH"/>
        </w:rPr>
        <w:t>i</w:t>
      </w:r>
      <w:r w:rsidRPr="0091406B">
        <w:rPr>
          <w:lang w:val="de-CH"/>
        </w:rPr>
        <w:t>se zum Gebrauch zur Verfügung. Es wird auf den separaten Mietvertrag verwiesen.</w:t>
      </w:r>
    </w:p>
    <w:p w:rsidR="00101179" w:rsidRPr="0091406B" w:rsidRDefault="00101179" w:rsidP="0091406B">
      <w:pPr>
        <w:pStyle w:val="HaupttextEinz1"/>
        <w:tabs>
          <w:tab w:val="clear" w:pos="397"/>
          <w:tab w:val="clear" w:pos="454"/>
        </w:tabs>
        <w:ind w:left="709" w:hanging="709"/>
        <w:rPr>
          <w:lang w:val="de-CH"/>
        </w:rPr>
      </w:pPr>
      <w:r w:rsidRPr="0091406B">
        <w:rPr>
          <w:lang w:val="de-CH"/>
        </w:rPr>
        <w:t>Die Gebrüder Fankhauser übergeben der Gewerbebank AG die Kaufverträge und die Gara</w:t>
      </w:r>
      <w:r w:rsidRPr="0091406B">
        <w:rPr>
          <w:lang w:val="de-CH"/>
        </w:rPr>
        <w:t>n</w:t>
      </w:r>
      <w:r w:rsidRPr="0091406B">
        <w:rPr>
          <w:lang w:val="de-CH"/>
        </w:rPr>
        <w:t>tiebestimmungen für die zum Eigentum abgetretenen Maschinen.</w:t>
      </w:r>
    </w:p>
    <w:p w:rsidR="00101179" w:rsidRPr="0091406B" w:rsidRDefault="00101179" w:rsidP="00101179">
      <w:pPr>
        <w:pStyle w:val="Titel2"/>
      </w:pPr>
      <w:r w:rsidRPr="0091406B">
        <w:t>IV.</w:t>
      </w:r>
      <w:r w:rsidRPr="0091406B">
        <w:tab/>
        <w:t>Pflichten der Par</w:t>
      </w:r>
      <w:bookmarkStart w:id="0" w:name="_GoBack"/>
      <w:bookmarkEnd w:id="0"/>
      <w:r w:rsidRPr="0091406B">
        <w:t>teien</w:t>
      </w:r>
    </w:p>
    <w:p w:rsidR="00101179" w:rsidRPr="0091406B" w:rsidRDefault="00101179" w:rsidP="0091406B">
      <w:pPr>
        <w:pStyle w:val="HaupttextEinz1"/>
        <w:numPr>
          <w:ilvl w:val="0"/>
          <w:numId w:val="8"/>
        </w:numPr>
        <w:tabs>
          <w:tab w:val="clear" w:pos="397"/>
          <w:tab w:val="clear" w:pos="454"/>
        </w:tabs>
        <w:ind w:left="709" w:hanging="709"/>
        <w:rPr>
          <w:lang w:val="de-CH"/>
        </w:rPr>
      </w:pPr>
      <w:r w:rsidRPr="0091406B">
        <w:rPr>
          <w:lang w:val="de-CH"/>
        </w:rPr>
        <w:t xml:space="preserve">Beide Parteien sichern sich gegenseitig zu, die vorerwähnten Maschinen nicht </w:t>
      </w:r>
      <w:proofErr w:type="spellStart"/>
      <w:r w:rsidRPr="0091406B">
        <w:rPr>
          <w:lang w:val="de-CH"/>
        </w:rPr>
        <w:t>weiterz</w:t>
      </w:r>
      <w:r w:rsidRPr="0091406B">
        <w:rPr>
          <w:lang w:val="de-CH"/>
        </w:rPr>
        <w:t>u</w:t>
      </w:r>
      <w:r w:rsidRPr="0091406B">
        <w:rPr>
          <w:lang w:val="de-CH"/>
        </w:rPr>
        <w:t>veräussern</w:t>
      </w:r>
      <w:proofErr w:type="spellEnd"/>
      <w:r w:rsidRPr="0091406B">
        <w:rPr>
          <w:lang w:val="de-CH"/>
        </w:rPr>
        <w:t xml:space="preserve"> oder sonst wie zu belasten. Die Gebrüder Fankhauser anerkennen ausdrücklich den E</w:t>
      </w:r>
      <w:r w:rsidRPr="0091406B">
        <w:rPr>
          <w:lang w:val="de-CH"/>
        </w:rPr>
        <w:t>i</w:t>
      </w:r>
      <w:r w:rsidRPr="0091406B">
        <w:rPr>
          <w:lang w:val="de-CH"/>
        </w:rPr>
        <w:t>gentumsanspruch der Gewerbebank AG.</w:t>
      </w:r>
    </w:p>
    <w:p w:rsidR="00101179" w:rsidRPr="0091406B" w:rsidRDefault="00101179" w:rsidP="0091406B">
      <w:pPr>
        <w:pStyle w:val="HaupttextEinz1"/>
        <w:tabs>
          <w:tab w:val="clear" w:pos="397"/>
          <w:tab w:val="clear" w:pos="454"/>
        </w:tabs>
        <w:ind w:left="709" w:hanging="709"/>
        <w:rPr>
          <w:lang w:val="de-CH"/>
        </w:rPr>
      </w:pPr>
      <w:r w:rsidRPr="0091406B">
        <w:rPr>
          <w:lang w:val="de-CH"/>
        </w:rPr>
        <w:t>Die Gebrüder Fankhauser verpflichten sich zu sorgfältigem Gebrauch der Maschinen und zur Bezahlung des Mietzinses gemäss separatem Mietvertrag.</w:t>
      </w:r>
    </w:p>
    <w:p w:rsidR="00101179" w:rsidRPr="0091406B" w:rsidRDefault="00101179" w:rsidP="0091406B">
      <w:pPr>
        <w:pStyle w:val="HaupttextEinz1"/>
        <w:tabs>
          <w:tab w:val="clear" w:pos="397"/>
          <w:tab w:val="clear" w:pos="454"/>
        </w:tabs>
        <w:ind w:left="709" w:hanging="709"/>
        <w:rPr>
          <w:lang w:val="de-CH"/>
        </w:rPr>
      </w:pPr>
      <w:r w:rsidRPr="0091406B">
        <w:rPr>
          <w:lang w:val="de-CH"/>
        </w:rPr>
        <w:t>Die Maschinen sind von den Mietern gegen Feuer, Beschädigung und Diebstahl bei der M</w:t>
      </w:r>
      <w:r w:rsidRPr="0091406B">
        <w:rPr>
          <w:lang w:val="de-CH"/>
        </w:rPr>
        <w:t>o</w:t>
      </w:r>
      <w:r w:rsidRPr="0091406B">
        <w:rPr>
          <w:lang w:val="de-CH"/>
        </w:rPr>
        <w:t>biliar-Versicherungsgesellschaft zu versichern.</w:t>
      </w:r>
    </w:p>
    <w:p w:rsidR="00101179" w:rsidRPr="0091406B" w:rsidRDefault="00101179" w:rsidP="0091406B">
      <w:pPr>
        <w:pStyle w:val="HaupttextEinz1"/>
        <w:tabs>
          <w:tab w:val="clear" w:pos="397"/>
          <w:tab w:val="clear" w:pos="454"/>
        </w:tabs>
        <w:ind w:left="709" w:hanging="709"/>
        <w:rPr>
          <w:lang w:val="de-CH"/>
        </w:rPr>
      </w:pPr>
      <w:r w:rsidRPr="0091406B">
        <w:rPr>
          <w:lang w:val="de-CH"/>
        </w:rPr>
        <w:t>Nach vollständiger Abbezahlung des von der Gewerbebank AG gewährten Betriebsdarl</w:t>
      </w:r>
      <w:r w:rsidRPr="0091406B">
        <w:rPr>
          <w:lang w:val="de-CH"/>
        </w:rPr>
        <w:t>e</w:t>
      </w:r>
      <w:r w:rsidRPr="0091406B">
        <w:rPr>
          <w:lang w:val="de-CH"/>
        </w:rPr>
        <w:t>hens, gehen die Maschinen in das freie Eigentum der Gebrüder Fankhauser über.</w:t>
      </w:r>
    </w:p>
    <w:p w:rsidR="00101179" w:rsidRPr="0091406B" w:rsidRDefault="00101179" w:rsidP="0091406B">
      <w:pPr>
        <w:pStyle w:val="HaupttextEinz1"/>
        <w:tabs>
          <w:tab w:val="clear" w:pos="397"/>
          <w:tab w:val="clear" w:pos="454"/>
        </w:tabs>
        <w:ind w:left="709" w:hanging="709"/>
        <w:rPr>
          <w:lang w:val="de-CH"/>
        </w:rPr>
      </w:pPr>
      <w:r w:rsidRPr="0091406B">
        <w:rPr>
          <w:lang w:val="de-CH"/>
        </w:rPr>
        <w:t>Die Schuldner und Veräusserer verpflichten sich, die Gläubigerin über allfällige Zahlung</w:t>
      </w:r>
      <w:r w:rsidRPr="0091406B">
        <w:rPr>
          <w:lang w:val="de-CH"/>
        </w:rPr>
        <w:t>s</w:t>
      </w:r>
      <w:r w:rsidRPr="0091406B">
        <w:rPr>
          <w:lang w:val="de-CH"/>
        </w:rPr>
        <w:t>schwierigkeiten umgehend zu benachrichtigen. Die Bestellung weiterer Sicherheiten bleibt in diesem Falle vorbehalten.</w:t>
      </w:r>
    </w:p>
    <w:p w:rsidR="00101179" w:rsidRPr="0091406B" w:rsidRDefault="00101179" w:rsidP="00101179">
      <w:pPr>
        <w:pStyle w:val="Titel2"/>
      </w:pPr>
      <w:r w:rsidRPr="0091406B">
        <w:lastRenderedPageBreak/>
        <w:t>V.</w:t>
      </w:r>
      <w:r w:rsidRPr="0091406B">
        <w:tab/>
        <w:t>Schlussbestimmungen</w:t>
      </w:r>
    </w:p>
    <w:p w:rsidR="00101179" w:rsidRPr="0091406B" w:rsidRDefault="00101179" w:rsidP="0091406B">
      <w:pPr>
        <w:pStyle w:val="HaupttextEinz1"/>
        <w:numPr>
          <w:ilvl w:val="0"/>
          <w:numId w:val="7"/>
        </w:numPr>
        <w:tabs>
          <w:tab w:val="clear" w:pos="397"/>
          <w:tab w:val="clear" w:pos="454"/>
        </w:tabs>
        <w:ind w:left="709" w:hanging="709"/>
        <w:rPr>
          <w:lang w:val="de-CH"/>
        </w:rPr>
      </w:pPr>
      <w:r w:rsidRPr="0091406B">
        <w:rPr>
          <w:lang w:val="de-CH"/>
        </w:rPr>
        <w:t>Integrierender Bestandteil dieser Vereinbarung bilden der zwischen den Parteien bestehe</w:t>
      </w:r>
      <w:r w:rsidRPr="0091406B">
        <w:rPr>
          <w:lang w:val="de-CH"/>
        </w:rPr>
        <w:t>n</w:t>
      </w:r>
      <w:r w:rsidRPr="0091406B">
        <w:rPr>
          <w:lang w:val="de-CH"/>
        </w:rPr>
        <w:t>de Kreditvertrag sowie der heute separat abgeschlossene Mietvertrag.</w:t>
      </w:r>
    </w:p>
    <w:p w:rsidR="00101179" w:rsidRPr="0091406B" w:rsidRDefault="00101179" w:rsidP="0091406B">
      <w:pPr>
        <w:pStyle w:val="HaupttextEinz1"/>
        <w:tabs>
          <w:tab w:val="clear" w:pos="397"/>
          <w:tab w:val="clear" w:pos="454"/>
        </w:tabs>
        <w:ind w:left="709" w:hanging="709"/>
        <w:rPr>
          <w:lang w:val="de-CH"/>
        </w:rPr>
      </w:pPr>
      <w:r w:rsidRPr="0091406B">
        <w:rPr>
          <w:lang w:val="de-CH"/>
        </w:rPr>
        <w:t>Die Parteien vereinbaren, dass alle Streitigkeiten aus dieser Vereinbarung durch ein Schiedsgericht zu entscheiden sind. Jede Partei ernennt einen Schiedsrichter, welche g</w:t>
      </w:r>
      <w:r w:rsidRPr="0091406B">
        <w:rPr>
          <w:lang w:val="de-CH"/>
        </w:rPr>
        <w:t>e</w:t>
      </w:r>
      <w:r w:rsidRPr="0091406B">
        <w:rPr>
          <w:lang w:val="de-CH"/>
        </w:rPr>
        <w:t>meinsam einen Präsidenten bestimmen. Ernennt eine Partei innert angemessener Frist ke</w:t>
      </w:r>
      <w:r w:rsidRPr="0091406B">
        <w:rPr>
          <w:lang w:val="de-CH"/>
        </w:rPr>
        <w:t>i</w:t>
      </w:r>
      <w:r w:rsidRPr="0091406B">
        <w:rPr>
          <w:lang w:val="de-CH"/>
        </w:rPr>
        <w:t>nen Schiedsrichter oder können sich die ernannten Schiedsrichter über den Präsidenten nicht einigen, wird die Wahl durch den Präsidenten des Obergerichtes des Kantons Bern übernommen. Ergänzend kommen die Bestimmungen der Schweizerischen Zivilprozessor</w:t>
      </w:r>
      <w:r w:rsidRPr="0091406B">
        <w:rPr>
          <w:lang w:val="de-CH"/>
        </w:rPr>
        <w:t>d</w:t>
      </w:r>
      <w:r w:rsidRPr="0091406B">
        <w:rPr>
          <w:lang w:val="de-CH"/>
        </w:rPr>
        <w:t>nung zur A</w:t>
      </w:r>
      <w:r w:rsidRPr="0091406B">
        <w:rPr>
          <w:lang w:val="de-CH"/>
        </w:rPr>
        <w:t>n</w:t>
      </w:r>
      <w:r w:rsidRPr="0091406B">
        <w:rPr>
          <w:lang w:val="de-CH"/>
        </w:rPr>
        <w:t>wendung.</w:t>
      </w:r>
    </w:p>
    <w:tbl>
      <w:tblPr>
        <w:tblW w:w="0" w:type="auto"/>
        <w:tblInd w:w="108" w:type="dxa"/>
        <w:tblLayout w:type="fixed"/>
        <w:tblLook w:val="01E0" w:firstRow="1" w:lastRow="1" w:firstColumn="1" w:lastColumn="1" w:noHBand="0" w:noVBand="0"/>
      </w:tblPr>
      <w:tblGrid>
        <w:gridCol w:w="4320"/>
        <w:gridCol w:w="454"/>
        <w:gridCol w:w="4321"/>
      </w:tblGrid>
      <w:tr w:rsidR="00101179" w:rsidRPr="0091406B" w:rsidTr="00E45CA0">
        <w:trPr>
          <w:cantSplit/>
          <w:trHeight w:val="714"/>
          <w:tblHeader/>
        </w:trPr>
        <w:tc>
          <w:tcPr>
            <w:tcW w:w="4320" w:type="dxa"/>
            <w:shd w:val="clear" w:color="auto" w:fill="auto"/>
            <w:vAlign w:val="bottom"/>
          </w:tcPr>
          <w:p w:rsidR="00101179" w:rsidRPr="0091406B" w:rsidRDefault="00101179" w:rsidP="00101179">
            <w:pPr>
              <w:pStyle w:val="Haupttext"/>
              <w:rPr>
                <w:lang w:val="de-CH"/>
              </w:rPr>
            </w:pPr>
            <w:bookmarkStart w:id="1" w:name="OLE_LINK1"/>
            <w:bookmarkStart w:id="2" w:name="OLE_LINK2"/>
            <w:bookmarkStart w:id="3" w:name="OLE_LINK3"/>
            <w:bookmarkStart w:id="4" w:name="OLE_LINK6"/>
            <w:bookmarkStart w:id="5" w:name="OLE_LINK7"/>
            <w:bookmarkStart w:id="6" w:name="OLE_LINK8"/>
            <w:bookmarkStart w:id="7" w:name="OLE_LINK9"/>
            <w:bookmarkStart w:id="8" w:name="OLE_LINK10"/>
            <w:bookmarkStart w:id="9" w:name="OLE_LINK11"/>
            <w:bookmarkStart w:id="10" w:name="OLE_LINK12"/>
            <w:r w:rsidRPr="0091406B">
              <w:rPr>
                <w:lang w:val="de-CH"/>
              </w:rPr>
              <w:t>[Ort], Datum</w:t>
            </w:r>
          </w:p>
        </w:tc>
        <w:tc>
          <w:tcPr>
            <w:tcW w:w="454" w:type="dxa"/>
            <w:shd w:val="clear" w:color="auto" w:fill="auto"/>
            <w:vAlign w:val="bottom"/>
          </w:tcPr>
          <w:p w:rsidR="00101179" w:rsidRPr="0091406B" w:rsidRDefault="00101179" w:rsidP="00101179">
            <w:pPr>
              <w:pStyle w:val="Haupttext"/>
              <w:rPr>
                <w:rFonts w:cs="Arial"/>
                <w:lang w:val="de-CH"/>
              </w:rPr>
            </w:pPr>
          </w:p>
        </w:tc>
        <w:tc>
          <w:tcPr>
            <w:tcW w:w="4321" w:type="dxa"/>
            <w:shd w:val="clear" w:color="auto" w:fill="auto"/>
            <w:vAlign w:val="bottom"/>
          </w:tcPr>
          <w:p w:rsidR="00101179" w:rsidRPr="0091406B" w:rsidRDefault="00101179" w:rsidP="00101179">
            <w:pPr>
              <w:pStyle w:val="Haupttext"/>
              <w:rPr>
                <w:rFonts w:cs="Arial"/>
                <w:lang w:val="de-CH"/>
              </w:rPr>
            </w:pPr>
            <w:r w:rsidRPr="0091406B">
              <w:rPr>
                <w:rFonts w:cs="Arial"/>
                <w:lang w:val="de-CH"/>
              </w:rPr>
              <w:t>[Ort], Datum</w:t>
            </w:r>
          </w:p>
        </w:tc>
      </w:tr>
      <w:tr w:rsidR="00101179" w:rsidRPr="0091406B" w:rsidTr="00E45CA0">
        <w:trPr>
          <w:trHeight w:val="714"/>
        </w:trPr>
        <w:tc>
          <w:tcPr>
            <w:tcW w:w="4320" w:type="dxa"/>
            <w:tcBorders>
              <w:bottom w:val="single" w:sz="4" w:space="0" w:color="auto"/>
            </w:tcBorders>
            <w:shd w:val="clear" w:color="auto" w:fill="auto"/>
          </w:tcPr>
          <w:p w:rsidR="00101179" w:rsidRPr="0091406B" w:rsidRDefault="00101179" w:rsidP="00101179">
            <w:pPr>
              <w:pStyle w:val="Haupttext"/>
              <w:rPr>
                <w:rFonts w:cs="Arial"/>
                <w:lang w:val="de-CH"/>
              </w:rPr>
            </w:pPr>
          </w:p>
        </w:tc>
        <w:tc>
          <w:tcPr>
            <w:tcW w:w="454" w:type="dxa"/>
            <w:shd w:val="clear" w:color="auto" w:fill="auto"/>
          </w:tcPr>
          <w:p w:rsidR="00101179" w:rsidRPr="0091406B" w:rsidRDefault="00101179" w:rsidP="00101179">
            <w:pPr>
              <w:pStyle w:val="Haupttext"/>
              <w:rPr>
                <w:rFonts w:cs="Arial"/>
                <w:lang w:val="de-CH"/>
              </w:rPr>
            </w:pPr>
          </w:p>
        </w:tc>
        <w:tc>
          <w:tcPr>
            <w:tcW w:w="4321" w:type="dxa"/>
            <w:tcBorders>
              <w:bottom w:val="single" w:sz="4" w:space="0" w:color="auto"/>
            </w:tcBorders>
            <w:shd w:val="clear" w:color="auto" w:fill="auto"/>
          </w:tcPr>
          <w:p w:rsidR="00101179" w:rsidRPr="0091406B" w:rsidRDefault="00101179" w:rsidP="00101179">
            <w:pPr>
              <w:pStyle w:val="Haupttext"/>
              <w:rPr>
                <w:rFonts w:cs="Arial"/>
                <w:lang w:val="de-CH"/>
              </w:rPr>
            </w:pPr>
          </w:p>
        </w:tc>
      </w:tr>
      <w:tr w:rsidR="00101179" w:rsidRPr="0091406B" w:rsidTr="00E45CA0">
        <w:trPr>
          <w:trHeight w:val="907"/>
        </w:trPr>
        <w:tc>
          <w:tcPr>
            <w:tcW w:w="4320" w:type="dxa"/>
            <w:tcBorders>
              <w:top w:val="single" w:sz="4" w:space="0" w:color="auto"/>
            </w:tcBorders>
            <w:shd w:val="clear" w:color="auto" w:fill="auto"/>
            <w:vAlign w:val="bottom"/>
          </w:tcPr>
          <w:p w:rsidR="00101179" w:rsidRPr="0091406B" w:rsidRDefault="00101179" w:rsidP="00101179">
            <w:pPr>
              <w:pStyle w:val="Haupttext"/>
              <w:rPr>
                <w:rFonts w:cs="Arial"/>
                <w:lang w:val="de-CH"/>
              </w:rPr>
            </w:pPr>
            <w:r w:rsidRPr="0091406B">
              <w:rPr>
                <w:rFonts w:cs="Arial"/>
                <w:lang w:val="de-CH"/>
              </w:rPr>
              <w:t xml:space="preserve">Unterschrift </w:t>
            </w:r>
          </w:p>
        </w:tc>
        <w:tc>
          <w:tcPr>
            <w:tcW w:w="454" w:type="dxa"/>
            <w:shd w:val="clear" w:color="auto" w:fill="auto"/>
            <w:vAlign w:val="bottom"/>
          </w:tcPr>
          <w:p w:rsidR="00101179" w:rsidRPr="0091406B" w:rsidRDefault="00101179" w:rsidP="00101179">
            <w:pPr>
              <w:pStyle w:val="Haupttext"/>
              <w:rPr>
                <w:rFonts w:cs="Arial"/>
                <w:lang w:val="de-CH"/>
              </w:rPr>
            </w:pPr>
          </w:p>
        </w:tc>
        <w:tc>
          <w:tcPr>
            <w:tcW w:w="4321" w:type="dxa"/>
            <w:tcBorders>
              <w:top w:val="single" w:sz="4" w:space="0" w:color="auto"/>
            </w:tcBorders>
            <w:shd w:val="clear" w:color="auto" w:fill="auto"/>
            <w:vAlign w:val="bottom"/>
          </w:tcPr>
          <w:p w:rsidR="00101179" w:rsidRPr="0091406B" w:rsidRDefault="00101179" w:rsidP="00101179">
            <w:pPr>
              <w:pStyle w:val="Haupttext"/>
              <w:rPr>
                <w:rFonts w:cs="Arial"/>
                <w:lang w:val="de-CH"/>
              </w:rPr>
            </w:pPr>
            <w:r w:rsidRPr="0091406B">
              <w:rPr>
                <w:rFonts w:cs="Arial"/>
                <w:lang w:val="de-CH"/>
              </w:rPr>
              <w:t xml:space="preserve">Unterschrift </w:t>
            </w:r>
          </w:p>
        </w:tc>
      </w:tr>
      <w:tr w:rsidR="00101179" w:rsidRPr="0091406B" w:rsidTr="00E45CA0">
        <w:trPr>
          <w:trHeight w:val="717"/>
        </w:trPr>
        <w:tc>
          <w:tcPr>
            <w:tcW w:w="4320" w:type="dxa"/>
            <w:tcBorders>
              <w:bottom w:val="single" w:sz="4" w:space="0" w:color="auto"/>
            </w:tcBorders>
            <w:shd w:val="clear" w:color="auto" w:fill="auto"/>
          </w:tcPr>
          <w:p w:rsidR="00101179" w:rsidRPr="0091406B" w:rsidRDefault="00101179" w:rsidP="00101179">
            <w:pPr>
              <w:pStyle w:val="Haupttext"/>
              <w:rPr>
                <w:rFonts w:cs="Arial"/>
                <w:lang w:val="de-CH"/>
              </w:rPr>
            </w:pPr>
          </w:p>
        </w:tc>
        <w:tc>
          <w:tcPr>
            <w:tcW w:w="454" w:type="dxa"/>
            <w:shd w:val="clear" w:color="auto" w:fill="auto"/>
          </w:tcPr>
          <w:p w:rsidR="00101179" w:rsidRPr="0091406B" w:rsidRDefault="00101179" w:rsidP="00101179">
            <w:pPr>
              <w:pStyle w:val="Haupttext"/>
              <w:rPr>
                <w:rFonts w:cs="Arial"/>
                <w:lang w:val="de-CH"/>
              </w:rPr>
            </w:pPr>
          </w:p>
        </w:tc>
        <w:tc>
          <w:tcPr>
            <w:tcW w:w="4321" w:type="dxa"/>
            <w:tcBorders>
              <w:bottom w:val="single" w:sz="4" w:space="0" w:color="auto"/>
            </w:tcBorders>
            <w:shd w:val="clear" w:color="auto" w:fill="auto"/>
          </w:tcPr>
          <w:p w:rsidR="00101179" w:rsidRPr="0091406B" w:rsidRDefault="00101179" w:rsidP="00101179">
            <w:pPr>
              <w:pStyle w:val="Haupttext"/>
              <w:rPr>
                <w:rFonts w:cs="Arial"/>
                <w:lang w:val="de-CH"/>
              </w:rPr>
            </w:pPr>
          </w:p>
        </w:tc>
      </w:tr>
      <w:bookmarkEnd w:id="1"/>
      <w:bookmarkEnd w:id="2"/>
      <w:bookmarkEnd w:id="3"/>
      <w:bookmarkEnd w:id="4"/>
      <w:bookmarkEnd w:id="5"/>
      <w:bookmarkEnd w:id="6"/>
      <w:bookmarkEnd w:id="7"/>
      <w:bookmarkEnd w:id="8"/>
      <w:bookmarkEnd w:id="9"/>
      <w:bookmarkEnd w:id="10"/>
    </w:tbl>
    <w:p w:rsidR="00101179" w:rsidRPr="0091406B" w:rsidRDefault="00101179" w:rsidP="00101179">
      <w:pPr>
        <w:pStyle w:val="Haupttext"/>
        <w:rPr>
          <w:rFonts w:cs="Arial"/>
          <w:lang w:val="de-CH"/>
        </w:rPr>
      </w:pPr>
    </w:p>
    <w:p w:rsidR="00101179" w:rsidRPr="0091406B" w:rsidRDefault="00101179" w:rsidP="00101179">
      <w:pPr>
        <w:pStyle w:val="Haupttext"/>
        <w:rPr>
          <w:rFonts w:cs="Arial"/>
          <w:lang w:val="de-CH"/>
        </w:rPr>
      </w:pPr>
    </w:p>
    <w:p w:rsidR="00101179" w:rsidRPr="0091406B" w:rsidRDefault="00101179" w:rsidP="00101179">
      <w:pPr>
        <w:pStyle w:val="HaupttextEinz1"/>
        <w:numPr>
          <w:ilvl w:val="0"/>
          <w:numId w:val="0"/>
        </w:numPr>
        <w:rPr>
          <w:lang w:val="de-CH"/>
        </w:rPr>
      </w:pPr>
    </w:p>
    <w:sectPr w:rsidR="00101179" w:rsidRPr="0091406B" w:rsidSect="00D228A7">
      <w:headerReference w:type="default" r:id="rId8"/>
      <w:footerReference w:type="default" r:id="rId9"/>
      <w:pgSz w:w="11906" w:h="16838" w:code="9"/>
      <w:pgMar w:top="1797" w:right="1418" w:bottom="568"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66E5" w:rsidRDefault="006C66E5">
      <w:r>
        <w:separator/>
      </w:r>
    </w:p>
  </w:endnote>
  <w:endnote w:type="continuationSeparator" w:id="0">
    <w:p w:rsidR="006C66E5" w:rsidRDefault="006C6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B0500000000000000"/>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00005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Univers 45 Light">
    <w:altName w:val="Cambria"/>
    <w:panose1 w:val="00000000000000000000"/>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8A7" w:rsidRDefault="00D228A7" w:rsidP="00D228A7">
    <w:pPr>
      <w:tabs>
        <w:tab w:val="right" w:pos="9085"/>
      </w:tabs>
      <w:rPr>
        <w:rFonts w:ascii="Verdana" w:hAnsi="Verdana"/>
        <w:noProof/>
        <w:snapToGrid w:val="0"/>
        <w:color w:val="999999"/>
        <w:sz w:val="16"/>
      </w:rPr>
    </w:pPr>
  </w:p>
  <w:p w:rsidR="00D228A7" w:rsidRPr="0091406B" w:rsidRDefault="00D228A7" w:rsidP="00D228A7">
    <w:pPr>
      <w:tabs>
        <w:tab w:val="left" w:pos="1603"/>
        <w:tab w:val="right" w:pos="9072"/>
      </w:tabs>
      <w:rPr>
        <w:lang w:val="en-GB"/>
      </w:rPr>
    </w:pPr>
    <w:r>
      <w:rPr>
        <w:rFonts w:ascii="Verdana" w:hAnsi="Verdana"/>
        <w:noProof/>
        <w:color w:val="999999"/>
      </w:rPr>
      <mc:AlternateContent>
        <mc:Choice Requires="wps">
          <w:drawing>
            <wp:anchor distT="0" distB="0" distL="114300" distR="114300" simplePos="0" relativeHeight="251659776" behindDoc="0" locked="0" layoutInCell="1" allowOverlap="1" wp14:anchorId="349E34C2" wp14:editId="345ABEC9">
              <wp:simplePos x="0" y="0"/>
              <wp:positionH relativeFrom="column">
                <wp:posOffset>-5080</wp:posOffset>
              </wp:positionH>
              <wp:positionV relativeFrom="paragraph">
                <wp:posOffset>344694</wp:posOffset>
              </wp:positionV>
              <wp:extent cx="5760085" cy="0"/>
              <wp:effectExtent l="0" t="0" r="12065" b="19050"/>
              <wp:wrapNone/>
              <wp:docPr id="7"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" strokecolor="#969696" strokeweight=".5pt"/>
          </w:pict>
        </mc:Fallback>
      </mc:AlternateContent>
    </w:r>
    <w:r>
      <w:rPr>
        <w:noProof/>
      </w:rPr>
      <w:drawing>
        <wp:anchor distT="0" distB="0" distL="114300" distR="114300" simplePos="0" relativeHeight="251660800" behindDoc="0" locked="0" layoutInCell="1" allowOverlap="1" wp14:anchorId="1855E35D" wp14:editId="32001F0F">
          <wp:simplePos x="0" y="0"/>
          <wp:positionH relativeFrom="column">
            <wp:posOffset>0</wp:posOffset>
          </wp:positionH>
          <wp:positionV relativeFrom="paragraph">
            <wp:posOffset>1270</wp:posOffset>
          </wp:positionV>
          <wp:extent cx="230505" cy="236220"/>
          <wp:effectExtent l="0" t="0" r="0" b="0"/>
          <wp:wrapNone/>
          <wp:docPr id="9" name="Grafik 9"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1406B">
      <w:rPr>
        <w:rFonts w:ascii="Verdana" w:hAnsi="Verdana"/>
        <w:noProof/>
        <w:snapToGrid w:val="0"/>
        <w:color w:val="999999"/>
        <w:sz w:val="16"/>
        <w:lang w:val="en-GB"/>
      </w:rPr>
      <w:tab/>
    </w:r>
    <w:r w:rsidRPr="0091406B">
      <w:rPr>
        <w:rFonts w:ascii="Verdana" w:hAnsi="Verdana"/>
        <w:noProof/>
        <w:snapToGrid w:val="0"/>
        <w:color w:val="999999"/>
        <w:sz w:val="16"/>
        <w:lang w:val="en-GB"/>
      </w:rPr>
      <w:br/>
      <w:t xml:space="preserve">           WEKA Business Media AG | </w:t>
    </w:r>
    <w:hyperlink r:id="rId2" w:history="1">
      <w:r w:rsidR="00A2656E" w:rsidRPr="0091406B">
        <w:rPr>
          <w:rStyle w:val="Hyperlink"/>
          <w:rFonts w:ascii="Verdana" w:hAnsi="Verdana"/>
          <w:noProof/>
          <w:snapToGrid w:val="0"/>
          <w:sz w:val="16"/>
          <w:lang w:val="en-GB"/>
        </w:rPr>
        <w:t>www.weka.ch</w:t>
      </w:r>
    </w:hyperlink>
    <w:r w:rsidR="00A2656E" w:rsidRPr="0091406B">
      <w:rPr>
        <w:rFonts w:ascii="Verdana" w:hAnsi="Verdana"/>
        <w:noProof/>
        <w:snapToGrid w:val="0"/>
        <w:color w:val="999999"/>
        <w:sz w:val="16"/>
        <w:lang w:val="en-GB"/>
      </w:rPr>
      <w:t xml:space="preserve"> |</w:t>
    </w:r>
    <w:r w:rsidRPr="0091406B">
      <w:rPr>
        <w:rFonts w:ascii="Verdana" w:hAnsi="Verdana"/>
        <w:noProof/>
        <w:snapToGrid w:val="0"/>
        <w:color w:val="999999"/>
        <w:sz w:val="16"/>
        <w:lang w:val="en-GB"/>
      </w:rPr>
      <w:tab/>
    </w:r>
    <w:r>
      <w:rPr>
        <w:rFonts w:ascii="Verdana" w:hAnsi="Verdana"/>
        <w:noProof/>
        <w:color w:val="999999"/>
        <w:sz w:val="16"/>
      </w:rPr>
      <w:fldChar w:fldCharType="begin"/>
    </w:r>
    <w:r w:rsidRPr="0091406B">
      <w:rPr>
        <w:rFonts w:ascii="Verdana" w:hAnsi="Verdana"/>
        <w:noProof/>
        <w:color w:val="999999"/>
        <w:sz w:val="16"/>
        <w:lang w:val="en-GB"/>
      </w:rPr>
      <w:instrText xml:space="preserve"> PAGE </w:instrText>
    </w:r>
    <w:r>
      <w:rPr>
        <w:rFonts w:ascii="Verdana" w:hAnsi="Verdana"/>
        <w:noProof/>
        <w:color w:val="999999"/>
        <w:sz w:val="16"/>
      </w:rPr>
      <w:fldChar w:fldCharType="separate"/>
    </w:r>
    <w:r w:rsidR="0091406B">
      <w:rPr>
        <w:rFonts w:ascii="Verdana" w:hAnsi="Verdana"/>
        <w:noProof/>
        <w:color w:val="999999"/>
        <w:sz w:val="16"/>
        <w:lang w:val="en-GB"/>
      </w:rPr>
      <w:t>1</w:t>
    </w:r>
    <w:r>
      <w:rPr>
        <w:rFonts w:ascii="Verdana" w:hAnsi="Verdana"/>
        <w:noProof/>
        <w:color w:val="999999"/>
        <w:sz w:val="16"/>
      </w:rPr>
      <w:fldChar w:fldCharType="end"/>
    </w:r>
    <w:r w:rsidRPr="0091406B">
      <w:rPr>
        <w:rFonts w:ascii="Verdana" w:hAnsi="Verdana"/>
        <w:noProof/>
        <w:snapToGrid w:val="0"/>
        <w:color w:val="999999"/>
        <w:sz w:val="16"/>
        <w:lang w:val="en-GB"/>
      </w:rPr>
      <w:t>/</w:t>
    </w:r>
    <w:r>
      <w:rPr>
        <w:rFonts w:ascii="Verdana" w:hAnsi="Verdana"/>
        <w:noProof/>
        <w:color w:val="999999"/>
        <w:sz w:val="16"/>
      </w:rPr>
      <w:fldChar w:fldCharType="begin"/>
    </w:r>
    <w:r w:rsidRPr="0091406B">
      <w:rPr>
        <w:rFonts w:ascii="Verdana" w:hAnsi="Verdana"/>
        <w:noProof/>
        <w:color w:val="999999"/>
        <w:sz w:val="16"/>
        <w:lang w:val="en-GB"/>
      </w:rPr>
      <w:instrText xml:space="preserve"> NUMPAGES </w:instrText>
    </w:r>
    <w:r>
      <w:rPr>
        <w:rFonts w:ascii="Verdana" w:hAnsi="Verdana"/>
        <w:noProof/>
        <w:color w:val="999999"/>
        <w:sz w:val="16"/>
      </w:rPr>
      <w:fldChar w:fldCharType="separate"/>
    </w:r>
    <w:r w:rsidR="0091406B">
      <w:rPr>
        <w:rFonts w:ascii="Verdana" w:hAnsi="Verdana"/>
        <w:noProof/>
        <w:color w:val="999999"/>
        <w:sz w:val="16"/>
        <w:lang w:val="en-GB"/>
      </w:rPr>
      <w:t>2</w:t>
    </w:r>
    <w:r>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66E5" w:rsidRDefault="006C66E5">
      <w:r>
        <w:separator/>
      </w:r>
    </w:p>
  </w:footnote>
  <w:footnote w:type="continuationSeparator" w:id="0">
    <w:p w:rsidR="006C66E5" w:rsidRDefault="006C66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926" w:rsidRDefault="00391840">
    <w:pPr>
      <w:rPr>
        <w:sz w:val="16"/>
        <w:lang w:val="fr-CH"/>
      </w:rPr>
    </w:pPr>
    <w:r>
      <w:rPr>
        <w:rFonts w:ascii="Verdana" w:hAnsi="Verdana"/>
        <w:noProof/>
        <w:color w:val="999999"/>
        <w:sz w:val="16"/>
      </w:rPr>
      <mc:AlternateContent>
        <mc:Choice Requires="wps">
          <w:drawing>
            <wp:anchor distT="0" distB="0" distL="114300" distR="114300" simplePos="0" relativeHeight="251657728" behindDoc="0" locked="0" layoutInCell="1" allowOverlap="1" wp14:anchorId="68500A55" wp14:editId="61A93D36">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0B7926">
      <w:rPr>
        <w:rFonts w:ascii="Verdana" w:hAnsi="Verdana"/>
        <w:noProof/>
        <w:color w:val="999999"/>
        <w:sz w:val="16"/>
        <w:lang w:val="fr-CH"/>
      </w:rPr>
      <w:br/>
    </w:r>
    <w:r w:rsidR="00101179">
      <w:rPr>
        <w:rFonts w:ascii="Verdana" w:hAnsi="Verdana"/>
        <w:noProof/>
        <w:color w:val="999999"/>
        <w:sz w:val="16"/>
        <w:lang w:val="fr-CH"/>
      </w:rPr>
      <w:t>Sicherungsübereignung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2">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3">
    <w:nsid w:val="64124977"/>
    <w:multiLevelType w:val="singleLevel"/>
    <w:tmpl w:val="3008FF86"/>
    <w:lvl w:ilvl="0">
      <w:start w:val="1"/>
      <w:numFmt w:val="decimal"/>
      <w:pStyle w:val="HaupttextEinz1"/>
      <w:lvlText w:val="%1."/>
      <w:lvlJc w:val="left"/>
      <w:pPr>
        <w:tabs>
          <w:tab w:val="num" w:pos="454"/>
        </w:tabs>
        <w:ind w:left="454" w:hanging="454"/>
      </w:pPr>
      <w:rPr>
        <w:rFonts w:hint="default"/>
      </w:rPr>
    </w:lvl>
  </w:abstractNum>
  <w:num w:numId="1">
    <w:abstractNumId w:val="3"/>
  </w:num>
  <w:num w:numId="2">
    <w:abstractNumId w:val="2"/>
  </w:num>
  <w:num w:numId="3">
    <w:abstractNumId w:val="0"/>
  </w:num>
  <w:num w:numId="4">
    <w:abstractNumId w:val="1"/>
  </w:num>
  <w:num w:numId="5">
    <w:abstractNumId w:val="3"/>
  </w:num>
  <w:num w:numId="6">
    <w:abstractNumId w:val="3"/>
    <w:lvlOverride w:ilvl="0">
      <w:startOverride w:val="1"/>
    </w:lvlOverride>
  </w:num>
  <w:num w:numId="7">
    <w:abstractNumId w:val="3"/>
    <w:lvlOverride w:ilvl="0">
      <w:startOverride w:val="1"/>
    </w:lvlOverride>
  </w:num>
  <w:num w:numId="8">
    <w:abstractNumId w:val="3"/>
    <w:lvlOverride w:ilvl="0">
      <w:startOverride w:val="1"/>
    </w:lvlOverride>
  </w:num>
  <w:num w:numId="9">
    <w:abstractNumId w:val="3"/>
    <w:lvlOverride w:ilvl="0">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8A7"/>
    <w:rsid w:val="000B7926"/>
    <w:rsid w:val="000F3946"/>
    <w:rsid w:val="000F6069"/>
    <w:rsid w:val="00101179"/>
    <w:rsid w:val="00173DA6"/>
    <w:rsid w:val="001A2EC7"/>
    <w:rsid w:val="002759FA"/>
    <w:rsid w:val="00391840"/>
    <w:rsid w:val="00406F76"/>
    <w:rsid w:val="004F2E4A"/>
    <w:rsid w:val="00641AF7"/>
    <w:rsid w:val="006C66E5"/>
    <w:rsid w:val="007D1353"/>
    <w:rsid w:val="0084662F"/>
    <w:rsid w:val="0085719F"/>
    <w:rsid w:val="008C35ED"/>
    <w:rsid w:val="008F16FC"/>
    <w:rsid w:val="0091406B"/>
    <w:rsid w:val="00A2656E"/>
    <w:rsid w:val="00B3759D"/>
    <w:rsid w:val="00BF7A9A"/>
    <w:rsid w:val="00CE5FB7"/>
    <w:rsid w:val="00D228A7"/>
    <w:rsid w:val="00D9014F"/>
    <w:rsid w:val="00F54A9D"/>
    <w:rsid w:val="00FE0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5"/>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101179"/>
    <w:pPr>
      <w:tabs>
        <w:tab w:val="right" w:pos="4253"/>
        <w:tab w:val="left" w:pos="4536"/>
        <w:tab w:val="right" w:pos="9356"/>
      </w:tabs>
      <w:spacing w:before="120"/>
      <w:jc w:val="left"/>
    </w:pPr>
    <w:rPr>
      <w:rFonts w:ascii="Arial" w:hAnsi="Arial"/>
      <w:lang w:eastAsia="en-US"/>
    </w:rPr>
  </w:style>
  <w:style w:type="paragraph" w:styleId="Liste">
    <w:name w:val="List"/>
    <w:basedOn w:val="Standard"/>
    <w:rsid w:val="00101179"/>
    <w:pPr>
      <w:spacing w:after="0" w:line="240" w:lineRule="auto"/>
      <w:ind w:left="283" w:hanging="283"/>
    </w:pPr>
    <w:rPr>
      <w:rFonts w:ascii="Arial" w:eastAsia="Times New Roman" w:hAnsi="Arial" w:cs="Times New Roman"/>
      <w:sz w:val="20"/>
      <w:szCs w:val="20"/>
      <w:lang w:eastAsia="en-US"/>
    </w:rPr>
  </w:style>
  <w:style w:type="character" w:styleId="Hervorhebung">
    <w:name w:val="Emphasis"/>
    <w:qFormat/>
    <w:rsid w:val="00101179"/>
    <w:rPr>
      <w:rFonts w:ascii="Univers 45 Light" w:hAnsi="Univers 45 Light"/>
    </w:rPr>
  </w:style>
  <w:style w:type="paragraph" w:styleId="Datum">
    <w:name w:val="Date"/>
    <w:basedOn w:val="Standard"/>
    <w:next w:val="Standard"/>
    <w:link w:val="DatumZchn"/>
    <w:rsid w:val="00101179"/>
    <w:pPr>
      <w:spacing w:before="240" w:after="0" w:line="240" w:lineRule="auto"/>
    </w:pPr>
    <w:rPr>
      <w:rFonts w:ascii="Arial" w:eastAsia="Times New Roman" w:hAnsi="Arial" w:cs="Times New Roman"/>
      <w:sz w:val="20"/>
      <w:szCs w:val="20"/>
      <w:lang w:eastAsia="en-US"/>
    </w:rPr>
  </w:style>
  <w:style w:type="character" w:customStyle="1" w:styleId="DatumZchn">
    <w:name w:val="Datum Zchn"/>
    <w:basedOn w:val="Absatz-Standardschriftart"/>
    <w:link w:val="Datum"/>
    <w:rsid w:val="00101179"/>
    <w:rPr>
      <w:rFonts w:ascii="Arial" w:hAnsi="Arial"/>
      <w:lang w:val="de-CH"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5"/>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101179"/>
    <w:pPr>
      <w:tabs>
        <w:tab w:val="right" w:pos="4253"/>
        <w:tab w:val="left" w:pos="4536"/>
        <w:tab w:val="right" w:pos="9356"/>
      </w:tabs>
      <w:spacing w:before="120"/>
      <w:jc w:val="left"/>
    </w:pPr>
    <w:rPr>
      <w:rFonts w:ascii="Arial" w:hAnsi="Arial"/>
      <w:lang w:eastAsia="en-US"/>
    </w:rPr>
  </w:style>
  <w:style w:type="paragraph" w:styleId="Liste">
    <w:name w:val="List"/>
    <w:basedOn w:val="Standard"/>
    <w:rsid w:val="00101179"/>
    <w:pPr>
      <w:spacing w:after="0" w:line="240" w:lineRule="auto"/>
      <w:ind w:left="283" w:hanging="283"/>
    </w:pPr>
    <w:rPr>
      <w:rFonts w:ascii="Arial" w:eastAsia="Times New Roman" w:hAnsi="Arial" w:cs="Times New Roman"/>
      <w:sz w:val="20"/>
      <w:szCs w:val="20"/>
      <w:lang w:eastAsia="en-US"/>
    </w:rPr>
  </w:style>
  <w:style w:type="character" w:styleId="Hervorhebung">
    <w:name w:val="Emphasis"/>
    <w:qFormat/>
    <w:rsid w:val="00101179"/>
    <w:rPr>
      <w:rFonts w:ascii="Univers 45 Light" w:hAnsi="Univers 45 Light"/>
    </w:rPr>
  </w:style>
  <w:style w:type="paragraph" w:styleId="Datum">
    <w:name w:val="Date"/>
    <w:basedOn w:val="Standard"/>
    <w:next w:val="Standard"/>
    <w:link w:val="DatumZchn"/>
    <w:rsid w:val="00101179"/>
    <w:pPr>
      <w:spacing w:before="240" w:after="0" w:line="240" w:lineRule="auto"/>
    </w:pPr>
    <w:rPr>
      <w:rFonts w:ascii="Arial" w:eastAsia="Times New Roman" w:hAnsi="Arial" w:cs="Times New Roman"/>
      <w:sz w:val="20"/>
      <w:szCs w:val="20"/>
      <w:lang w:eastAsia="en-US"/>
    </w:rPr>
  </w:style>
  <w:style w:type="character" w:customStyle="1" w:styleId="DatumZchn">
    <w:name w:val="Datum Zchn"/>
    <w:basedOn w:val="Absatz-Standardschriftart"/>
    <w:link w:val="Datum"/>
    <w:rsid w:val="00101179"/>
    <w:rPr>
      <w:rFonts w:ascii="Arial" w:hAnsi="Arial"/>
      <w:lang w:val="de-C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Toolvorlage_A4_franz.dotm</Template>
  <TotalTime>0</TotalTime>
  <Pages>2</Pages>
  <Words>365</Words>
  <Characters>2490</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Gestion des comptes clés et gestion des relations, une compétence clé</vt:lpstr>
    </vt:vector>
  </TitlesOfParts>
  <Company>WEKA MEDIA GmbH &amp; Co. KG</Company>
  <LinksUpToDate>false</LinksUpToDate>
  <CharactersWithSpaces>2850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