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50" w:rsidRPr="001E35BD" w:rsidRDefault="002E6F50" w:rsidP="002E6F50">
      <w:pPr>
        <w:pStyle w:val="Titel1-Kapiteltitel"/>
        <w:rPr>
          <w:lang w:val="de-DE"/>
        </w:rPr>
      </w:pPr>
      <w:r w:rsidRPr="001E35BD">
        <w:rPr>
          <w:lang w:val="de-DE"/>
        </w:rPr>
        <w:t>Verpfründungsvertrag</w:t>
      </w:r>
    </w:p>
    <w:p w:rsidR="002E6F50" w:rsidRPr="001E35BD" w:rsidRDefault="002E6F50" w:rsidP="002E6F50">
      <w:pPr>
        <w:pStyle w:val="Titel2"/>
      </w:pPr>
      <w:r w:rsidRPr="001E35BD">
        <w:t>I.</w:t>
      </w:r>
      <w:r w:rsidRPr="001E35BD">
        <w:tab/>
        <w:t>Parteien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  <w:rPr>
          <w:rStyle w:val="Hervorhebung"/>
          <w:rFonts w:ascii="Verdana" w:hAnsi="Verdana" w:cs="Arial"/>
        </w:rPr>
      </w:pPr>
      <w:r w:rsidRPr="001E35BD">
        <w:t>Pfründer:</w:t>
      </w:r>
      <w:r w:rsidRPr="001E35BD">
        <w:br/>
      </w:r>
      <w:r w:rsidRPr="001E35BD">
        <w:rPr>
          <w:rStyle w:val="Hervorhebung"/>
          <w:rFonts w:ascii="Verdana" w:hAnsi="Verdana" w:cs="Arial"/>
        </w:rPr>
        <w:t xml:space="preserve">Josef Koller-Müller, geb. 9.9.xxxx, von Willisau-Land, Rentner, </w:t>
      </w:r>
      <w:proofErr w:type="spellStart"/>
      <w:r w:rsidRPr="001E35BD">
        <w:rPr>
          <w:rStyle w:val="Hervorhebung"/>
          <w:rFonts w:ascii="Verdana" w:hAnsi="Verdana" w:cs="Arial"/>
        </w:rPr>
        <w:t>Rigistrasse</w:t>
      </w:r>
      <w:proofErr w:type="spellEnd"/>
      <w:r w:rsidRPr="001E35BD">
        <w:rPr>
          <w:rStyle w:val="Hervorhebung"/>
          <w:rFonts w:ascii="Verdana" w:hAnsi="Verdana" w:cs="Arial"/>
        </w:rPr>
        <w:t xml:space="preserve"> 10, 6005 Luzern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  <w:rPr>
          <w:rStyle w:val="Hervorhebung"/>
          <w:rFonts w:ascii="Verdana" w:hAnsi="Verdana" w:cs="Arial"/>
        </w:rPr>
      </w:pPr>
      <w:proofErr w:type="spellStart"/>
      <w:r w:rsidRPr="001E35BD">
        <w:t>Pfrundgeber</w:t>
      </w:r>
      <w:proofErr w:type="spellEnd"/>
      <w:r w:rsidRPr="001E35BD">
        <w:t>:</w:t>
      </w:r>
      <w:r w:rsidRPr="001E35BD">
        <w:br/>
      </w:r>
      <w:r w:rsidRPr="001E35BD">
        <w:rPr>
          <w:rStyle w:val="Hervorhebung"/>
          <w:rFonts w:ascii="Verdana" w:hAnsi="Verdana" w:cs="Arial"/>
        </w:rPr>
        <w:t xml:space="preserve">Kurt Koller-Wigger, geb. 21.3.xxxx, von Willisau-Land, Versicherungsexperte, </w:t>
      </w:r>
      <w:proofErr w:type="spellStart"/>
      <w:r w:rsidRPr="001E35BD">
        <w:rPr>
          <w:rStyle w:val="Hervorhebung"/>
          <w:rFonts w:ascii="Verdana" w:hAnsi="Verdana" w:cs="Arial"/>
        </w:rPr>
        <w:t>Rigistrasse</w:t>
      </w:r>
      <w:proofErr w:type="spellEnd"/>
      <w:r w:rsidRPr="001E35BD">
        <w:rPr>
          <w:rStyle w:val="Hervorhebung"/>
          <w:rFonts w:ascii="Verdana" w:hAnsi="Verdana" w:cs="Arial"/>
        </w:rPr>
        <w:t xml:space="preserve"> 10, 6005 Luzern</w:t>
      </w:r>
    </w:p>
    <w:p w:rsidR="002E6F50" w:rsidRPr="001E35BD" w:rsidRDefault="002E6F50" w:rsidP="002E6F50">
      <w:pPr>
        <w:pStyle w:val="Titel2"/>
      </w:pPr>
      <w:r w:rsidRPr="001E35BD">
        <w:t>II.</w:t>
      </w:r>
      <w:r w:rsidRPr="001E35BD">
        <w:tab/>
        <w:t>Präambel</w:t>
      </w:r>
    </w:p>
    <w:p w:rsidR="002E6F50" w:rsidRPr="001E35BD" w:rsidRDefault="002E6F50" w:rsidP="001E35BD">
      <w:pPr>
        <w:pStyle w:val="HaupttextEinz1"/>
        <w:numPr>
          <w:ilvl w:val="0"/>
          <w:numId w:val="44"/>
        </w:numPr>
        <w:tabs>
          <w:tab w:val="clear" w:pos="397"/>
          <w:tab w:val="clear" w:pos="454"/>
        </w:tabs>
        <w:ind w:left="709" w:hanging="709"/>
      </w:pPr>
      <w:r w:rsidRPr="001E35BD">
        <w:t>Josef Koller ist verwitwet und wohnt zusammen mit seinem Sohn Kurt Koller und dessen F</w:t>
      </w:r>
      <w:r w:rsidRPr="001E35BD">
        <w:t>a</w:t>
      </w:r>
      <w:r w:rsidRPr="001E35BD">
        <w:t xml:space="preserve">milie in Hausgemeinschaft in seinem Einfamilienhaus an </w:t>
      </w:r>
      <w:r w:rsidRPr="001E35BD">
        <w:rPr>
          <w:rFonts w:cs="Arial"/>
        </w:rPr>
        <w:t xml:space="preserve">der </w:t>
      </w:r>
      <w:proofErr w:type="spellStart"/>
      <w:r w:rsidRPr="001E35BD">
        <w:rPr>
          <w:rStyle w:val="Hervorhebung"/>
          <w:rFonts w:ascii="Verdana" w:hAnsi="Verdana" w:cs="Arial"/>
        </w:rPr>
        <w:t>Rigistrasse</w:t>
      </w:r>
      <w:proofErr w:type="spellEnd"/>
      <w:r w:rsidRPr="001E35BD">
        <w:rPr>
          <w:rStyle w:val="Hervorhebung"/>
          <w:rFonts w:ascii="Verdana" w:hAnsi="Verdana" w:cs="Arial"/>
        </w:rPr>
        <w:t xml:space="preserve"> 10 in Luzern</w:t>
      </w:r>
      <w:r w:rsidRPr="001E35BD">
        <w:rPr>
          <w:rFonts w:cs="Arial"/>
        </w:rPr>
        <w:t>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>Mit dem vorliegenden Vertrag soll einerseits das im Eigentum des Pfründers stehende Ei</w:t>
      </w:r>
      <w:r w:rsidRPr="001E35BD">
        <w:t>n</w:t>
      </w:r>
      <w:r w:rsidRPr="001E35BD">
        <w:t>familienhaus auf den Sohn übertragen werden, anderseits die bisherige Lebensgemei</w:t>
      </w:r>
      <w:r w:rsidRPr="001E35BD">
        <w:t>n</w:t>
      </w:r>
      <w:r w:rsidRPr="001E35BD">
        <w:t xml:space="preserve">schaft im Sinne eines </w:t>
      </w:r>
      <w:proofErr w:type="spellStart"/>
      <w:r w:rsidRPr="001E35BD">
        <w:t>Pfrundverhältnisses</w:t>
      </w:r>
      <w:proofErr w:type="spellEnd"/>
      <w:r w:rsidRPr="001E35BD">
        <w:t xml:space="preserve"> weitergeführt werden.</w:t>
      </w:r>
    </w:p>
    <w:p w:rsidR="002E6F50" w:rsidRPr="001E35BD" w:rsidRDefault="002E6F50" w:rsidP="002E6F50">
      <w:pPr>
        <w:pStyle w:val="Titel2"/>
      </w:pPr>
      <w:r w:rsidRPr="001E35BD">
        <w:t>III.</w:t>
      </w:r>
      <w:r w:rsidRPr="001E35BD">
        <w:tab/>
        <w:t>Leistung des Pfründers</w:t>
      </w:r>
    </w:p>
    <w:p w:rsidR="002E6F50" w:rsidRPr="001E35BD" w:rsidRDefault="002E6F50" w:rsidP="001E35BD">
      <w:pPr>
        <w:pStyle w:val="HaupttextEinz1"/>
        <w:numPr>
          <w:ilvl w:val="0"/>
          <w:numId w:val="45"/>
        </w:numPr>
        <w:tabs>
          <w:tab w:val="clear" w:pos="397"/>
          <w:tab w:val="clear" w:pos="454"/>
        </w:tabs>
        <w:ind w:left="709" w:hanging="709"/>
      </w:pPr>
      <w:r w:rsidRPr="001E35BD">
        <w:t xml:space="preserve">Der Pfründer überträgt hiermit dem </w:t>
      </w:r>
      <w:proofErr w:type="spellStart"/>
      <w:r w:rsidRPr="001E35BD">
        <w:t>Pfrundgeber</w:t>
      </w:r>
      <w:proofErr w:type="spellEnd"/>
      <w:r w:rsidRPr="001E35BD">
        <w:t xml:space="preserve"> das </w:t>
      </w:r>
      <w:r w:rsidRPr="001E35BD">
        <w:rPr>
          <w:rStyle w:val="Hervorhebung"/>
          <w:rFonts w:ascii="Verdana" w:hAnsi="Verdana" w:cs="Arial"/>
        </w:rPr>
        <w:t xml:space="preserve">Grundstück Nr. 65, </w:t>
      </w:r>
      <w:proofErr w:type="spellStart"/>
      <w:r w:rsidRPr="001E35BD">
        <w:rPr>
          <w:rStyle w:val="Hervorhebung"/>
          <w:rFonts w:ascii="Verdana" w:hAnsi="Verdana" w:cs="Arial"/>
        </w:rPr>
        <w:t>Rigistrasse</w:t>
      </w:r>
      <w:proofErr w:type="spellEnd"/>
      <w:r w:rsidRPr="001E35BD">
        <w:rPr>
          <w:rStyle w:val="Hervorhebung"/>
          <w:rFonts w:ascii="Verdana" w:hAnsi="Verdana" w:cs="Arial"/>
        </w:rPr>
        <w:t xml:space="preserve"> 10, Grundbuch Luzern,</w:t>
      </w:r>
      <w:r w:rsidRPr="001E35BD">
        <w:t xml:space="preserve"> zu Eigentum.(Nähere Beschreibung des Grundstückes </w:t>
      </w:r>
      <w:proofErr w:type="spellStart"/>
      <w:r w:rsidRPr="001E35BD">
        <w:t>gemäss</w:t>
      </w:r>
      <w:proofErr w:type="spellEnd"/>
      <w:r w:rsidRPr="001E35BD">
        <w:t xml:space="preserve"> Grun</w:t>
      </w:r>
      <w:r w:rsidRPr="001E35BD">
        <w:t>d</w:t>
      </w:r>
      <w:r w:rsidRPr="001E35BD">
        <w:t>buc</w:t>
      </w:r>
      <w:r w:rsidRPr="001E35BD">
        <w:t>h</w:t>
      </w:r>
      <w:r w:rsidRPr="001E35BD">
        <w:t>eintrag.)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Nutzen und Schaden gehen auf das Datum des heutigen Vertragsabschlusses auf den </w:t>
      </w:r>
      <w:proofErr w:type="spellStart"/>
      <w:r w:rsidRPr="001E35BD">
        <w:t>Pfrundgeber</w:t>
      </w:r>
      <w:proofErr w:type="spellEnd"/>
      <w:r w:rsidRPr="001E35BD">
        <w:t xml:space="preserve"> über.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Verkehrswert dieser Liegenschaft beträgt laut Schätzung des Architekturbüros </w:t>
      </w:r>
      <w:r w:rsidRPr="001E35BD">
        <w:rPr>
          <w:rStyle w:val="Hervorhebung"/>
          <w:rFonts w:ascii="Verdana" w:hAnsi="Verdana" w:cs="Arial"/>
        </w:rPr>
        <w:t>Balmer, L</w:t>
      </w:r>
      <w:r w:rsidRPr="001E35BD">
        <w:rPr>
          <w:rStyle w:val="Hervorhebung"/>
          <w:rFonts w:ascii="Verdana" w:hAnsi="Verdana" w:cs="Arial"/>
        </w:rPr>
        <w:t>u</w:t>
      </w:r>
      <w:r w:rsidRPr="001E35BD">
        <w:rPr>
          <w:rStyle w:val="Hervorhebung"/>
          <w:rFonts w:ascii="Verdana" w:hAnsi="Verdana" w:cs="Arial"/>
        </w:rPr>
        <w:t>zern, vom 21.6.xxxx CHF 520 000</w:t>
      </w:r>
      <w:proofErr w:type="gramStart"/>
      <w:r w:rsidRPr="001E35BD">
        <w:rPr>
          <w:rStyle w:val="Hervorhebung"/>
          <w:rFonts w:ascii="Verdana" w:hAnsi="Verdana" w:cs="Arial"/>
        </w:rPr>
        <w:t>.–</w:t>
      </w:r>
      <w:proofErr w:type="gramEnd"/>
      <w:r w:rsidRPr="001E35BD">
        <w:rPr>
          <w:rStyle w:val="Hervorhebung"/>
          <w:rFonts w:ascii="Verdana" w:hAnsi="Verdana" w:cs="Arial"/>
        </w:rPr>
        <w:t>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</w:t>
      </w:r>
      <w:proofErr w:type="spellStart"/>
      <w:r w:rsidRPr="001E35BD">
        <w:t>Pfrundgeber</w:t>
      </w:r>
      <w:proofErr w:type="spellEnd"/>
      <w:r w:rsidRPr="001E35BD">
        <w:t xml:space="preserve"> hat für die Übertragung des Grundstückes keine Zahlung zu leisten. S</w:t>
      </w:r>
      <w:r w:rsidRPr="001E35BD">
        <w:t>o</w:t>
      </w:r>
      <w:r w:rsidRPr="001E35BD">
        <w:t>weit der Wert der Liegenschaft (nach Abzug der Grundpfandschulden) bis zum Tode des Pfründers nicht durch die nachfolgend vereinbarten Gegenleistungen abgegolten wird, ist die Liege</w:t>
      </w:r>
      <w:r w:rsidRPr="001E35BD">
        <w:t>n</w:t>
      </w:r>
      <w:r w:rsidRPr="001E35BD">
        <w:t xml:space="preserve">schaftsübertragung dem </w:t>
      </w:r>
      <w:proofErr w:type="spellStart"/>
      <w:r w:rsidRPr="001E35BD">
        <w:t>Pfrundgeber</w:t>
      </w:r>
      <w:proofErr w:type="spellEnd"/>
      <w:r w:rsidRPr="001E35BD">
        <w:t xml:space="preserve"> als Erbvorempfang anzurechnen.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</w:t>
      </w:r>
      <w:proofErr w:type="spellStart"/>
      <w:r w:rsidRPr="001E35BD">
        <w:t>Pfrundgeber</w:t>
      </w:r>
      <w:proofErr w:type="spellEnd"/>
      <w:r w:rsidRPr="001E35BD">
        <w:t xml:space="preserve"> hat die auf dem Grundstück lastenden Grundpfandschulden in der Höhe von </w:t>
      </w:r>
      <w:r w:rsidRPr="001E35BD">
        <w:rPr>
          <w:rStyle w:val="Hervorhebung"/>
          <w:rFonts w:ascii="Verdana" w:hAnsi="Verdana" w:cs="Arial"/>
        </w:rPr>
        <w:t>CHF 170‘000</w:t>
      </w:r>
      <w:proofErr w:type="gramStart"/>
      <w:r w:rsidRPr="001E35BD">
        <w:rPr>
          <w:rStyle w:val="Hervorhebung"/>
          <w:rFonts w:ascii="Verdana" w:hAnsi="Verdana" w:cs="Arial"/>
        </w:rPr>
        <w:t>.–</w:t>
      </w:r>
      <w:proofErr w:type="gramEnd"/>
      <w:r w:rsidRPr="001E35BD">
        <w:t xml:space="preserve"> zu übernehmen.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Die Liegenschaft wird vom </w:t>
      </w:r>
      <w:proofErr w:type="spellStart"/>
      <w:r w:rsidRPr="001E35BD">
        <w:t>Pfrundgeber</w:t>
      </w:r>
      <w:proofErr w:type="spellEnd"/>
      <w:r w:rsidRPr="001E35BD">
        <w:t xml:space="preserve"> im heutigen Zustand übernommen. Der Pfründer haftet nicht für die bereits bestehenden Mängel an den Gebäulichkeiten.</w:t>
      </w:r>
    </w:p>
    <w:p w:rsidR="002E6F50" w:rsidRPr="001E35BD" w:rsidRDefault="002E6F50" w:rsidP="002E6F50">
      <w:pPr>
        <w:pStyle w:val="Titel2"/>
      </w:pPr>
      <w:r w:rsidRPr="001E35BD">
        <w:t>IV.</w:t>
      </w:r>
      <w:r w:rsidRPr="001E35BD">
        <w:tab/>
        <w:t xml:space="preserve">Leistung des </w:t>
      </w:r>
      <w:proofErr w:type="spellStart"/>
      <w:r w:rsidRPr="001E35BD">
        <w:t>Pfrundgebers</w:t>
      </w:r>
      <w:proofErr w:type="spellEnd"/>
    </w:p>
    <w:p w:rsidR="002E6F50" w:rsidRPr="001E35BD" w:rsidRDefault="002E6F50" w:rsidP="001E35BD">
      <w:pPr>
        <w:pStyle w:val="HaupttextEinz1"/>
        <w:numPr>
          <w:ilvl w:val="0"/>
          <w:numId w:val="46"/>
        </w:numPr>
        <w:tabs>
          <w:tab w:val="clear" w:pos="397"/>
          <w:tab w:val="clear" w:pos="454"/>
        </w:tabs>
        <w:ind w:left="709" w:hanging="709"/>
      </w:pPr>
      <w:r w:rsidRPr="001E35BD">
        <w:t xml:space="preserve">Der </w:t>
      </w:r>
      <w:proofErr w:type="spellStart"/>
      <w:r w:rsidRPr="001E35BD">
        <w:t>Pfrundgeber</w:t>
      </w:r>
      <w:proofErr w:type="spellEnd"/>
      <w:r w:rsidRPr="001E35BD">
        <w:t xml:space="preserve"> verpflichtet sich ein die </w:t>
      </w:r>
      <w:proofErr w:type="spellStart"/>
      <w:r w:rsidRPr="001E35BD">
        <w:t>Verpründungsleistungen</w:t>
      </w:r>
      <w:proofErr w:type="spellEnd"/>
      <w:r w:rsidRPr="001E35BD">
        <w:t xml:space="preserve"> aus dem Vertrag decke</w:t>
      </w:r>
      <w:r w:rsidRPr="001E35BD">
        <w:t>n</w:t>
      </w:r>
      <w:r w:rsidRPr="001E35BD">
        <w:t>des Pfandrecht an zweiter Stelle zu erstellen und in das Grundbuch einschreiben zu la</w:t>
      </w:r>
      <w:r w:rsidRPr="001E35BD">
        <w:t>s</w:t>
      </w:r>
      <w:r w:rsidRPr="001E35BD">
        <w:t xml:space="preserve">sen.[Der Pfründer hat zwar einen gesetzlichen Anspruch auf Eintragung eines Pfandrechtes </w:t>
      </w:r>
      <w:proofErr w:type="spellStart"/>
      <w:r w:rsidRPr="001E35BD">
        <w:t>gemäss</w:t>
      </w:r>
      <w:proofErr w:type="spellEnd"/>
      <w:r w:rsidRPr="001E35BD">
        <w:t xml:space="preserve"> Art. 523 OR, da er dem </w:t>
      </w:r>
      <w:proofErr w:type="spellStart"/>
      <w:r w:rsidRPr="001E35BD">
        <w:t>Pfrundgeber</w:t>
      </w:r>
      <w:proofErr w:type="spellEnd"/>
      <w:r w:rsidRPr="001E35BD">
        <w:t xml:space="preserve"> ein Grundstück überträgt, dieser Anspruch kann j</w:t>
      </w:r>
      <w:r w:rsidRPr="001E35BD">
        <w:t>e</w:t>
      </w:r>
      <w:r w:rsidRPr="001E35BD">
        <w:t>doch auch schon in den Vertrag eingefügt werden]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</w:t>
      </w:r>
      <w:proofErr w:type="spellStart"/>
      <w:r w:rsidRPr="001E35BD">
        <w:t>Pfrundgeber</w:t>
      </w:r>
      <w:proofErr w:type="spellEnd"/>
      <w:r w:rsidRPr="001E35BD">
        <w:t xml:space="preserve"> verpflichtet sich, dem Pfründer auf Lebenszeit Obdach, Nahrung und Pfl</w:t>
      </w:r>
      <w:r w:rsidRPr="001E35BD">
        <w:t>e</w:t>
      </w:r>
      <w:r w:rsidRPr="001E35BD">
        <w:t>ge zu gewähren.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Pfründer ist berechtigt, weiterhin in häuslicher Gemeinschaft mit dem </w:t>
      </w:r>
      <w:proofErr w:type="spellStart"/>
      <w:r w:rsidRPr="001E35BD">
        <w:t>Pfrundgeber</w:t>
      </w:r>
      <w:proofErr w:type="spellEnd"/>
      <w:r w:rsidRPr="001E35BD">
        <w:t xml:space="preserve"> und dessen Familie entsprechend den bisherigen Verhältnissen zu leben und sich dort unen</w:t>
      </w:r>
      <w:r w:rsidRPr="001E35BD">
        <w:t>t</w:t>
      </w:r>
      <w:r w:rsidRPr="001E35BD">
        <w:t xml:space="preserve">geltlich verköstigen zu lassen. Das Wohnrecht erstreckt sich auf die </w:t>
      </w:r>
      <w:proofErr w:type="spellStart"/>
      <w:r w:rsidRPr="001E35BD">
        <w:t>ausschliessliche</w:t>
      </w:r>
      <w:proofErr w:type="spellEnd"/>
      <w:r w:rsidRPr="001E35BD">
        <w:t xml:space="preserve"> Benü</w:t>
      </w:r>
      <w:r w:rsidRPr="001E35BD">
        <w:t>t</w:t>
      </w:r>
      <w:r w:rsidRPr="001E35BD">
        <w:lastRenderedPageBreak/>
        <w:t>zung eines Schlafzimmers, sowie auf ein Mitbenützungsrecht an allen gemeinsamen Rä</w:t>
      </w:r>
      <w:r w:rsidRPr="001E35BD">
        <w:t>u</w:t>
      </w:r>
      <w:r w:rsidRPr="001E35BD">
        <w:t>men (Küche, St</w:t>
      </w:r>
      <w:r w:rsidRPr="001E35BD">
        <w:t>u</w:t>
      </w:r>
      <w:r w:rsidRPr="001E35BD">
        <w:t>be, Keller, Estrich usw.)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>Sämtliche laufenden Unterhaltskosten für die Liegenschaft (Steuern und Abgaben, He</w:t>
      </w:r>
      <w:r w:rsidRPr="001E35BD">
        <w:t>i</w:t>
      </w:r>
      <w:r w:rsidRPr="001E35BD">
        <w:t xml:space="preserve">zungskosten, Reparaturen usw.) sind vom </w:t>
      </w:r>
      <w:proofErr w:type="spellStart"/>
      <w:r w:rsidRPr="001E35BD">
        <w:t>Pfrundgeber</w:t>
      </w:r>
      <w:proofErr w:type="spellEnd"/>
      <w:r w:rsidRPr="001E35BD">
        <w:t xml:space="preserve"> zu übernehmen.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Der </w:t>
      </w:r>
      <w:proofErr w:type="spellStart"/>
      <w:r w:rsidRPr="001E35BD">
        <w:t>Pfrundgeber</w:t>
      </w:r>
      <w:proofErr w:type="spellEnd"/>
      <w:r w:rsidRPr="001E35BD">
        <w:t xml:space="preserve"> bzw. seine Ehefrau hat für die Reinigung und Pflege der Kleider und W</w:t>
      </w:r>
      <w:r w:rsidRPr="001E35BD">
        <w:t>ä</w:t>
      </w:r>
      <w:r w:rsidRPr="001E35BD">
        <w:t xml:space="preserve">sche des Pfründers zu sorgen. Die Anschaffung neuer Kleider geht hingegen zulasten </w:t>
      </w:r>
      <w:proofErr w:type="gramStart"/>
      <w:r w:rsidRPr="001E35BD">
        <w:t>des Pfrü</w:t>
      </w:r>
      <w:r w:rsidRPr="001E35BD">
        <w:t>n</w:t>
      </w:r>
      <w:r w:rsidRPr="001E35BD">
        <w:t>ders</w:t>
      </w:r>
      <w:proofErr w:type="gramEnd"/>
      <w:r w:rsidRPr="001E35BD">
        <w:t>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Im Krankheitsfalle hat der </w:t>
      </w:r>
      <w:proofErr w:type="spellStart"/>
      <w:r w:rsidRPr="001E35BD">
        <w:t>Pfrundgeber</w:t>
      </w:r>
      <w:proofErr w:type="spellEnd"/>
      <w:r w:rsidRPr="001E35BD">
        <w:t xml:space="preserve"> den Pfründer zu pflegen und zu betreuen. Die Arzt- und Spitalkosten sind von ihm zu übernehmen, soweit sie nicht durch die Krankenkasse oder durch eine Versicherung gedeckt sind.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Sollte für den Pfründer der Aufenthalt in einem Pflegeheim notwendig werden, hat der </w:t>
      </w:r>
      <w:proofErr w:type="spellStart"/>
      <w:r w:rsidRPr="001E35BD">
        <w:t>Pfrundgeber</w:t>
      </w:r>
      <w:proofErr w:type="spellEnd"/>
      <w:r w:rsidRPr="001E35BD">
        <w:t xml:space="preserve"> für die Kosten des Pflegeheimes nur insoweit aufzukommen, als die AHV-Rente des Pfründers dafür nicht ausreicht.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Im Hinblick auf die erbrechtliche Auseinandersetzung nach dem Tode des Pfründers halten die Parteien fest, dass die Unterhalts- und Pflegeleistungen des </w:t>
      </w:r>
      <w:proofErr w:type="spellStart"/>
      <w:r w:rsidRPr="001E35BD">
        <w:t>Pfrundgebers</w:t>
      </w:r>
      <w:proofErr w:type="spellEnd"/>
      <w:r w:rsidRPr="001E35BD">
        <w:t xml:space="preserve"> </w:t>
      </w:r>
      <w:proofErr w:type="spellStart"/>
      <w:r w:rsidRPr="001E35BD">
        <w:t>gemäss</w:t>
      </w:r>
      <w:proofErr w:type="spellEnd"/>
      <w:r w:rsidRPr="001E35BD">
        <w:t xml:space="preserve"> di</w:t>
      </w:r>
      <w:r w:rsidRPr="001E35BD">
        <w:t>e</w:t>
      </w:r>
      <w:r w:rsidRPr="001E35BD">
        <w:t xml:space="preserve">sem Vertrag mit </w:t>
      </w:r>
      <w:r w:rsidRPr="001E35BD">
        <w:rPr>
          <w:rFonts w:cs="Arial"/>
        </w:rPr>
        <w:t xml:space="preserve">monatlich </w:t>
      </w:r>
      <w:r w:rsidR="001E35BD">
        <w:rPr>
          <w:rStyle w:val="Hervorhebung"/>
          <w:rFonts w:ascii="Verdana" w:hAnsi="Verdana" w:cs="Arial"/>
        </w:rPr>
        <w:t>CHF 1</w:t>
      </w:r>
      <w:r w:rsidRPr="001E35BD">
        <w:rPr>
          <w:rStyle w:val="Hervorhebung"/>
          <w:rFonts w:ascii="Verdana" w:hAnsi="Verdana" w:cs="Arial"/>
        </w:rPr>
        <w:t>900</w:t>
      </w:r>
      <w:proofErr w:type="gramStart"/>
      <w:r w:rsidRPr="001E35BD">
        <w:rPr>
          <w:rStyle w:val="Hervorhebung"/>
          <w:rFonts w:ascii="Verdana" w:hAnsi="Verdana" w:cs="Arial"/>
        </w:rPr>
        <w:t>.–</w:t>
      </w:r>
      <w:proofErr w:type="gramEnd"/>
      <w:r w:rsidRPr="001E35BD">
        <w:rPr>
          <w:rFonts w:cs="Arial"/>
        </w:rPr>
        <w:t xml:space="preserve"> zu</w:t>
      </w:r>
      <w:r w:rsidRPr="001E35BD">
        <w:t xml:space="preserve"> bewerten sind. Dieser Betrag ist entsprechend dem Lebenskostenindex laufend der Teuerung anzupassen. </w:t>
      </w:r>
      <w:proofErr w:type="spellStart"/>
      <w:r w:rsidRPr="001E35BD">
        <w:t>Ausserordentliche</w:t>
      </w:r>
      <w:proofErr w:type="spellEnd"/>
      <w:r w:rsidRPr="001E35BD">
        <w:t xml:space="preserve"> und übe</w:t>
      </w:r>
      <w:r w:rsidRPr="001E35BD">
        <w:t>r</w:t>
      </w:r>
      <w:r w:rsidRPr="001E35BD">
        <w:t xml:space="preserve">durchschnittliche Leistungen des </w:t>
      </w:r>
      <w:proofErr w:type="spellStart"/>
      <w:r w:rsidRPr="001E35BD">
        <w:t>Pfrundgebers</w:t>
      </w:r>
      <w:proofErr w:type="spellEnd"/>
      <w:r w:rsidRPr="001E35BD">
        <w:t xml:space="preserve"> können zusätzlich berechnet werden.</w:t>
      </w:r>
    </w:p>
    <w:p w:rsidR="002E6F50" w:rsidRPr="001E35BD" w:rsidRDefault="002E6F50" w:rsidP="002E6F50">
      <w:pPr>
        <w:pStyle w:val="Titel2"/>
      </w:pPr>
      <w:r w:rsidRPr="001E35BD">
        <w:t>V.</w:t>
      </w:r>
      <w:r w:rsidRPr="001E35BD">
        <w:tab/>
        <w:t>Beendigung</w:t>
      </w:r>
    </w:p>
    <w:p w:rsidR="002E6F50" w:rsidRPr="001E35BD" w:rsidRDefault="002E6F50" w:rsidP="001E35BD">
      <w:pPr>
        <w:pStyle w:val="HaupttextEinz1"/>
        <w:numPr>
          <w:ilvl w:val="0"/>
          <w:numId w:val="47"/>
        </w:numPr>
        <w:tabs>
          <w:tab w:val="clear" w:pos="397"/>
          <w:tab w:val="clear" w:pos="454"/>
        </w:tabs>
        <w:ind w:left="709" w:hanging="709"/>
      </w:pPr>
      <w:r w:rsidRPr="001E35BD">
        <w:t xml:space="preserve">Der Pfründer ist jederzeit berechtigt, die Wohngemeinschaft mit dem </w:t>
      </w:r>
      <w:proofErr w:type="spellStart"/>
      <w:r w:rsidRPr="001E35BD">
        <w:t>Pfrundgeber</w:t>
      </w:r>
      <w:proofErr w:type="spellEnd"/>
      <w:r w:rsidRPr="001E35BD">
        <w:t xml:space="preserve"> und se</w:t>
      </w:r>
      <w:r w:rsidRPr="001E35BD">
        <w:t>i</w:t>
      </w:r>
      <w:r w:rsidRPr="001E35BD">
        <w:t xml:space="preserve">ner Familie aufzuheben und eine eigene Wohnung zu beziehen oder sich in ein Altersheim zu begeben. In diesem Fall hat der </w:t>
      </w:r>
      <w:proofErr w:type="spellStart"/>
      <w:r w:rsidRPr="001E35BD">
        <w:rPr>
          <w:rFonts w:cs="Arial"/>
        </w:rPr>
        <w:t>Pfrundgeber</w:t>
      </w:r>
      <w:proofErr w:type="spellEnd"/>
      <w:r w:rsidRPr="001E35BD">
        <w:rPr>
          <w:rFonts w:cs="Arial"/>
        </w:rPr>
        <w:t xml:space="preserve"> anstelle der bisherigen Unterhaltsleistu</w:t>
      </w:r>
      <w:r w:rsidRPr="001E35BD">
        <w:rPr>
          <w:rFonts w:cs="Arial"/>
        </w:rPr>
        <w:t>n</w:t>
      </w:r>
      <w:r w:rsidRPr="001E35BD">
        <w:rPr>
          <w:rFonts w:cs="Arial"/>
        </w:rPr>
        <w:t xml:space="preserve">gen eine Leibrente von monatlich CHF </w:t>
      </w:r>
      <w:r w:rsidR="001E35BD">
        <w:rPr>
          <w:rStyle w:val="Hervorhebung"/>
          <w:rFonts w:ascii="Verdana" w:hAnsi="Verdana" w:cs="Arial"/>
        </w:rPr>
        <w:t>1</w:t>
      </w:r>
      <w:r w:rsidRPr="001E35BD">
        <w:rPr>
          <w:rStyle w:val="Hervorhebung"/>
          <w:rFonts w:ascii="Verdana" w:hAnsi="Verdana" w:cs="Arial"/>
        </w:rPr>
        <w:t>200</w:t>
      </w:r>
      <w:proofErr w:type="gramStart"/>
      <w:r w:rsidR="001E35BD">
        <w:rPr>
          <w:rStyle w:val="Hervorhebung"/>
          <w:rFonts w:ascii="Verdana" w:hAnsi="Verdana" w:cs="Arial"/>
        </w:rPr>
        <w:t>.–</w:t>
      </w:r>
      <w:proofErr w:type="gramEnd"/>
      <w:r w:rsidRPr="001E35BD">
        <w:rPr>
          <w:rFonts w:cs="Arial"/>
        </w:rPr>
        <w:t xml:space="preserve"> zu</w:t>
      </w:r>
      <w:r w:rsidRPr="001E35BD">
        <w:t xml:space="preserve"> bezahlen.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Sollte der </w:t>
      </w:r>
      <w:proofErr w:type="spellStart"/>
      <w:r w:rsidRPr="001E35BD">
        <w:t>Pfrundgeber</w:t>
      </w:r>
      <w:proofErr w:type="spellEnd"/>
      <w:r w:rsidRPr="001E35BD">
        <w:t xml:space="preserve"> vor dem Pfründer versterben, sind seine Erben berechtigt, die häu</w:t>
      </w:r>
      <w:r w:rsidRPr="001E35BD">
        <w:t>s</w:t>
      </w:r>
      <w:r w:rsidRPr="001E35BD">
        <w:t xml:space="preserve">liche Gemeinschaft unter Einhaltung einer Kündigungsfrist von sechs Monaten aufzuheben, wenn sie darzulegen vermögen, dass eine Fortsetzung des </w:t>
      </w:r>
      <w:proofErr w:type="spellStart"/>
      <w:r w:rsidRPr="001E35BD">
        <w:t>Pfrundverhältnisses</w:t>
      </w:r>
      <w:proofErr w:type="spellEnd"/>
      <w:r w:rsidRPr="001E35BD">
        <w:t xml:space="preserve"> für sie mit unzumutbaren </w:t>
      </w:r>
      <w:r w:rsidRPr="001E35BD">
        <w:rPr>
          <w:rFonts w:cs="Arial"/>
        </w:rPr>
        <w:t>Erschwernissen verbunden ist. In diesem Fall ist dem Pfründer eine Leibre</w:t>
      </w:r>
      <w:r w:rsidRPr="001E35BD">
        <w:rPr>
          <w:rFonts w:cs="Arial"/>
        </w:rPr>
        <w:t>n</w:t>
      </w:r>
      <w:r w:rsidRPr="001E35BD">
        <w:rPr>
          <w:rFonts w:cs="Arial"/>
        </w:rPr>
        <w:t xml:space="preserve">te </w:t>
      </w:r>
      <w:r w:rsidR="001E35BD">
        <w:rPr>
          <w:rStyle w:val="Hervorhebung"/>
          <w:rFonts w:ascii="Verdana" w:hAnsi="Verdana" w:cs="Arial"/>
        </w:rPr>
        <w:t>von monatlich CHF 1</w:t>
      </w:r>
      <w:r w:rsidRPr="001E35BD">
        <w:rPr>
          <w:rStyle w:val="Hervorhebung"/>
          <w:rFonts w:ascii="Verdana" w:hAnsi="Verdana" w:cs="Arial"/>
        </w:rPr>
        <w:t>200</w:t>
      </w:r>
      <w:proofErr w:type="gramStart"/>
      <w:r w:rsidRPr="001E35BD">
        <w:rPr>
          <w:rStyle w:val="Hervorhebung"/>
          <w:rFonts w:ascii="Verdana" w:hAnsi="Verdana" w:cs="Arial"/>
        </w:rPr>
        <w:t>.–</w:t>
      </w:r>
      <w:proofErr w:type="gramEnd"/>
      <w:r w:rsidRPr="001E35BD">
        <w:rPr>
          <w:rStyle w:val="Hervorhebung"/>
          <w:rFonts w:ascii="Verdana" w:hAnsi="Verdana" w:cs="Arial"/>
        </w:rPr>
        <w:t xml:space="preserve"> </w:t>
      </w:r>
      <w:r w:rsidRPr="001E35BD">
        <w:rPr>
          <w:rFonts w:cs="Arial"/>
        </w:rPr>
        <w:t>zu bezahlen</w:t>
      </w:r>
      <w:r w:rsidRPr="001E35BD">
        <w:t>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Im Übrigen gelten bezüglich Beendigung und Aufhebung des </w:t>
      </w:r>
      <w:proofErr w:type="spellStart"/>
      <w:r w:rsidRPr="001E35BD">
        <w:t>Pfrundvertrages</w:t>
      </w:r>
      <w:proofErr w:type="spellEnd"/>
      <w:r w:rsidRPr="001E35BD">
        <w:t xml:space="preserve"> die gesetzl</w:t>
      </w:r>
      <w:r w:rsidRPr="001E35BD">
        <w:t>i</w:t>
      </w:r>
      <w:r w:rsidRPr="001E35BD">
        <w:t>chen Vorschriften (</w:t>
      </w:r>
      <w:r w:rsidR="001E35BD">
        <w:rPr>
          <w:rStyle w:val="Gesetz"/>
        </w:rPr>
        <w:t>Art. 526–</w:t>
      </w:r>
      <w:r w:rsidRPr="001E35BD">
        <w:rPr>
          <w:rStyle w:val="Gesetz"/>
        </w:rPr>
        <w:t>529 OR</w:t>
      </w:r>
      <w:r w:rsidRPr="001E35BD">
        <w:t>).</w:t>
      </w:r>
    </w:p>
    <w:p w:rsidR="002E6F50" w:rsidRPr="001E35BD" w:rsidRDefault="002E6F50" w:rsidP="002E6F50">
      <w:pPr>
        <w:pStyle w:val="Titel2"/>
      </w:pPr>
      <w:r w:rsidRPr="001E35BD">
        <w:t>VI.</w:t>
      </w:r>
      <w:r w:rsidRPr="001E35BD">
        <w:tab/>
        <w:t>Verschiedene Bestimmungen</w:t>
      </w:r>
    </w:p>
    <w:p w:rsidR="002E6F50" w:rsidRPr="001E35BD" w:rsidRDefault="002E6F50" w:rsidP="001E35BD">
      <w:pPr>
        <w:pStyle w:val="HaupttextEinz1"/>
        <w:numPr>
          <w:ilvl w:val="0"/>
          <w:numId w:val="48"/>
        </w:numPr>
        <w:tabs>
          <w:tab w:val="clear" w:pos="397"/>
          <w:tab w:val="clear" w:pos="454"/>
        </w:tabs>
        <w:ind w:left="709" w:hanging="709"/>
      </w:pPr>
      <w:r w:rsidRPr="001E35BD">
        <w:t xml:space="preserve">Die Übertragung des Grundstückes </w:t>
      </w:r>
      <w:r w:rsidRPr="001E35BD">
        <w:rPr>
          <w:rStyle w:val="Hervorhebung"/>
          <w:rFonts w:ascii="Verdana" w:hAnsi="Verdana" w:cs="Arial"/>
        </w:rPr>
        <w:t>Nr. 65</w:t>
      </w:r>
      <w:r w:rsidRPr="001E35BD">
        <w:t xml:space="preserve"> ist dem zuständigen Grundbuchamt zwecks Ei</w:t>
      </w:r>
      <w:r w:rsidRPr="001E35BD">
        <w:t>n</w:t>
      </w:r>
      <w:r w:rsidRPr="001E35BD">
        <w:t>tragung des Eigentumsüberganges anzumelden. Der Pfründer gibt hiermit ausdrücklich se</w:t>
      </w:r>
      <w:r w:rsidRPr="001E35BD">
        <w:t>i</w:t>
      </w:r>
      <w:r w:rsidRPr="001E35BD">
        <w:t xml:space="preserve">ne Zustimmung und ermächtigt den </w:t>
      </w:r>
      <w:proofErr w:type="spellStart"/>
      <w:r w:rsidRPr="001E35BD">
        <w:t>Pfrundgeber</w:t>
      </w:r>
      <w:proofErr w:type="spellEnd"/>
      <w:r w:rsidRPr="001E35BD">
        <w:t>, die entsprechende Anmeldung vorz</w:t>
      </w:r>
      <w:r w:rsidRPr="001E35BD">
        <w:t>u</w:t>
      </w:r>
      <w:r w:rsidRPr="001E35BD">
        <w:t>nehmen.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>Für alle Differenzen, die sich aus diesem Vertrag ergeben, ist der ordentliche Richter am Wohnsitz des Pfründers zuständig.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>Die Kosten dieses Vertrages (Beurkundungs- und Grundbuchkosten) werden von den Pa</w:t>
      </w:r>
      <w:r w:rsidRPr="001E35BD">
        <w:t>r</w:t>
      </w:r>
      <w:r w:rsidRPr="001E35BD">
        <w:t>teien je zur Hälfte übernommen.</w:t>
      </w:r>
    </w:p>
    <w:p w:rsidR="002E6F50" w:rsidRPr="001E35BD" w:rsidRDefault="002E6F50" w:rsidP="001E35BD">
      <w:pPr>
        <w:pStyle w:val="HaupttextEinz1"/>
        <w:tabs>
          <w:tab w:val="clear" w:pos="397"/>
        </w:tabs>
        <w:ind w:left="709" w:hanging="709"/>
      </w:pPr>
      <w:r w:rsidRPr="001E35BD">
        <w:t xml:space="preserve">Dieser Vertrag wird </w:t>
      </w:r>
      <w:r w:rsidRPr="001E35BD">
        <w:rPr>
          <w:rStyle w:val="Hervorhebung"/>
          <w:rFonts w:ascii="Verdana" w:hAnsi="Verdana" w:cs="Arial"/>
        </w:rPr>
        <w:t>4fach</w:t>
      </w:r>
      <w:r w:rsidRPr="001E35BD">
        <w:t xml:space="preserve"> ausgefertigt. Je ein Exemplar geht an die Parteien, ein Exemplar bleibt beim Notar und ein Exemplar ist dem Grundbuchamt einzureichen.</w:t>
      </w:r>
    </w:p>
    <w:p w:rsidR="001E35BD" w:rsidRDefault="001E35BD" w:rsidP="001E35BD">
      <w:pPr>
        <w:pStyle w:val="Haupttext"/>
        <w:tabs>
          <w:tab w:val="left" w:pos="4428"/>
          <w:tab w:val="left" w:pos="4882"/>
        </w:tabs>
        <w:jc w:val="left"/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</w:p>
    <w:p w:rsidR="001E35BD" w:rsidRDefault="001E35BD">
      <w:pPr>
        <w:rPr>
          <w:rFonts w:ascii="Verdana" w:hAnsi="Verdana"/>
          <w:snapToGrid w:val="0"/>
          <w:sz w:val="18"/>
          <w:lang w:val="de-DE"/>
        </w:rPr>
      </w:pPr>
      <w:r>
        <w:br w:type="page"/>
      </w:r>
    </w:p>
    <w:p w:rsidR="001E35BD" w:rsidRDefault="001E35BD" w:rsidP="001E35BD">
      <w:pPr>
        <w:pStyle w:val="Haupttext"/>
        <w:tabs>
          <w:tab w:val="left" w:pos="4428"/>
          <w:tab w:val="left" w:pos="4882"/>
        </w:tabs>
        <w:jc w:val="left"/>
      </w:pPr>
    </w:p>
    <w:p w:rsidR="001E35BD" w:rsidRDefault="001E35BD" w:rsidP="001E35BD">
      <w:pPr>
        <w:pStyle w:val="Haupttext"/>
        <w:tabs>
          <w:tab w:val="left" w:pos="4428"/>
          <w:tab w:val="left" w:pos="4882"/>
        </w:tabs>
        <w:jc w:val="left"/>
      </w:pPr>
    </w:p>
    <w:p w:rsid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  <w:r w:rsidRPr="001E35BD">
        <w:t>[Ort], Datum</w:t>
      </w:r>
      <w:r w:rsidRPr="001E35BD">
        <w:tab/>
        <w:t>[Ort], Datum</w:t>
      </w:r>
    </w:p>
    <w:p w:rsidR="001E35BD" w:rsidRP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</w:p>
    <w:p w:rsidR="001E35BD" w:rsidRP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  <w:r>
        <w:t>___________________________________</w:t>
      </w:r>
      <w:r w:rsidRPr="001E35BD">
        <w:tab/>
      </w:r>
      <w:r>
        <w:t>___________________________________</w:t>
      </w:r>
    </w:p>
    <w:p w:rsid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</w:p>
    <w:p w:rsid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</w:p>
    <w:p w:rsid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  <w:r w:rsidRPr="001E35BD">
        <w:t xml:space="preserve">Unterschrift </w:t>
      </w:r>
      <w:r w:rsidRPr="001E35BD">
        <w:tab/>
      </w:r>
      <w:proofErr w:type="spellStart"/>
      <w:r w:rsidRPr="001E35BD">
        <w:t>Unterschrift</w:t>
      </w:r>
      <w:proofErr w:type="spellEnd"/>
      <w:r w:rsidRPr="001E35BD">
        <w:t xml:space="preserve"> </w:t>
      </w:r>
    </w:p>
    <w:p w:rsidR="001E35BD" w:rsidRPr="001E35BD" w:rsidRDefault="001E35BD" w:rsidP="001E35BD">
      <w:pPr>
        <w:pStyle w:val="Haupttext"/>
        <w:tabs>
          <w:tab w:val="left" w:pos="4536"/>
          <w:tab w:val="left" w:pos="4882"/>
        </w:tabs>
        <w:jc w:val="left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E6F50" w:rsidRPr="001E35BD" w:rsidRDefault="001E35BD" w:rsidP="001E35BD">
      <w:pPr>
        <w:pStyle w:val="Haupttext"/>
        <w:tabs>
          <w:tab w:val="left" w:pos="4536"/>
        </w:tabs>
      </w:pPr>
      <w:r>
        <w:t>___________________________________</w:t>
      </w:r>
      <w:r>
        <w:tab/>
      </w:r>
      <w:r>
        <w:t>___________________________________</w:t>
      </w:r>
    </w:p>
    <w:p w:rsidR="002E6F50" w:rsidRDefault="002E6F50" w:rsidP="002E6F50">
      <w:pPr>
        <w:pStyle w:val="Haupttext"/>
      </w:pPr>
    </w:p>
    <w:p w:rsidR="001E35BD" w:rsidRDefault="001E35BD" w:rsidP="002E6F50">
      <w:pPr>
        <w:pStyle w:val="Haupttext"/>
      </w:pPr>
    </w:p>
    <w:p w:rsidR="001E35BD" w:rsidRDefault="001E35BD" w:rsidP="002E6F50">
      <w:pPr>
        <w:pStyle w:val="Haupttext"/>
      </w:pPr>
    </w:p>
    <w:p w:rsidR="001E35BD" w:rsidRDefault="001E35BD" w:rsidP="002E6F50">
      <w:pPr>
        <w:pStyle w:val="Haupttext"/>
      </w:pPr>
    </w:p>
    <w:p w:rsidR="001E35BD" w:rsidRPr="001E35BD" w:rsidRDefault="001E35BD" w:rsidP="002E6F50">
      <w:pPr>
        <w:pStyle w:val="Haupttext"/>
      </w:pPr>
      <w:bookmarkStart w:id="12" w:name="_GoBack"/>
      <w:bookmarkEnd w:id="12"/>
    </w:p>
    <w:p w:rsidR="002E6F50" w:rsidRPr="001E35BD" w:rsidRDefault="002E6F50" w:rsidP="002E6F50">
      <w:pPr>
        <w:pStyle w:val="Haupttext"/>
        <w:rPr>
          <w:rStyle w:val="Fett"/>
          <w:i/>
        </w:rPr>
      </w:pPr>
      <w:r w:rsidRPr="001E35BD">
        <w:rPr>
          <w:rStyle w:val="Fett"/>
          <w:i/>
        </w:rPr>
        <w:t>MERKE:</w:t>
      </w:r>
    </w:p>
    <w:p w:rsidR="002E6F50" w:rsidRPr="001E35BD" w:rsidRDefault="002E6F50" w:rsidP="002E6F50">
      <w:pPr>
        <w:pStyle w:val="Haupttext"/>
        <w:rPr>
          <w:rStyle w:val="Fett"/>
          <w:i/>
        </w:rPr>
      </w:pPr>
    </w:p>
    <w:p w:rsidR="002E6F50" w:rsidRPr="001E35BD" w:rsidRDefault="002E6F50" w:rsidP="002E6F50">
      <w:pPr>
        <w:pStyle w:val="Haupttext"/>
        <w:rPr>
          <w:i/>
        </w:rPr>
      </w:pPr>
      <w:r w:rsidRPr="001E35BD">
        <w:rPr>
          <w:i/>
        </w:rPr>
        <w:t>Dieser Vertrag bedarf der Beurkundung durch einen Notar:</w:t>
      </w:r>
    </w:p>
    <w:p w:rsidR="002E6F50" w:rsidRPr="001E35BD" w:rsidRDefault="001E35BD" w:rsidP="001E35BD">
      <w:pPr>
        <w:pStyle w:val="Haupttext"/>
        <w:spacing w:before="120"/>
        <w:rPr>
          <w:i/>
        </w:rPr>
      </w:pPr>
      <w:r>
        <w:rPr>
          <w:i/>
        </w:rPr>
        <w:t>–</w:t>
      </w:r>
      <w:r w:rsidR="002E6F50" w:rsidRPr="001E35BD">
        <w:rPr>
          <w:i/>
        </w:rPr>
        <w:t xml:space="preserve">   Unterschrift des Notars und der Vertragsparteien</w:t>
      </w:r>
    </w:p>
    <w:p w:rsidR="002E6F50" w:rsidRPr="001E35BD" w:rsidRDefault="001E35BD" w:rsidP="001E35BD">
      <w:pPr>
        <w:pStyle w:val="Haupttext"/>
        <w:spacing w:before="120"/>
        <w:rPr>
          <w:i/>
        </w:rPr>
      </w:pPr>
      <w:r>
        <w:rPr>
          <w:i/>
        </w:rPr>
        <w:t>–</w:t>
      </w:r>
      <w:r w:rsidR="002E6F50" w:rsidRPr="001E35BD">
        <w:rPr>
          <w:i/>
        </w:rPr>
        <w:t xml:space="preserve">   Zeugenbescheinigung </w:t>
      </w:r>
      <w:proofErr w:type="spellStart"/>
      <w:r w:rsidR="002E6F50" w:rsidRPr="001E35BD">
        <w:rPr>
          <w:i/>
        </w:rPr>
        <w:t>gemäss</w:t>
      </w:r>
      <w:proofErr w:type="spellEnd"/>
      <w:r w:rsidR="002E6F50" w:rsidRPr="001E35BD">
        <w:rPr>
          <w:i/>
        </w:rPr>
        <w:t xml:space="preserve"> </w:t>
      </w:r>
      <w:r w:rsidR="002E6F50" w:rsidRPr="001E35BD">
        <w:rPr>
          <w:rStyle w:val="Gesetz"/>
          <w:i/>
        </w:rPr>
        <w:t>Art. 501 und 512 ZGB</w:t>
      </w:r>
    </w:p>
    <w:p w:rsidR="008F1115" w:rsidRPr="001E35BD" w:rsidRDefault="001E35BD" w:rsidP="001E35BD">
      <w:pPr>
        <w:pStyle w:val="Haupttext"/>
        <w:spacing w:before="120"/>
        <w:rPr>
          <w:i/>
        </w:rPr>
      </w:pPr>
      <w:r>
        <w:rPr>
          <w:i/>
        </w:rPr>
        <w:t>–</w:t>
      </w:r>
      <w:r w:rsidR="002E6F50" w:rsidRPr="001E35BD">
        <w:rPr>
          <w:i/>
        </w:rPr>
        <w:t xml:space="preserve">   Beurkundung durch den Notar</w:t>
      </w:r>
    </w:p>
    <w:sectPr w:rsidR="008F1115" w:rsidRPr="001E35BD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F50" w:rsidRDefault="002E6F50">
      <w:r>
        <w:separator/>
      </w:r>
    </w:p>
  </w:endnote>
  <w:endnote w:type="continuationSeparator" w:id="0">
    <w:p w:rsidR="002E6F50" w:rsidRDefault="002E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1E35BD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1E35BD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1E35BD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1E35BD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1E35BD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1E35BD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E35BD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1E35BD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1E35BD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E35BD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F50" w:rsidRDefault="002E6F50">
      <w:r>
        <w:separator/>
      </w:r>
    </w:p>
  </w:footnote>
  <w:footnote w:type="continuationSeparator" w:id="0">
    <w:p w:rsidR="002E6F50" w:rsidRDefault="002E6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E5FEF6" wp14:editId="5B7316D5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2E6F50">
      <w:rPr>
        <w:rFonts w:ascii="Verdana" w:hAnsi="Verdana"/>
        <w:noProof/>
        <w:color w:val="999999"/>
        <w:sz w:val="16"/>
        <w:lang w:val="fr-CH"/>
      </w:rPr>
      <w:t>Verpfründungsvertrag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85A92"/>
    <w:multiLevelType w:val="singleLevel"/>
    <w:tmpl w:val="BAB8CE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9F007E"/>
    <w:multiLevelType w:val="singleLevel"/>
    <w:tmpl w:val="0ADA8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>
    <w:nsid w:val="4F471FD0"/>
    <w:multiLevelType w:val="singleLevel"/>
    <w:tmpl w:val="5030A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AF07161"/>
    <w:multiLevelType w:val="singleLevel"/>
    <w:tmpl w:val="D5DC1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3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4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660744"/>
    <w:multiLevelType w:val="singleLevel"/>
    <w:tmpl w:val="FDF67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ED462B4"/>
    <w:multiLevelType w:val="singleLevel"/>
    <w:tmpl w:val="D07E0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4"/>
  </w:num>
  <w:num w:numId="8">
    <w:abstractNumId w:val="14"/>
  </w:num>
  <w:num w:numId="9">
    <w:abstractNumId w:val="14"/>
  </w:num>
  <w:num w:numId="10">
    <w:abstractNumId w:val="13"/>
  </w:num>
  <w:num w:numId="11">
    <w:abstractNumId w:val="14"/>
  </w:num>
  <w:num w:numId="12">
    <w:abstractNumId w:val="15"/>
  </w:num>
  <w:num w:numId="13">
    <w:abstractNumId w:val="14"/>
  </w:num>
  <w:num w:numId="14">
    <w:abstractNumId w:val="17"/>
  </w:num>
  <w:num w:numId="15">
    <w:abstractNumId w:val="17"/>
  </w:num>
  <w:num w:numId="16">
    <w:abstractNumId w:val="24"/>
  </w:num>
  <w:num w:numId="17">
    <w:abstractNumId w:val="19"/>
  </w:num>
  <w:num w:numId="18">
    <w:abstractNumId w:val="23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3"/>
  </w:num>
  <w:num w:numId="24">
    <w:abstractNumId w:val="22"/>
  </w:num>
  <w:num w:numId="25">
    <w:abstractNumId w:val="19"/>
  </w:num>
  <w:num w:numId="26">
    <w:abstractNumId w:val="12"/>
  </w:num>
  <w:num w:numId="27">
    <w:abstractNumId w:val="16"/>
  </w:num>
  <w:num w:numId="28">
    <w:abstractNumId w:val="23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0"/>
  </w:num>
  <w:num w:numId="39">
    <w:abstractNumId w:val="21"/>
  </w:num>
  <w:num w:numId="40">
    <w:abstractNumId w:val="25"/>
  </w:num>
  <w:num w:numId="41">
    <w:abstractNumId w:val="18"/>
  </w:num>
  <w:num w:numId="42">
    <w:abstractNumId w:val="26"/>
  </w:num>
  <w:num w:numId="43">
    <w:abstractNumId w:val="10"/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50"/>
    <w:rsid w:val="00036745"/>
    <w:rsid w:val="00051914"/>
    <w:rsid w:val="00056B63"/>
    <w:rsid w:val="000F430A"/>
    <w:rsid w:val="001E1617"/>
    <w:rsid w:val="001E35BD"/>
    <w:rsid w:val="00205963"/>
    <w:rsid w:val="00212C4F"/>
    <w:rsid w:val="00267992"/>
    <w:rsid w:val="002E6F50"/>
    <w:rsid w:val="00313A14"/>
    <w:rsid w:val="003B28CC"/>
    <w:rsid w:val="004C274C"/>
    <w:rsid w:val="004D1985"/>
    <w:rsid w:val="006C552A"/>
    <w:rsid w:val="00741B76"/>
    <w:rsid w:val="00765F67"/>
    <w:rsid w:val="00780DE2"/>
    <w:rsid w:val="00797D27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F50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2E6F50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2E6F50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2E6F50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Liste">
    <w:name w:val="List"/>
    <w:basedOn w:val="Standard"/>
    <w:rsid w:val="002E6F50"/>
    <w:pPr>
      <w:ind w:left="283" w:hanging="283"/>
    </w:pPr>
  </w:style>
  <w:style w:type="character" w:styleId="Hervorhebung">
    <w:name w:val="Emphasis"/>
    <w:qFormat/>
    <w:rsid w:val="002E6F50"/>
    <w:rPr>
      <w:rFonts w:ascii="Univers 45 Light" w:hAnsi="Univers 45 Light"/>
    </w:rPr>
  </w:style>
  <w:style w:type="paragraph" w:styleId="Kommentartext">
    <w:name w:val="annotation text"/>
    <w:basedOn w:val="Standard"/>
    <w:link w:val="KommentartextZchn"/>
    <w:rsid w:val="002E6F50"/>
  </w:style>
  <w:style w:type="character" w:customStyle="1" w:styleId="KommentartextZchn">
    <w:name w:val="Kommentartext Zchn"/>
    <w:basedOn w:val="Absatz-Standardschriftart"/>
    <w:link w:val="Kommentartext"/>
    <w:rsid w:val="002E6F50"/>
    <w:rPr>
      <w:rFonts w:ascii="Arial" w:hAnsi="Arial"/>
      <w:lang w:val="de-CH" w:eastAsia="en-US"/>
    </w:rPr>
  </w:style>
  <w:style w:type="character" w:customStyle="1" w:styleId="Gesetz">
    <w:name w:val="Gesetz"/>
    <w:rsid w:val="002E6F50"/>
    <w:rPr>
      <w:color w:val="FF0000"/>
    </w:rPr>
  </w:style>
  <w:style w:type="character" w:styleId="Fett">
    <w:name w:val="Strong"/>
    <w:qFormat/>
    <w:rsid w:val="002E6F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F50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2E6F50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2E6F50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2E6F50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Liste">
    <w:name w:val="List"/>
    <w:basedOn w:val="Standard"/>
    <w:rsid w:val="002E6F50"/>
    <w:pPr>
      <w:ind w:left="283" w:hanging="283"/>
    </w:pPr>
  </w:style>
  <w:style w:type="character" w:styleId="Hervorhebung">
    <w:name w:val="Emphasis"/>
    <w:qFormat/>
    <w:rsid w:val="002E6F50"/>
    <w:rPr>
      <w:rFonts w:ascii="Univers 45 Light" w:hAnsi="Univers 45 Light"/>
    </w:rPr>
  </w:style>
  <w:style w:type="paragraph" w:styleId="Kommentartext">
    <w:name w:val="annotation text"/>
    <w:basedOn w:val="Standard"/>
    <w:link w:val="KommentartextZchn"/>
    <w:rsid w:val="002E6F50"/>
  </w:style>
  <w:style w:type="character" w:customStyle="1" w:styleId="KommentartextZchn">
    <w:name w:val="Kommentartext Zchn"/>
    <w:basedOn w:val="Absatz-Standardschriftart"/>
    <w:link w:val="Kommentartext"/>
    <w:rsid w:val="002E6F50"/>
    <w:rPr>
      <w:rFonts w:ascii="Arial" w:hAnsi="Arial"/>
      <w:lang w:val="de-CH" w:eastAsia="en-US"/>
    </w:rPr>
  </w:style>
  <w:style w:type="character" w:customStyle="1" w:styleId="Gesetz">
    <w:name w:val="Gesetz"/>
    <w:rsid w:val="002E6F50"/>
    <w:rPr>
      <w:color w:val="FF0000"/>
    </w:rPr>
  </w:style>
  <w:style w:type="character" w:styleId="Fett">
    <w:name w:val="Strong"/>
    <w:qFormat/>
    <w:rsid w:val="002E6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3</Pages>
  <Words>769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