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E0" w:rsidRPr="00893BE0" w:rsidRDefault="00893BE0" w:rsidP="00893BE0">
      <w:pPr>
        <w:pStyle w:val="Titel1-Kapiteltitel"/>
        <w:tabs>
          <w:tab w:val="left" w:pos="7620"/>
        </w:tabs>
      </w:pPr>
      <w:r w:rsidRPr="00893BE0">
        <w:t>Vertriebsvertrag (Tiefkühl-Distribution)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Vereinbarung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zwischen</w:t>
      </w:r>
    </w:p>
    <w:p w:rsidR="00893BE0" w:rsidRPr="00893BE0" w:rsidRDefault="00893BE0" w:rsidP="00893BE0">
      <w:pPr>
        <w:pStyle w:val="Haupttext"/>
        <w:spacing w:after="0"/>
        <w:rPr>
          <w:lang w:val="de-CH"/>
        </w:rPr>
      </w:pPr>
      <w:r w:rsidRPr="00893BE0">
        <w:rPr>
          <w:lang w:val="de-CH"/>
        </w:rPr>
        <w:t>Händler AG</w:t>
      </w:r>
    </w:p>
    <w:p w:rsidR="00893BE0" w:rsidRPr="00893BE0" w:rsidRDefault="00893BE0" w:rsidP="00893BE0">
      <w:pPr>
        <w:pStyle w:val="Haupttext"/>
        <w:spacing w:after="0"/>
        <w:rPr>
          <w:lang w:val="de-CH"/>
        </w:rPr>
      </w:pPr>
      <w:r w:rsidRPr="00893BE0">
        <w:rPr>
          <w:lang w:val="de-CH"/>
        </w:rPr>
        <w:t>Chausiusstr. 1,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8006 Zürich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(nachfolgend «Händler»)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und</w:t>
      </w:r>
    </w:p>
    <w:p w:rsidR="00893BE0" w:rsidRPr="00893BE0" w:rsidRDefault="00893BE0" w:rsidP="00893BE0">
      <w:pPr>
        <w:pStyle w:val="Haupttext"/>
        <w:spacing w:after="0"/>
        <w:rPr>
          <w:lang w:val="de-CH"/>
        </w:rPr>
      </w:pPr>
      <w:r w:rsidRPr="00893BE0">
        <w:rPr>
          <w:lang w:val="de-CH"/>
        </w:rPr>
        <w:t>Kleinkrämer AG,</w:t>
      </w:r>
    </w:p>
    <w:p w:rsidR="00893BE0" w:rsidRPr="00893BE0" w:rsidRDefault="00893BE0" w:rsidP="00893BE0">
      <w:pPr>
        <w:pStyle w:val="Haupttext"/>
        <w:spacing w:after="0"/>
        <w:rPr>
          <w:lang w:val="de-CH"/>
        </w:rPr>
      </w:pPr>
      <w:r w:rsidRPr="00893BE0">
        <w:rPr>
          <w:lang w:val="de-CH"/>
        </w:rPr>
        <w:t>Bodenseestr. 99a,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9320 Arbon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(nachfolgend «</w:t>
      </w:r>
      <w:r w:rsidRPr="00893BE0">
        <w:rPr>
          <w:lang w:val="de-CH"/>
        </w:rPr>
        <w:t>Kleinkrämer</w:t>
      </w:r>
      <w:r w:rsidRPr="00893BE0">
        <w:rPr>
          <w:lang w:val="de-CH"/>
        </w:rPr>
        <w:t>»)</w:t>
      </w:r>
    </w:p>
    <w:p w:rsidR="00893BE0" w:rsidRPr="00893BE0" w:rsidRDefault="00893BE0" w:rsidP="00893BE0">
      <w:pPr>
        <w:pStyle w:val="Titel2"/>
      </w:pPr>
      <w:r w:rsidRPr="00893BE0">
        <w:t>Vertragsgegenstand</w:t>
      </w:r>
    </w:p>
    <w:p w:rsidR="00893BE0" w:rsidRPr="00893BE0" w:rsidRDefault="00893BE0" w:rsidP="00893BE0">
      <w:pPr>
        <w:pStyle w:val="Haupttext"/>
        <w:numPr>
          <w:ilvl w:val="0"/>
          <w:numId w:val="38"/>
        </w:numPr>
        <w:ind w:left="567" w:hanging="567"/>
        <w:rPr>
          <w:lang w:val="de-CH"/>
        </w:rPr>
      </w:pPr>
      <w:r w:rsidRPr="00893BE0">
        <w:rPr>
          <w:lang w:val="de-CH"/>
        </w:rPr>
        <w:t xml:space="preserve">Kleinkrämer übernimmt die </w:t>
      </w:r>
      <w:r w:rsidRPr="00893BE0">
        <w:rPr>
          <w:rStyle w:val="Hervorhebung"/>
          <w:rFonts w:ascii="Verdana" w:hAnsi="Verdana"/>
          <w:lang w:val="de-CH"/>
        </w:rPr>
        <w:t>Surprise-Eisprodukte-Linie</w:t>
      </w:r>
      <w:r w:rsidRPr="00893BE0">
        <w:rPr>
          <w:lang w:val="de-CH"/>
        </w:rPr>
        <w:t xml:space="preserve"> mit Detailhandels- und Grossverbra</w:t>
      </w:r>
      <w:r w:rsidRPr="00893BE0">
        <w:rPr>
          <w:lang w:val="de-CH"/>
        </w:rPr>
        <w:t>u</w:t>
      </w:r>
      <w:r w:rsidRPr="00893BE0">
        <w:rPr>
          <w:lang w:val="de-CH"/>
        </w:rPr>
        <w:t xml:space="preserve">cher-Sortiment als Depositär. </w:t>
      </w:r>
      <w:r w:rsidRPr="00893BE0">
        <w:rPr>
          <w:rStyle w:val="Hervorhebung"/>
          <w:rFonts w:ascii="Verdana" w:hAnsi="Verdana"/>
          <w:lang w:val="de-CH"/>
        </w:rPr>
        <w:t>Kleinkrämer</w:t>
      </w:r>
      <w:r w:rsidRPr="00893BE0">
        <w:rPr>
          <w:lang w:val="de-CH"/>
        </w:rPr>
        <w:t xml:space="preserve"> beliefert Grossverbraucher und Detaillisten.</w:t>
      </w:r>
    </w:p>
    <w:p w:rsidR="00893BE0" w:rsidRPr="00893BE0" w:rsidRDefault="00893BE0" w:rsidP="00893BE0">
      <w:pPr>
        <w:pStyle w:val="Haupttext"/>
        <w:numPr>
          <w:ilvl w:val="0"/>
          <w:numId w:val="38"/>
        </w:numPr>
        <w:ind w:left="567" w:hanging="567"/>
        <w:rPr>
          <w:lang w:val="de-CH"/>
        </w:rPr>
      </w:pPr>
      <w:r w:rsidRPr="00893BE0">
        <w:rPr>
          <w:lang w:val="de-CH"/>
        </w:rPr>
        <w:t>Einer Spezialregelung gemäss Ziff. 3.2. unterstehen die Grossverteiler.</w:t>
      </w:r>
    </w:p>
    <w:p w:rsidR="00893BE0" w:rsidRPr="00893BE0" w:rsidRDefault="00893BE0" w:rsidP="00893BE0">
      <w:pPr>
        <w:pStyle w:val="Titel2"/>
      </w:pPr>
      <w:r w:rsidRPr="00893BE0">
        <w:t>Vertragsgebiet</w:t>
      </w:r>
    </w:p>
    <w:p w:rsidR="00893BE0" w:rsidRPr="00893BE0" w:rsidRDefault="00893BE0" w:rsidP="00893BE0">
      <w:pPr>
        <w:pStyle w:val="Haupttext"/>
        <w:numPr>
          <w:ilvl w:val="0"/>
          <w:numId w:val="50"/>
        </w:numPr>
        <w:ind w:left="567" w:hanging="567"/>
        <w:rPr>
          <w:lang w:val="de-CH"/>
        </w:rPr>
      </w:pPr>
      <w:r w:rsidRPr="00893BE0">
        <w:rPr>
          <w:lang w:val="de-CH"/>
        </w:rPr>
        <w:t>Das Gebiet der Zusammenarbeit umfasst Teile der Kantone Thurgau und St. Gallen.</w:t>
      </w:r>
    </w:p>
    <w:p w:rsidR="00893BE0" w:rsidRPr="00893BE0" w:rsidRDefault="00893BE0" w:rsidP="00893BE0">
      <w:pPr>
        <w:pStyle w:val="Haupttext"/>
        <w:numPr>
          <w:ilvl w:val="0"/>
          <w:numId w:val="50"/>
        </w:numPr>
        <w:ind w:left="567" w:hanging="567"/>
        <w:rPr>
          <w:lang w:val="de-CH"/>
        </w:rPr>
      </w:pPr>
      <w:r w:rsidRPr="00893BE0">
        <w:rPr>
          <w:lang w:val="de-CH"/>
        </w:rPr>
        <w:t>Das Vertragsgebiet auf der Gebietskarte als Anhang 1 zu diesem Vertrag eingezeichnet und die Karte beidseits unterzeichnet.</w:t>
      </w:r>
    </w:p>
    <w:p w:rsidR="00893BE0" w:rsidRPr="00893BE0" w:rsidRDefault="00893BE0" w:rsidP="00893BE0">
      <w:pPr>
        <w:pStyle w:val="Titel2"/>
      </w:pPr>
      <w:r w:rsidRPr="00893BE0">
        <w:t>Kunden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Detaillisten, City Discount, Grossverbraucher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Händler gewährt Kleinkrämer das Alleinverkaufsrecht für nachstehendes Sortiment (g</w:t>
      </w:r>
      <w:r w:rsidRPr="00893BE0">
        <w:rPr>
          <w:snapToGrid/>
          <w:lang w:val="de-CH"/>
        </w:rPr>
        <w:t>e</w:t>
      </w:r>
      <w:r w:rsidRPr="00893BE0">
        <w:rPr>
          <w:snapToGrid/>
          <w:lang w:val="de-CH"/>
        </w:rPr>
        <w:t>mäss Punkt IV) für den Verkauf an den gesamten Detail- und Grossverbraucher-Handel im Ve</w:t>
      </w:r>
      <w:r w:rsidRPr="00893BE0">
        <w:rPr>
          <w:snapToGrid/>
          <w:lang w:val="de-CH"/>
        </w:rPr>
        <w:t>r</w:t>
      </w:r>
      <w:r w:rsidRPr="00893BE0">
        <w:rPr>
          <w:snapToGrid/>
          <w:lang w:val="de-CH"/>
        </w:rPr>
        <w:t xml:space="preserve">tragsgebiet; vorbehalten bleibt Punkt III.3. Passivverkäufe in das betreffende Gebiet sind uneingeschränkt möglich sowie Verkäufe durch gebietsfremde Händler. 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Filialunternehmen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Händler beliefert direkt auch Grossverteiler, wie z.B. Coop, Migros etc. Für die Belieferung von Filialen von Grossverteilern bedarf Kleinkrämer der vorgängigen Zustimmung von Hän</w:t>
      </w:r>
      <w:r w:rsidRPr="00893BE0">
        <w:rPr>
          <w:snapToGrid/>
          <w:lang w:val="de-CH"/>
        </w:rPr>
        <w:t>d</w:t>
      </w:r>
      <w:r w:rsidRPr="00893BE0">
        <w:rPr>
          <w:snapToGrid/>
          <w:lang w:val="de-CH"/>
        </w:rPr>
        <w:t>ler.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Konditionen an den Handel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lastRenderedPageBreak/>
        <w:t>Bei neuen Detaillisten bestimmt Kleinkrämer die Konditionen nach eigenem Ermessen, bei bestehenden Händler-Kunden übernimmt Kleinkrämer die durch Händler abgemachten Ko</w:t>
      </w:r>
      <w:r w:rsidRPr="00893BE0">
        <w:rPr>
          <w:snapToGrid/>
          <w:lang w:val="de-CH"/>
        </w:rPr>
        <w:t>n</w:t>
      </w:r>
      <w:r w:rsidRPr="00893BE0">
        <w:rPr>
          <w:snapToGrid/>
          <w:lang w:val="de-CH"/>
        </w:rPr>
        <w:t>ditionen.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Die Belieferung von Filialunternehmen gemäss Ziff. III.2. durch Kleinkrämer erfolgt au</w:t>
      </w:r>
      <w:r w:rsidRPr="00893BE0">
        <w:rPr>
          <w:snapToGrid/>
          <w:lang w:val="de-CH"/>
        </w:rPr>
        <w:t>f</w:t>
      </w:r>
      <w:r w:rsidRPr="00893BE0">
        <w:rPr>
          <w:snapToGrid/>
          <w:lang w:val="de-CH"/>
        </w:rPr>
        <w:t>grund der zwischen Händler und dem betreffenden Grossverteiler festgelegten Konditionen, sofern solche Absprachen vor oder nach Abschluss dieses Vertrages erfolgt sind. Einer Z</w:t>
      </w:r>
      <w:r w:rsidRPr="00893BE0">
        <w:rPr>
          <w:snapToGrid/>
          <w:lang w:val="de-CH"/>
        </w:rPr>
        <w:t>u</w:t>
      </w:r>
      <w:r w:rsidRPr="00893BE0">
        <w:rPr>
          <w:snapToGrid/>
          <w:lang w:val="de-CH"/>
        </w:rPr>
        <w:t>stimmung von Kleinkrämer bedarf es dabei nicht.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Belieferung durch Händler</w:t>
      </w:r>
    </w:p>
    <w:p w:rsidR="00893BE0" w:rsidRPr="00893BE0" w:rsidRDefault="00893BE0" w:rsidP="00893BE0">
      <w:pPr>
        <w:pStyle w:val="Haupttext"/>
        <w:numPr>
          <w:ilvl w:val="0"/>
          <w:numId w:val="40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Händler verpflichtet sich, die durch Kleinkrämer belieferten Detaillisten und allfälligen Ku</w:t>
      </w:r>
      <w:r w:rsidRPr="00893BE0">
        <w:rPr>
          <w:snapToGrid/>
          <w:lang w:val="de-CH"/>
        </w:rPr>
        <w:t>n</w:t>
      </w:r>
      <w:r w:rsidRPr="00893BE0">
        <w:rPr>
          <w:snapToGrid/>
          <w:lang w:val="de-CH"/>
        </w:rPr>
        <w:t xml:space="preserve">den gemäss Ziff. III.2. nicht mehr direkt zu beliefern. </w:t>
      </w:r>
    </w:p>
    <w:p w:rsidR="00893BE0" w:rsidRPr="00893BE0" w:rsidRDefault="00893BE0" w:rsidP="00893BE0">
      <w:pPr>
        <w:pStyle w:val="Titel2"/>
      </w:pPr>
      <w:r w:rsidRPr="00893BE0">
        <w:t>Sortiment</w:t>
      </w:r>
    </w:p>
    <w:p w:rsidR="00893BE0" w:rsidRPr="00893BE0" w:rsidRDefault="00893BE0" w:rsidP="00893BE0">
      <w:pPr>
        <w:pStyle w:val="Haupttext"/>
        <w:numPr>
          <w:ilvl w:val="0"/>
          <w:numId w:val="41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Kleinkrämer übernimmt als Depositär die Surprise-Eisprodukte-Linie mit Detailhandels- und Grossverbraucher-Sortiment gemäss der jeweils aktuellen Preisliste von Händler.</w:t>
      </w:r>
    </w:p>
    <w:p w:rsidR="00893BE0" w:rsidRPr="00893BE0" w:rsidRDefault="00893BE0" w:rsidP="00893BE0">
      <w:pPr>
        <w:pStyle w:val="Haupttext"/>
        <w:numPr>
          <w:ilvl w:val="0"/>
          <w:numId w:val="41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Kleinkrämer bietet seinen Kunden die von Händler gelieferten Artikel erkennbar deutlich als Händler-Produkte an.</w:t>
      </w:r>
    </w:p>
    <w:p w:rsidR="00893BE0" w:rsidRPr="00893BE0" w:rsidRDefault="00893BE0" w:rsidP="00893BE0">
      <w:pPr>
        <w:pStyle w:val="Haupttext"/>
        <w:numPr>
          <w:ilvl w:val="0"/>
          <w:numId w:val="41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Kleinkrämer verpflichtet sich, neue Artikel sofort ins Sortiment aufzunehmen. Händler wied</w:t>
      </w:r>
      <w:r w:rsidRPr="00893BE0">
        <w:rPr>
          <w:snapToGrid/>
          <w:lang w:val="de-CH"/>
        </w:rPr>
        <w:t>e</w:t>
      </w:r>
      <w:r w:rsidRPr="00893BE0">
        <w:rPr>
          <w:snapToGrid/>
          <w:lang w:val="de-CH"/>
        </w:rPr>
        <w:t>rum wickelt die Lancierung neuer Produkte im Vertragsgebiet ausschliesslich über Kleinkr</w:t>
      </w:r>
      <w:r w:rsidRPr="00893BE0">
        <w:rPr>
          <w:snapToGrid/>
          <w:lang w:val="de-CH"/>
        </w:rPr>
        <w:t>ä</w:t>
      </w:r>
      <w:r w:rsidRPr="00893BE0">
        <w:rPr>
          <w:snapToGrid/>
          <w:lang w:val="de-CH"/>
        </w:rPr>
        <w:t>mer ab.</w:t>
      </w:r>
    </w:p>
    <w:p w:rsidR="00893BE0" w:rsidRPr="00893BE0" w:rsidRDefault="00893BE0" w:rsidP="00893BE0">
      <w:pPr>
        <w:pStyle w:val="Titel2"/>
      </w:pPr>
      <w:r w:rsidRPr="00893BE0">
        <w:t>Konditionen</w:t>
      </w:r>
    </w:p>
    <w:p w:rsidR="00893BE0" w:rsidRPr="00893BE0" w:rsidRDefault="00893BE0" w:rsidP="00893BE0">
      <w:pPr>
        <w:pStyle w:val="Haupttext"/>
        <w:numPr>
          <w:ilvl w:val="0"/>
          <w:numId w:val="42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Rabatt</w:t>
      </w:r>
    </w:p>
    <w:p w:rsidR="00893BE0" w:rsidRPr="00893BE0" w:rsidRDefault="00893BE0" w:rsidP="00893BE0">
      <w:pPr>
        <w:pStyle w:val="Haupttext"/>
        <w:ind w:left="567"/>
        <w:rPr>
          <w:snapToGrid/>
          <w:lang w:val="de-CH"/>
        </w:rPr>
      </w:pPr>
      <w:r w:rsidRPr="00893BE0">
        <w:rPr>
          <w:snapToGrid/>
          <w:lang w:val="de-CH"/>
        </w:rPr>
        <w:t>Kleinkrämer erhält auf die Listenankaufspreise der jeweils gültigen Händler-Preisliste einen Rabatt von 30% auf dem Detailhandelssortiment und 25% auf dem Grossverbraucher-Sortiment.</w:t>
      </w:r>
    </w:p>
    <w:p w:rsidR="00893BE0" w:rsidRPr="00893BE0" w:rsidRDefault="00893BE0" w:rsidP="00893BE0">
      <w:pPr>
        <w:pStyle w:val="Haupttext"/>
        <w:numPr>
          <w:ilvl w:val="0"/>
          <w:numId w:val="42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Fakturierung</w:t>
      </w:r>
    </w:p>
    <w:p w:rsidR="00893BE0" w:rsidRPr="00893BE0" w:rsidRDefault="00893BE0" w:rsidP="00893BE0">
      <w:pPr>
        <w:pStyle w:val="Haupttext"/>
        <w:ind w:left="567"/>
        <w:rPr>
          <w:snapToGrid/>
          <w:lang w:val="de-CH"/>
        </w:rPr>
      </w:pPr>
      <w:r w:rsidRPr="00893BE0">
        <w:rPr>
          <w:snapToGrid/>
          <w:lang w:val="de-CH"/>
        </w:rPr>
        <w:t>Händler stellt einmal monatlich Rechnung, zahlbar rein netto innert 30 Tagen ab Rechnung</w:t>
      </w:r>
      <w:r w:rsidRPr="00893BE0">
        <w:rPr>
          <w:snapToGrid/>
          <w:lang w:val="de-CH"/>
        </w:rPr>
        <w:t>s</w:t>
      </w:r>
      <w:r w:rsidRPr="00893BE0">
        <w:rPr>
          <w:snapToGrid/>
          <w:lang w:val="de-CH"/>
        </w:rPr>
        <w:t>datum.</w:t>
      </w:r>
    </w:p>
    <w:p w:rsidR="00893BE0" w:rsidRPr="00893BE0" w:rsidRDefault="00893BE0" w:rsidP="00893BE0">
      <w:pPr>
        <w:pStyle w:val="Titel2"/>
      </w:pPr>
      <w:r w:rsidRPr="00893BE0">
        <w:t>Jahresbonus</w:t>
      </w:r>
    </w:p>
    <w:p w:rsidR="00893BE0" w:rsidRPr="00893BE0" w:rsidRDefault="00893BE0" w:rsidP="00893BE0">
      <w:pPr>
        <w:pStyle w:val="Haupttext"/>
        <w:rPr>
          <w:snapToGrid/>
          <w:lang w:val="de-CH"/>
        </w:rPr>
      </w:pPr>
      <w:r w:rsidRPr="00893BE0">
        <w:rPr>
          <w:snapToGrid/>
          <w:lang w:val="de-CH"/>
        </w:rPr>
        <w:t>Über den Rabatt hinaus erhält Kleinkrämer einen Jahresbonus auf den Netto-Jahresumsatz, au</w:t>
      </w:r>
      <w:r w:rsidRPr="00893BE0">
        <w:rPr>
          <w:snapToGrid/>
          <w:lang w:val="de-CH"/>
        </w:rPr>
        <w:t>s</w:t>
      </w:r>
      <w:r w:rsidRPr="00893BE0">
        <w:rPr>
          <w:snapToGrid/>
          <w:lang w:val="de-CH"/>
        </w:rPr>
        <w:t>zahlbar im ersten Quartal des Folgejahres.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1"/>
        <w:gridCol w:w="993"/>
        <w:gridCol w:w="2409"/>
      </w:tblGrid>
      <w:tr w:rsidR="00893BE0" w:rsidRPr="00893BE0" w:rsidTr="00893BE0">
        <w:trPr>
          <w:cantSplit/>
        </w:trPr>
        <w:tc>
          <w:tcPr>
            <w:tcW w:w="5573" w:type="dxa"/>
            <w:gridSpan w:val="3"/>
            <w:shd w:val="clear" w:color="auto" w:fill="E0E0E0"/>
          </w:tcPr>
          <w:p w:rsidR="00893BE0" w:rsidRPr="00893BE0" w:rsidRDefault="00893BE0" w:rsidP="00576C03">
            <w:pPr>
              <w:pStyle w:val="ZelleHaupttext"/>
              <w:rPr>
                <w:sz w:val="18"/>
                <w:szCs w:val="18"/>
              </w:rPr>
            </w:pPr>
            <w:r w:rsidRPr="00893BE0">
              <w:rPr>
                <w:sz w:val="18"/>
                <w:szCs w:val="18"/>
              </w:rPr>
              <w:t>Bonusstaffelung</w:t>
            </w:r>
          </w:p>
        </w:tc>
      </w:tr>
      <w:tr w:rsidR="00893BE0" w:rsidRPr="00893BE0" w:rsidTr="00893BE0">
        <w:tc>
          <w:tcPr>
            <w:tcW w:w="2171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0,5%</w:t>
            </w:r>
          </w:p>
        </w:tc>
        <w:tc>
          <w:tcPr>
            <w:tcW w:w="993" w:type="dxa"/>
          </w:tcPr>
          <w:p w:rsidR="00893BE0" w:rsidRPr="00893BE0" w:rsidRDefault="00893BE0" w:rsidP="00576C03">
            <w:pPr>
              <w:pStyle w:val="ZelleHaupttext"/>
              <w:rPr>
                <w:sz w:val="18"/>
                <w:szCs w:val="18"/>
              </w:rPr>
            </w:pPr>
            <w:r w:rsidRPr="00893BE0">
              <w:rPr>
                <w:sz w:val="18"/>
                <w:szCs w:val="18"/>
              </w:rPr>
              <w:t>ab Fr.</w:t>
            </w:r>
          </w:p>
        </w:tc>
        <w:tc>
          <w:tcPr>
            <w:tcW w:w="2409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20’000.-</w:t>
            </w:r>
          </w:p>
        </w:tc>
      </w:tr>
      <w:tr w:rsidR="00893BE0" w:rsidRPr="00893BE0" w:rsidTr="00893BE0">
        <w:tc>
          <w:tcPr>
            <w:tcW w:w="2171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1,0%</w:t>
            </w:r>
          </w:p>
        </w:tc>
        <w:tc>
          <w:tcPr>
            <w:tcW w:w="993" w:type="dxa"/>
          </w:tcPr>
          <w:p w:rsidR="00893BE0" w:rsidRPr="00893BE0" w:rsidRDefault="00893BE0" w:rsidP="00576C03">
            <w:pPr>
              <w:pStyle w:val="ZelleHaupttext"/>
              <w:rPr>
                <w:sz w:val="18"/>
                <w:szCs w:val="18"/>
              </w:rPr>
            </w:pPr>
            <w:r w:rsidRPr="00893BE0">
              <w:rPr>
                <w:sz w:val="18"/>
                <w:szCs w:val="18"/>
              </w:rPr>
              <w:t>ab Fr.</w:t>
            </w:r>
          </w:p>
        </w:tc>
        <w:tc>
          <w:tcPr>
            <w:tcW w:w="2409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50’000:-</w:t>
            </w:r>
          </w:p>
        </w:tc>
      </w:tr>
      <w:tr w:rsidR="00893BE0" w:rsidRPr="00893BE0" w:rsidTr="00893BE0">
        <w:tc>
          <w:tcPr>
            <w:tcW w:w="2171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1,5%</w:t>
            </w:r>
          </w:p>
        </w:tc>
        <w:tc>
          <w:tcPr>
            <w:tcW w:w="993" w:type="dxa"/>
          </w:tcPr>
          <w:p w:rsidR="00893BE0" w:rsidRPr="00893BE0" w:rsidRDefault="00893BE0" w:rsidP="00576C03">
            <w:pPr>
              <w:pStyle w:val="ZelleHaupttext"/>
              <w:rPr>
                <w:sz w:val="18"/>
                <w:szCs w:val="18"/>
              </w:rPr>
            </w:pPr>
            <w:r w:rsidRPr="00893BE0">
              <w:rPr>
                <w:sz w:val="18"/>
                <w:szCs w:val="18"/>
              </w:rPr>
              <w:t>ab Fr.</w:t>
            </w:r>
          </w:p>
        </w:tc>
        <w:tc>
          <w:tcPr>
            <w:tcW w:w="2409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75’000.-</w:t>
            </w:r>
          </w:p>
        </w:tc>
      </w:tr>
      <w:tr w:rsidR="00893BE0" w:rsidRPr="00893BE0" w:rsidTr="00893BE0">
        <w:tc>
          <w:tcPr>
            <w:tcW w:w="2171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2,0%</w:t>
            </w:r>
          </w:p>
        </w:tc>
        <w:tc>
          <w:tcPr>
            <w:tcW w:w="993" w:type="dxa"/>
          </w:tcPr>
          <w:p w:rsidR="00893BE0" w:rsidRPr="00893BE0" w:rsidRDefault="00893BE0" w:rsidP="00576C03">
            <w:pPr>
              <w:pStyle w:val="ZelleHaupttext"/>
              <w:rPr>
                <w:sz w:val="18"/>
                <w:szCs w:val="18"/>
              </w:rPr>
            </w:pPr>
            <w:r w:rsidRPr="00893BE0">
              <w:rPr>
                <w:sz w:val="18"/>
                <w:szCs w:val="18"/>
              </w:rPr>
              <w:t>ab Fr.</w:t>
            </w:r>
          </w:p>
        </w:tc>
        <w:tc>
          <w:tcPr>
            <w:tcW w:w="2409" w:type="dxa"/>
          </w:tcPr>
          <w:p w:rsidR="00893BE0" w:rsidRPr="00893BE0" w:rsidRDefault="00893BE0" w:rsidP="00576C03">
            <w:pPr>
              <w:pStyle w:val="ZelleHaupttext"/>
              <w:rPr>
                <w:rStyle w:val="Hervorhebung"/>
                <w:rFonts w:ascii="Verdana" w:hAnsi="Verdana"/>
                <w:sz w:val="18"/>
                <w:szCs w:val="18"/>
              </w:rPr>
            </w:pPr>
            <w:r w:rsidRPr="00893BE0">
              <w:rPr>
                <w:rStyle w:val="Hervorhebung"/>
                <w:rFonts w:ascii="Verdana" w:hAnsi="Verdana"/>
                <w:sz w:val="18"/>
                <w:szCs w:val="18"/>
              </w:rPr>
              <w:t>100’000.-</w:t>
            </w:r>
          </w:p>
        </w:tc>
      </w:tr>
    </w:tbl>
    <w:p w:rsidR="00893BE0" w:rsidRPr="00893BE0" w:rsidRDefault="00893BE0" w:rsidP="00893BE0">
      <w:pPr>
        <w:pStyle w:val="Titel2"/>
      </w:pPr>
      <w:r w:rsidRPr="00893BE0">
        <w:lastRenderedPageBreak/>
        <w:t>Jahresziele</w:t>
      </w:r>
    </w:p>
    <w:p w:rsidR="00893BE0" w:rsidRPr="00893BE0" w:rsidRDefault="00893BE0" w:rsidP="00893BE0">
      <w:pPr>
        <w:pStyle w:val="Haupttext"/>
        <w:numPr>
          <w:ilvl w:val="0"/>
          <w:numId w:val="43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In einem Jahresgespräch, das jeweils bis Ende Oktober des laufenden Jahres durchgeführt werden soll, werden die Aktivitäten und Schwerpunkte für das kommende Kalenderjahr f</w:t>
      </w:r>
      <w:r w:rsidRPr="00893BE0">
        <w:rPr>
          <w:snapToGrid/>
          <w:lang w:val="de-CH"/>
        </w:rPr>
        <w:t>i</w:t>
      </w:r>
      <w:r w:rsidRPr="00893BE0">
        <w:rPr>
          <w:snapToGrid/>
          <w:lang w:val="de-CH"/>
        </w:rPr>
        <w:t>xiert.</w:t>
      </w:r>
    </w:p>
    <w:p w:rsidR="00893BE0" w:rsidRPr="00893BE0" w:rsidRDefault="00893BE0" w:rsidP="00893BE0">
      <w:pPr>
        <w:pStyle w:val="Haupttext"/>
        <w:numPr>
          <w:ilvl w:val="0"/>
          <w:numId w:val="43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Kleinkrämer verpflichtet sich zur aktiven Förderung und Distribution des ganzen Vertragsso</w:t>
      </w:r>
      <w:r w:rsidRPr="00893BE0">
        <w:rPr>
          <w:snapToGrid/>
          <w:lang w:val="de-CH"/>
        </w:rPr>
        <w:t>r</w:t>
      </w:r>
      <w:r w:rsidRPr="00893BE0">
        <w:rPr>
          <w:snapToGrid/>
          <w:lang w:val="de-CH"/>
        </w:rPr>
        <w:t>timents. Hierfür erhält Kleinkrämer einen Verkaufsförderungsbeitrag von Händler in der Höhe von 1,2% des Umsatzbudgets.</w:t>
      </w:r>
    </w:p>
    <w:p w:rsidR="00893BE0" w:rsidRPr="00893BE0" w:rsidRDefault="00893BE0" w:rsidP="00893BE0">
      <w:pPr>
        <w:pStyle w:val="Titel2"/>
      </w:pPr>
      <w:r w:rsidRPr="00893BE0">
        <w:t>Umsatzmeldung</w:t>
      </w:r>
    </w:p>
    <w:p w:rsidR="00893BE0" w:rsidRPr="00893BE0" w:rsidRDefault="00893BE0" w:rsidP="00893BE0">
      <w:pPr>
        <w:pStyle w:val="Haupttext"/>
        <w:numPr>
          <w:ilvl w:val="0"/>
          <w:numId w:val="49"/>
        </w:numPr>
        <w:ind w:left="567" w:hanging="567"/>
        <w:rPr>
          <w:lang w:val="de-CH"/>
        </w:rPr>
      </w:pPr>
      <w:r w:rsidRPr="00893BE0">
        <w:rPr>
          <w:lang w:val="de-CH"/>
        </w:rPr>
        <w:t>Händler erhält vierteljährlich von Kleinkrämer Umsatzzahlen der einzelnen Kunden sowie den Stand der jeweils aktuellen Distribution. Kleinkrämer erhält von Händler Adresslisten bereits bestehender Kundenbeziehungen, die an Kleinkrämer übergehen.</w:t>
      </w:r>
    </w:p>
    <w:p w:rsidR="00893BE0" w:rsidRPr="00893BE0" w:rsidRDefault="00893BE0" w:rsidP="00893BE0">
      <w:pPr>
        <w:pStyle w:val="Titel2"/>
      </w:pPr>
      <w:r w:rsidRPr="00893BE0">
        <w:t>Tiefkühlkette</w:t>
      </w:r>
    </w:p>
    <w:p w:rsidR="00893BE0" w:rsidRPr="00893BE0" w:rsidRDefault="00893BE0" w:rsidP="00893BE0">
      <w:pPr>
        <w:pStyle w:val="Haupttext"/>
        <w:numPr>
          <w:ilvl w:val="0"/>
          <w:numId w:val="44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Damit die Eisprodukte in einwandfreiem Zustand in den Detailhandel gelangen, garantiert Kleinkrämer die Einlagerung bei einer Mindesttemperatur von –24 °C und die Auslieferung bei einer Mindesttemperatur von –18 °C. Händler ist zu Stichproben berechtigt. Kleinkr</w:t>
      </w:r>
      <w:r w:rsidRPr="00893BE0">
        <w:rPr>
          <w:snapToGrid/>
          <w:lang w:val="de-CH"/>
        </w:rPr>
        <w:t>ä</w:t>
      </w:r>
      <w:r w:rsidRPr="00893BE0">
        <w:rPr>
          <w:snapToGrid/>
          <w:lang w:val="de-CH"/>
        </w:rPr>
        <w:t>mer verpflichtet sich, die Versicherungen für Lagerung und Transport an die Kunden zu organisi</w:t>
      </w:r>
      <w:r w:rsidRPr="00893BE0">
        <w:rPr>
          <w:snapToGrid/>
          <w:lang w:val="de-CH"/>
        </w:rPr>
        <w:t>e</w:t>
      </w:r>
      <w:r w:rsidRPr="00893BE0">
        <w:rPr>
          <w:snapToGrid/>
          <w:lang w:val="de-CH"/>
        </w:rPr>
        <w:t xml:space="preserve">ren. Die Prämien werden von Kleinkrämer und Händler je zur Hälfte übernommen. </w:t>
      </w:r>
    </w:p>
    <w:p w:rsidR="00893BE0" w:rsidRPr="00893BE0" w:rsidRDefault="00893BE0" w:rsidP="00893BE0">
      <w:pPr>
        <w:pStyle w:val="Titel2"/>
      </w:pPr>
      <w:r w:rsidRPr="00893BE0">
        <w:t>Bestellwesen und Belieferung</w:t>
      </w:r>
    </w:p>
    <w:p w:rsidR="00893BE0" w:rsidRPr="00893BE0" w:rsidRDefault="00893BE0" w:rsidP="00893BE0">
      <w:pPr>
        <w:pStyle w:val="Haupttext"/>
        <w:numPr>
          <w:ilvl w:val="0"/>
          <w:numId w:val="45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Die Belieferung an Kleinkrämer erfolgt grundsätzlich einmal wöchentlich. Die Bestellungen sollten 2 Arbeitstage vor dem Liefertag an Händler durch Kleinkrämer erfolgen.</w:t>
      </w:r>
    </w:p>
    <w:p w:rsidR="00893BE0" w:rsidRPr="00893BE0" w:rsidRDefault="00893BE0" w:rsidP="00893BE0">
      <w:pPr>
        <w:pStyle w:val="Haupttext"/>
        <w:numPr>
          <w:ilvl w:val="0"/>
          <w:numId w:val="45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Händler ist für den Transport franko Domizil an Kleinkrämer verantwortlich.</w:t>
      </w:r>
    </w:p>
    <w:p w:rsidR="00893BE0" w:rsidRPr="00893BE0" w:rsidRDefault="00893BE0" w:rsidP="00893BE0">
      <w:pPr>
        <w:pStyle w:val="Titel2"/>
      </w:pPr>
      <w:r w:rsidRPr="00893BE0">
        <w:t>Wärmeschäden</w:t>
      </w:r>
    </w:p>
    <w:p w:rsidR="00893BE0" w:rsidRPr="00893BE0" w:rsidRDefault="00893BE0" w:rsidP="00893BE0">
      <w:pPr>
        <w:pStyle w:val="Haupttext"/>
        <w:numPr>
          <w:ilvl w:val="0"/>
          <w:numId w:val="46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Händler beteiligt sich an den durch Kleinkrämer vorzunehmenden Vergütungen gegenüber dessen Kunden bei eventuellen Wärmeschäden von Eisprodukten mit 50%. Kleinkrämer stellt dafür die an den Handel erfolgten Gutschriften mit entsprechender Begründung z</w:t>
      </w:r>
      <w:r w:rsidRPr="00893BE0">
        <w:rPr>
          <w:snapToGrid/>
          <w:lang w:val="de-CH"/>
        </w:rPr>
        <w:t>u</w:t>
      </w:r>
      <w:r w:rsidRPr="00893BE0">
        <w:rPr>
          <w:snapToGrid/>
          <w:lang w:val="de-CH"/>
        </w:rPr>
        <w:t>sammen. Die Abrechnung erfolgt einmal jährlich.</w:t>
      </w:r>
      <w:bookmarkStart w:id="0" w:name="_GoBack"/>
      <w:bookmarkEnd w:id="0"/>
    </w:p>
    <w:p w:rsidR="00893BE0" w:rsidRPr="00893BE0" w:rsidRDefault="00893BE0" w:rsidP="00893BE0">
      <w:pPr>
        <w:pStyle w:val="Titel2"/>
      </w:pPr>
      <w:r w:rsidRPr="00893BE0">
        <w:t>Tiefkühltruhen</w:t>
      </w:r>
    </w:p>
    <w:p w:rsidR="00893BE0" w:rsidRPr="00893BE0" w:rsidRDefault="00893BE0" w:rsidP="00893BE0">
      <w:pPr>
        <w:pStyle w:val="Haupttext"/>
        <w:numPr>
          <w:ilvl w:val="0"/>
          <w:numId w:val="47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Händler kann ausnahmsweise und auf vorgängige Anfrage hin Tiefkühlmöbel mitfinanzi</w:t>
      </w:r>
      <w:r w:rsidRPr="00893BE0">
        <w:rPr>
          <w:snapToGrid/>
          <w:lang w:val="de-CH"/>
        </w:rPr>
        <w:t>e</w:t>
      </w:r>
      <w:r w:rsidRPr="00893BE0">
        <w:rPr>
          <w:snapToGrid/>
          <w:lang w:val="de-CH"/>
        </w:rPr>
        <w:t>ren, sofern dies der Verkaufsförderung dient. Die Mitfinanzierung ist beschränkt auf 0,25% des Umsatzbudgets. Händler ist berechtigt, die Beschaffung mitfinanzierter Tiefkühlmöbel bezü</w:t>
      </w:r>
      <w:r w:rsidRPr="00893BE0">
        <w:rPr>
          <w:snapToGrid/>
          <w:lang w:val="de-CH"/>
        </w:rPr>
        <w:t>g</w:t>
      </w:r>
      <w:r w:rsidRPr="00893BE0">
        <w:rPr>
          <w:snapToGrid/>
          <w:lang w:val="de-CH"/>
        </w:rPr>
        <w:t>lich Quelle, Aussehen und Artikel vorzuschreiben.</w:t>
      </w:r>
    </w:p>
    <w:p w:rsidR="00893BE0" w:rsidRPr="00893BE0" w:rsidRDefault="00893BE0" w:rsidP="00893BE0">
      <w:pPr>
        <w:pStyle w:val="Titel2"/>
      </w:pPr>
      <w:r w:rsidRPr="00893BE0">
        <w:t>Vertragsdauer</w:t>
      </w:r>
    </w:p>
    <w:p w:rsidR="00893BE0" w:rsidRPr="00893BE0" w:rsidRDefault="00893BE0" w:rsidP="00893BE0">
      <w:pPr>
        <w:pStyle w:val="Haupttext"/>
        <w:numPr>
          <w:ilvl w:val="0"/>
          <w:numId w:val="48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Diese Vereinbarung ist auf unbestimmte Zeit abgeschlossen.</w:t>
      </w:r>
    </w:p>
    <w:p w:rsidR="00893BE0" w:rsidRPr="00893BE0" w:rsidRDefault="00893BE0" w:rsidP="00893BE0">
      <w:pPr>
        <w:pStyle w:val="Haupttext"/>
        <w:numPr>
          <w:ilvl w:val="0"/>
          <w:numId w:val="48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t>Die Vereinbarung kann unter Einhaltung einer sechsmonatigen Kündigungsfrist gekündigt werden, per Ende Oktober, erstmals auf den 31. Oktober ............ .</w:t>
      </w:r>
    </w:p>
    <w:p w:rsidR="00893BE0" w:rsidRPr="00893BE0" w:rsidRDefault="00893BE0" w:rsidP="00893BE0">
      <w:pPr>
        <w:pStyle w:val="Haupttext"/>
        <w:numPr>
          <w:ilvl w:val="0"/>
          <w:numId w:val="48"/>
        </w:numPr>
        <w:ind w:left="567" w:hanging="567"/>
        <w:rPr>
          <w:snapToGrid/>
          <w:lang w:val="de-CH"/>
        </w:rPr>
      </w:pPr>
      <w:r w:rsidRPr="00893BE0">
        <w:rPr>
          <w:snapToGrid/>
          <w:lang w:val="de-CH"/>
        </w:rPr>
        <w:lastRenderedPageBreak/>
        <w:t xml:space="preserve">Aus wichtigem Grund kann diese Vereinbarung jederzeit mit einer Kündigungsfrist </w:t>
      </w:r>
      <w:r w:rsidRPr="00893BE0">
        <w:rPr>
          <w:snapToGrid/>
          <w:lang w:val="de-CH"/>
        </w:rPr>
        <w:br/>
        <w:t>von 3 Monaten aufgelöst werden. Als wichtiger Grund gilt dabei jeder Umstand, unter we</w:t>
      </w:r>
      <w:r w:rsidRPr="00893BE0">
        <w:rPr>
          <w:snapToGrid/>
          <w:lang w:val="de-CH"/>
        </w:rPr>
        <w:t>l</w:t>
      </w:r>
      <w:r w:rsidRPr="00893BE0">
        <w:rPr>
          <w:snapToGrid/>
          <w:lang w:val="de-CH"/>
        </w:rPr>
        <w:t>chem der kündigenden Partei eine Fortsetzung des Vertragsverhältnisses nicht mehr zug</w:t>
      </w:r>
      <w:r w:rsidRPr="00893BE0">
        <w:rPr>
          <w:snapToGrid/>
          <w:lang w:val="de-CH"/>
        </w:rPr>
        <w:t>e</w:t>
      </w:r>
      <w:r w:rsidRPr="00893BE0">
        <w:rPr>
          <w:snapToGrid/>
          <w:lang w:val="de-CH"/>
        </w:rPr>
        <w:t>mutet werden kann, wie namentlich die Verletzung der Nichtlieferungsverpflichtung durch Händler (Ziff. III.4.) oder die Nichterreichung der festgelegten Umsatzziele durch Kleinkr</w:t>
      </w:r>
      <w:r w:rsidRPr="00893BE0">
        <w:rPr>
          <w:snapToGrid/>
          <w:lang w:val="de-CH"/>
        </w:rPr>
        <w:t>ä</w:t>
      </w:r>
      <w:r>
        <w:rPr>
          <w:snapToGrid/>
          <w:lang w:val="de-CH"/>
        </w:rPr>
        <w:t>mer (Ziff. VII).</w:t>
      </w:r>
    </w:p>
    <w:p w:rsidR="00893BE0" w:rsidRPr="00893BE0" w:rsidRDefault="00893BE0" w:rsidP="00893BE0">
      <w:pPr>
        <w:pStyle w:val="Titel2"/>
      </w:pPr>
      <w:r w:rsidRPr="00893BE0">
        <w:t>Anwendbares Recht/Gerichtsstand</w:t>
      </w:r>
    </w:p>
    <w:p w:rsidR="00893BE0" w:rsidRPr="00893BE0" w:rsidRDefault="00893BE0" w:rsidP="00893BE0">
      <w:pPr>
        <w:pStyle w:val="Haupttext"/>
        <w:rPr>
          <w:lang w:val="de-CH"/>
        </w:rPr>
      </w:pPr>
      <w:r w:rsidRPr="00893BE0">
        <w:rPr>
          <w:lang w:val="de-CH"/>
        </w:rPr>
        <w:t>Es ist ausschliesslich schweizerisches Recht anwendbar. Gerichtsstand für die Beurteilung aller Schwierigkeiten aus diesem Vertrag ist Zürich.</w:t>
      </w:r>
    </w:p>
    <w:p w:rsidR="00893BE0" w:rsidRDefault="00893BE0" w:rsidP="00893BE0">
      <w:pPr>
        <w:pStyle w:val="Haupttext"/>
        <w:tabs>
          <w:tab w:val="left" w:pos="4536"/>
        </w:tabs>
      </w:pPr>
    </w:p>
    <w:p w:rsidR="00893BE0" w:rsidRPr="00893BE0" w:rsidRDefault="00893BE0" w:rsidP="00893BE0">
      <w:pPr>
        <w:pStyle w:val="Haupttext"/>
        <w:tabs>
          <w:tab w:val="left" w:pos="4536"/>
        </w:tabs>
      </w:pPr>
    </w:p>
    <w:p w:rsidR="00893BE0" w:rsidRPr="00893BE0" w:rsidRDefault="00893BE0" w:rsidP="00893BE0">
      <w:pPr>
        <w:pStyle w:val="Haupttext"/>
        <w:tabs>
          <w:tab w:val="left" w:pos="4536"/>
        </w:tabs>
        <w:rPr>
          <w:rStyle w:val="Hervorhebung"/>
          <w:rFonts w:ascii="Verdana" w:hAnsi="Verdana"/>
          <w:lang w:val="de-CH"/>
        </w:rPr>
      </w:pPr>
      <w:r w:rsidRPr="00893BE0">
        <w:rPr>
          <w:rStyle w:val="Hervorhebung"/>
          <w:rFonts w:ascii="Verdana" w:hAnsi="Verdana"/>
          <w:lang w:val="de-CH"/>
        </w:rPr>
        <w:t>Zürich,</w:t>
      </w:r>
      <w:r w:rsidRPr="00893BE0">
        <w:rPr>
          <w:rStyle w:val="Hervorhebung"/>
          <w:rFonts w:ascii="Verdana" w:hAnsi="Verdana"/>
          <w:lang w:val="de-CH"/>
        </w:rPr>
        <w:tab/>
      </w:r>
      <w:r w:rsidRPr="00893BE0">
        <w:rPr>
          <w:rStyle w:val="Hervorhebung"/>
          <w:rFonts w:ascii="Verdana" w:hAnsi="Verdana"/>
          <w:lang w:val="de-CH"/>
        </w:rPr>
        <w:t>Arbon,</w:t>
      </w:r>
    </w:p>
    <w:p w:rsidR="00893BE0" w:rsidRPr="00893BE0" w:rsidRDefault="00893BE0" w:rsidP="00893BE0">
      <w:pPr>
        <w:pStyle w:val="Haupttext"/>
        <w:tabs>
          <w:tab w:val="left" w:pos="4536"/>
        </w:tabs>
        <w:rPr>
          <w:rStyle w:val="Hervorhebung"/>
          <w:rFonts w:ascii="Verdana" w:hAnsi="Verdana"/>
          <w:lang w:val="de-CH"/>
        </w:rPr>
      </w:pPr>
    </w:p>
    <w:p w:rsidR="00893BE0" w:rsidRPr="00893BE0" w:rsidRDefault="00893BE0" w:rsidP="00893BE0">
      <w:pPr>
        <w:pStyle w:val="Haupttext"/>
        <w:tabs>
          <w:tab w:val="left" w:pos="4536"/>
        </w:tabs>
        <w:rPr>
          <w:rStyle w:val="Hervorhebung"/>
          <w:rFonts w:ascii="Verdana" w:hAnsi="Verdana"/>
          <w:lang w:val="de-CH"/>
        </w:rPr>
      </w:pPr>
      <w:r w:rsidRPr="00893BE0">
        <w:rPr>
          <w:rStyle w:val="Hervorhebung"/>
          <w:rFonts w:ascii="Verdana" w:hAnsi="Verdana"/>
          <w:lang w:val="de-CH"/>
        </w:rPr>
        <w:t>Händler AG</w:t>
      </w:r>
      <w:r w:rsidRPr="00893BE0">
        <w:rPr>
          <w:rStyle w:val="Hervorhebung"/>
          <w:rFonts w:ascii="Verdana" w:hAnsi="Verdana"/>
          <w:lang w:val="de-CH"/>
        </w:rPr>
        <w:tab/>
      </w:r>
      <w:r w:rsidRPr="00893BE0">
        <w:rPr>
          <w:rStyle w:val="Hervorhebung"/>
          <w:rFonts w:ascii="Verdana" w:hAnsi="Verdana"/>
          <w:lang w:val="de-CH"/>
        </w:rPr>
        <w:t>Kleinkrämer AG</w:t>
      </w:r>
    </w:p>
    <w:p w:rsidR="00893BE0" w:rsidRDefault="00893BE0" w:rsidP="00893BE0">
      <w:pPr>
        <w:pStyle w:val="Haupttext"/>
        <w:tabs>
          <w:tab w:val="left" w:pos="4536"/>
        </w:tabs>
      </w:pPr>
    </w:p>
    <w:p w:rsidR="00893BE0" w:rsidRPr="00893BE0" w:rsidRDefault="00893BE0" w:rsidP="00893BE0">
      <w:pPr>
        <w:pStyle w:val="Haupttext"/>
        <w:tabs>
          <w:tab w:val="left" w:pos="4536"/>
        </w:tabs>
      </w:pPr>
    </w:p>
    <w:p w:rsidR="008F1115" w:rsidRPr="00893BE0" w:rsidRDefault="00893BE0" w:rsidP="00893BE0">
      <w:pPr>
        <w:pStyle w:val="Haupttext"/>
        <w:tabs>
          <w:tab w:val="left" w:pos="4536"/>
        </w:tabs>
      </w:pPr>
      <w:r w:rsidRPr="00893BE0">
        <w:t>Anhang 1: Karte des Vertragsgebietes</w:t>
      </w:r>
    </w:p>
    <w:sectPr w:rsidR="008F1115" w:rsidRPr="00893BE0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BE0" w:rsidRDefault="00893BE0">
      <w:r>
        <w:separator/>
      </w:r>
    </w:p>
  </w:endnote>
  <w:endnote w:type="continuationSeparator" w:id="0">
    <w:p w:rsidR="00893BE0" w:rsidRDefault="0089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893BE0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134620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893BE0" w:rsidRDefault="00893BE0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893BE0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893BE0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893BE0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893BE0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893BE0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>
      <w:rPr>
        <w:rFonts w:ascii="Verdana" w:hAnsi="Verdana"/>
        <w:noProof/>
        <w:color w:val="999999"/>
        <w:sz w:val="16"/>
        <w:lang w:val="en-GB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893BE0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893BE0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>
      <w:rPr>
        <w:rFonts w:ascii="Verdana" w:hAnsi="Verdana"/>
        <w:noProof/>
        <w:color w:val="999999"/>
        <w:sz w:val="16"/>
        <w:lang w:val="en-GB"/>
      </w:rPr>
      <w:t>4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BE0" w:rsidRDefault="00893BE0">
      <w:r>
        <w:separator/>
      </w:r>
    </w:p>
  </w:footnote>
  <w:footnote w:type="continuationSeparator" w:id="0">
    <w:p w:rsidR="00893BE0" w:rsidRDefault="00893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93BE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Pr="00893BE0">
      <w:rPr>
        <w:rFonts w:ascii="Verdana" w:hAnsi="Verdana"/>
        <w:noProof/>
        <w:color w:val="999999"/>
        <w:sz w:val="16"/>
        <w:lang w:val="fr-CH"/>
      </w:rPr>
      <w:t>Vertriebsvertrag (Tiefkühl-Distribution)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326893"/>
    <w:multiLevelType w:val="hybridMultilevel"/>
    <w:tmpl w:val="B8924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04717"/>
    <w:multiLevelType w:val="hybridMultilevel"/>
    <w:tmpl w:val="9A5404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244054A1"/>
    <w:multiLevelType w:val="hybridMultilevel"/>
    <w:tmpl w:val="07441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5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46499C"/>
    <w:multiLevelType w:val="hybridMultilevel"/>
    <w:tmpl w:val="16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AF74B7"/>
    <w:multiLevelType w:val="hybridMultilevel"/>
    <w:tmpl w:val="06148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6C707B"/>
    <w:multiLevelType w:val="hybridMultilevel"/>
    <w:tmpl w:val="13AC11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706A68"/>
    <w:multiLevelType w:val="hybridMultilevel"/>
    <w:tmpl w:val="646E3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5">
    <w:nsid w:val="554E5AC2"/>
    <w:multiLevelType w:val="hybridMultilevel"/>
    <w:tmpl w:val="31B0B8DA"/>
    <w:lvl w:ilvl="0" w:tplc="A99A1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620E2"/>
    <w:multiLevelType w:val="hybridMultilevel"/>
    <w:tmpl w:val="663A3F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8">
    <w:nsid w:val="644C0081"/>
    <w:multiLevelType w:val="hybridMultilevel"/>
    <w:tmpl w:val="1FB2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0">
    <w:nsid w:val="6BB95C19"/>
    <w:multiLevelType w:val="hybridMultilevel"/>
    <w:tmpl w:val="79C62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0500"/>
    <w:multiLevelType w:val="hybridMultilevel"/>
    <w:tmpl w:val="D0A28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AF0A8D"/>
    <w:multiLevelType w:val="hybridMultilevel"/>
    <w:tmpl w:val="DD7ECE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2"/>
  </w:num>
  <w:num w:numId="7">
    <w:abstractNumId w:val="17"/>
  </w:num>
  <w:num w:numId="8">
    <w:abstractNumId w:val="17"/>
  </w:num>
  <w:num w:numId="9">
    <w:abstractNumId w:val="17"/>
  </w:num>
  <w:num w:numId="10">
    <w:abstractNumId w:val="15"/>
  </w:num>
  <w:num w:numId="11">
    <w:abstractNumId w:val="17"/>
  </w:num>
  <w:num w:numId="12">
    <w:abstractNumId w:val="19"/>
  </w:num>
  <w:num w:numId="13">
    <w:abstractNumId w:val="17"/>
  </w:num>
  <w:num w:numId="14">
    <w:abstractNumId w:val="21"/>
  </w:num>
  <w:num w:numId="15">
    <w:abstractNumId w:val="21"/>
  </w:num>
  <w:num w:numId="16">
    <w:abstractNumId w:val="33"/>
  </w:num>
  <w:num w:numId="17">
    <w:abstractNumId w:val="24"/>
  </w:num>
  <w:num w:numId="18">
    <w:abstractNumId w:val="29"/>
  </w:num>
  <w:num w:numId="19">
    <w:abstractNumId w:val="27"/>
  </w:num>
  <w:num w:numId="20">
    <w:abstractNumId w:val="24"/>
  </w:num>
  <w:num w:numId="21">
    <w:abstractNumId w:val="14"/>
  </w:num>
  <w:num w:numId="22">
    <w:abstractNumId w:val="20"/>
  </w:num>
  <w:num w:numId="23">
    <w:abstractNumId w:val="29"/>
  </w:num>
  <w:num w:numId="24">
    <w:abstractNumId w:val="27"/>
  </w:num>
  <w:num w:numId="25">
    <w:abstractNumId w:val="24"/>
  </w:num>
  <w:num w:numId="26">
    <w:abstractNumId w:val="14"/>
  </w:num>
  <w:num w:numId="27">
    <w:abstractNumId w:val="20"/>
  </w:num>
  <w:num w:numId="28">
    <w:abstractNumId w:val="29"/>
  </w:num>
  <w:num w:numId="29">
    <w:abstractNumId w:val="24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2"/>
  </w:num>
  <w:num w:numId="39">
    <w:abstractNumId w:val="28"/>
  </w:num>
  <w:num w:numId="40">
    <w:abstractNumId w:val="32"/>
  </w:num>
  <w:num w:numId="41">
    <w:abstractNumId w:val="16"/>
  </w:num>
  <w:num w:numId="42">
    <w:abstractNumId w:val="31"/>
  </w:num>
  <w:num w:numId="43">
    <w:abstractNumId w:val="18"/>
  </w:num>
  <w:num w:numId="44">
    <w:abstractNumId w:val="30"/>
  </w:num>
  <w:num w:numId="45">
    <w:abstractNumId w:val="11"/>
  </w:num>
  <w:num w:numId="46">
    <w:abstractNumId w:val="10"/>
  </w:num>
  <w:num w:numId="47">
    <w:abstractNumId w:val="23"/>
  </w:num>
  <w:num w:numId="48">
    <w:abstractNumId w:val="26"/>
  </w:num>
  <w:num w:numId="49">
    <w:abstractNumId w:val="13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E0"/>
    <w:rsid w:val="00051914"/>
    <w:rsid w:val="00056B63"/>
    <w:rsid w:val="000F430A"/>
    <w:rsid w:val="001E1617"/>
    <w:rsid w:val="00212C4F"/>
    <w:rsid w:val="00267992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93BE0"/>
    <w:rsid w:val="008F1115"/>
    <w:rsid w:val="008F3852"/>
    <w:rsid w:val="00914374"/>
    <w:rsid w:val="00925CE8"/>
    <w:rsid w:val="00AA6B09"/>
    <w:rsid w:val="00BD44B5"/>
    <w:rsid w:val="00C05D66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93BE0"/>
    <w:pPr>
      <w:spacing w:after="200" w:line="276" w:lineRule="auto"/>
    </w:pPr>
    <w:rPr>
      <w:rFonts w:ascii="Calibri" w:hAnsi="Calibri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 w:after="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ervorhebung">
    <w:name w:val="Emphasis"/>
    <w:qFormat/>
    <w:rsid w:val="00893BE0"/>
    <w:rPr>
      <w:rFonts w:ascii="Univers 45 Light" w:hAnsi="Univers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93BE0"/>
    <w:pPr>
      <w:spacing w:after="200" w:line="276" w:lineRule="auto"/>
    </w:pPr>
    <w:rPr>
      <w:rFonts w:ascii="Calibri" w:hAnsi="Calibri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 w:after="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ervorhebung">
    <w:name w:val="Emphasis"/>
    <w:qFormat/>
    <w:rsid w:val="00893BE0"/>
    <w:rPr>
      <w:rFonts w:ascii="Univers 45 Light" w:hAnsi="Univers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A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4</Pages>
  <Words>819</Words>
  <Characters>5165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