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kans-v3"/>
    <w:p>
      <w:pPr>
        <w:pStyle w:val="Heading1"/>
      </w:pPr>
      <w:r>
        <w:t xml:space="preserve">MIKANS v3</w:t>
      </w:r>
    </w:p>
    <w:bookmarkEnd w:id="20"/>
    <w:bookmarkStart w:id="21" w:name="admin_spec_v3.md"/>
    <w:p>
      <w:pPr>
        <w:pStyle w:val="Heading1"/>
      </w:pPr>
      <w:r>
        <w:t xml:space="preserve">04_Admin_Spec_v3.md</w:t>
      </w:r>
    </w:p>
    <w:p>
      <w:pPr>
        <w:pStyle w:val="FirstParagraph"/>
      </w:pPr>
      <w:r>
        <w:t xml:space="preserve">Version: 3.0</w:t>
      </w:r>
      <w:r>
        <w:t xml:space="preserve"> </w:t>
      </w:r>
      <w:r>
        <w:t xml:space="preserve">Updated: 2026-06-09</w:t>
      </w:r>
    </w:p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Admin Side là khu vực dành cho đội triển khai và vận hành hệ thống MIKANS.</w:t>
      </w:r>
    </w:p>
    <w:p>
      <w:pPr>
        <w:pStyle w:val="BodyText"/>
      </w:pPr>
      <w:r>
        <w:t xml:space="preserve">System Admin chịu trách nhiệm:</w:t>
      </w:r>
    </w:p>
    <w:p>
      <w:pPr>
        <w:pStyle w:val="Compact"/>
        <w:numPr>
          <w:ilvl w:val="0"/>
          <w:numId w:val="1001"/>
        </w:numPr>
      </w:pPr>
      <w:r>
        <w:t xml:space="preserve">Quản lý Plan</w:t>
      </w:r>
    </w:p>
    <w:p>
      <w:pPr>
        <w:pStyle w:val="Compact"/>
        <w:numPr>
          <w:ilvl w:val="0"/>
          <w:numId w:val="1001"/>
        </w:numPr>
      </w:pPr>
      <w:r>
        <w:t xml:space="preserve">Quản lý Tenant</w:t>
      </w:r>
    </w:p>
    <w:p>
      <w:pPr>
        <w:pStyle w:val="Compact"/>
        <w:numPr>
          <w:ilvl w:val="0"/>
          <w:numId w:val="1001"/>
        </w:numPr>
      </w:pPr>
      <w:r>
        <w:t xml:space="preserve">Quản lý Service</w:t>
      </w:r>
    </w:p>
    <w:p>
      <w:pPr>
        <w:pStyle w:val="Compact"/>
        <w:numPr>
          <w:ilvl w:val="0"/>
          <w:numId w:val="1001"/>
        </w:numPr>
      </w:pPr>
      <w:r>
        <w:t xml:space="preserve">Quản lý User của Tenant</w:t>
      </w:r>
    </w:p>
    <w:p>
      <w:pPr>
        <w:pStyle w:val="Compact"/>
        <w:numPr>
          <w:ilvl w:val="0"/>
          <w:numId w:val="1001"/>
        </w:numPr>
      </w:pPr>
      <w:r>
        <w:t xml:space="preserve">Quản lý Master Definition</w:t>
      </w:r>
    </w:p>
    <w:p>
      <w:pPr>
        <w:pStyle w:val="Compact"/>
        <w:numPr>
          <w:ilvl w:val="0"/>
          <w:numId w:val="1001"/>
        </w:numPr>
      </w:pPr>
      <w:r>
        <w:t xml:space="preserve">Quản lý Master Relation</w:t>
      </w:r>
    </w:p>
    <w:p>
      <w:pPr>
        <w:pStyle w:val="Compact"/>
        <w:numPr>
          <w:ilvl w:val="0"/>
          <w:numId w:val="1001"/>
        </w:numPr>
      </w:pPr>
      <w:r>
        <w:t xml:space="preserve">Quản lý Import Mapping</w:t>
      </w:r>
    </w:p>
    <w:p>
      <w:pPr>
        <w:pStyle w:val="Compact"/>
        <w:numPr>
          <w:ilvl w:val="0"/>
          <w:numId w:val="1001"/>
        </w:numPr>
      </w:pPr>
      <w:r>
        <w:t xml:space="preserve">Quản lý Allocation Rule</w:t>
      </w:r>
    </w:p>
    <w:p>
      <w:pPr>
        <w:pStyle w:val="Compact"/>
        <w:numPr>
          <w:ilvl w:val="0"/>
          <w:numId w:val="1001"/>
        </w:numPr>
      </w:pPr>
      <w:r>
        <w:t xml:space="preserve">Quản lý Audit Log</w:t>
      </w:r>
    </w:p>
    <w:p>
      <w:pPr>
        <w:pStyle w:val="FirstParagraph"/>
      </w:pPr>
      <w:r>
        <w:t xml:space="preserve">Tenant User không được phép thực hiện các chức năng trên.</w:t>
      </w:r>
    </w:p>
    <w:p>
      <w:r>
        <w:pict>
          <v:rect style="width:0;height:1.5pt" o:hralign="center" o:hrstd="t" o:hr="t"/>
        </w:pict>
      </w:r>
    </w:p>
    <w:bookmarkEnd w:id="22"/>
    <w:bookmarkStart w:id="23" w:name="menu-structure"/>
    <w:p>
      <w:pPr>
        <w:pStyle w:val="Heading1"/>
      </w:pPr>
      <w:r>
        <w:t xml:space="preserve">2. Menu Structure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Plan Management</w:t>
      </w:r>
      <w:r>
        <w:br/>
      </w:r>
      <w:r>
        <w:rPr>
          <w:rStyle w:val="VerbatimChar"/>
        </w:rPr>
        <w:t xml:space="preserve"> ├─ Plan List</w:t>
      </w:r>
      <w:r>
        <w:br/>
      </w:r>
      <w:r>
        <w:rPr>
          <w:rStyle w:val="VerbatimChar"/>
        </w:rPr>
        <w:t xml:space="preserve"> └─ Plan Detail</w:t>
      </w:r>
      <w:r>
        <w:br/>
      </w:r>
      <w:r>
        <w:br/>
      </w:r>
      <w:r>
        <w:rPr>
          <w:rStyle w:val="VerbatimChar"/>
        </w:rPr>
        <w:t xml:space="preserve">Tenant Management</w:t>
      </w:r>
      <w:r>
        <w:br/>
      </w:r>
      <w:r>
        <w:rPr>
          <w:rStyle w:val="VerbatimChar"/>
        </w:rPr>
        <w:t xml:space="preserve"> ├─ Tenant List</w:t>
      </w:r>
      <w:r>
        <w:br/>
      </w:r>
      <w:r>
        <w:rPr>
          <w:rStyle w:val="VerbatimChar"/>
        </w:rPr>
        <w:t xml:space="preserve"> ├─ Tenant Create</w:t>
      </w:r>
      <w:r>
        <w:br/>
      </w:r>
      <w:r>
        <w:rPr>
          <w:rStyle w:val="VerbatimChar"/>
        </w:rPr>
        <w:t xml:space="preserve"> └─ Tenant Detail</w:t>
      </w:r>
      <w:r>
        <w:br/>
      </w:r>
      <w:r>
        <w:br/>
      </w:r>
      <w:r>
        <w:rPr>
          <w:rStyle w:val="VerbatimChar"/>
        </w:rPr>
        <w:t xml:space="preserve">Tenant Setup</w:t>
      </w:r>
      <w:r>
        <w:br/>
      </w:r>
      <w:r>
        <w:rPr>
          <w:rStyle w:val="VerbatimChar"/>
        </w:rPr>
        <w:t xml:space="preserve"> ├─ Company Information</w:t>
      </w:r>
      <w:r>
        <w:br/>
      </w:r>
      <w:r>
        <w:rPr>
          <w:rStyle w:val="VerbatimChar"/>
        </w:rPr>
        <w:t xml:space="preserve"> ├─ User Management</w:t>
      </w:r>
      <w:r>
        <w:br/>
      </w:r>
      <w:r>
        <w:rPr>
          <w:rStyle w:val="VerbatimChar"/>
        </w:rPr>
        <w:t xml:space="preserve"> ├─ Service Configuration</w:t>
      </w:r>
      <w:r>
        <w:br/>
      </w:r>
      <w:r>
        <w:rPr>
          <w:rStyle w:val="VerbatimChar"/>
        </w:rPr>
        <w:t xml:space="preserve"> ├─ Master Configuration</w:t>
      </w:r>
      <w:r>
        <w:br/>
      </w:r>
      <w:r>
        <w:rPr>
          <w:rStyle w:val="VerbatimChar"/>
        </w:rPr>
        <w:t xml:space="preserve"> ├─ Master Relation Configuration</w:t>
      </w:r>
      <w:r>
        <w:br/>
      </w:r>
      <w:r>
        <w:rPr>
          <w:rStyle w:val="VerbatimChar"/>
        </w:rPr>
        <w:t xml:space="preserve"> ├─ Import Configuration</w:t>
      </w:r>
      <w:r>
        <w:br/>
      </w:r>
      <w:r>
        <w:rPr>
          <w:rStyle w:val="VerbatimChar"/>
        </w:rPr>
        <w:t xml:space="preserve"> ├─ Allocation Rule Configuration</w:t>
      </w:r>
      <w:r>
        <w:br/>
      </w:r>
      <w:r>
        <w:rPr>
          <w:rStyle w:val="VerbatimChar"/>
        </w:rPr>
        <w:t xml:space="preserve"> └─ Publish Configuration</w:t>
      </w:r>
      <w:r>
        <w:br/>
      </w:r>
      <w:r>
        <w:br/>
      </w:r>
      <w:r>
        <w:rPr>
          <w:rStyle w:val="VerbatimChar"/>
        </w:rPr>
        <w:t xml:space="preserve">Audit Log</w:t>
      </w:r>
    </w:p>
    <w:p>
      <w:r>
        <w:pict>
          <v:rect style="width:0;height:1.5pt" o:hralign="center" o:hrstd="t" o:hr="t"/>
        </w:pict>
      </w:r>
    </w:p>
    <w:bookmarkEnd w:id="23"/>
    <w:bookmarkStart w:id="24" w:name="screen-list"/>
    <w:p>
      <w:pPr>
        <w:pStyle w:val="Heading1"/>
      </w:pPr>
      <w:r>
        <w:t xml:space="preserve">3. Screen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ID</w:t>
            </w:r>
          </w:p>
        </w:tc>
        <w:tc>
          <w:tcPr/>
          <w:p>
            <w:pPr>
              <w:pStyle w:val="Compact"/>
            </w:pPr>
            <w:r>
              <w:t xml:space="preserve">Screen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SCR_ADM_LGN_001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SCR_ADM_DSB_001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SCR_ADM_PLN_001</w:t>
            </w:r>
          </w:p>
        </w:tc>
        <w:tc>
          <w:tcPr/>
          <w:p>
            <w:pPr>
              <w:pStyle w:val="Compact"/>
            </w:pPr>
            <w:r>
              <w:t xml:space="preserve">Plan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SCR_ADM_PLN_002</w:t>
            </w:r>
          </w:p>
        </w:tc>
        <w:tc>
          <w:tcPr/>
          <w:p>
            <w:pPr>
              <w:pStyle w:val="Compact"/>
            </w:pPr>
            <w:r>
              <w:t xml:space="preserve">Plan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SCR_ADM_TNT_001</w:t>
            </w:r>
          </w:p>
        </w:tc>
        <w:tc>
          <w:tcPr/>
          <w:p>
            <w:pPr>
              <w:pStyle w:val="Compact"/>
            </w:pPr>
            <w:r>
              <w:t xml:space="preserve">Tenant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SCR_ADM_TNT_002</w:t>
            </w:r>
          </w:p>
        </w:tc>
        <w:tc>
          <w:tcPr/>
          <w:p>
            <w:pPr>
              <w:pStyle w:val="Compact"/>
            </w:pPr>
            <w:r>
              <w:t xml:space="preserve">Tenant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SCR_ADM_TNT_003</w:t>
            </w:r>
          </w:p>
        </w:tc>
        <w:tc>
          <w:tcPr/>
          <w:p>
            <w:pPr>
              <w:pStyle w:val="Compact"/>
            </w:pPr>
            <w:r>
              <w:t xml:space="preserve">Tenant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SCR_ADM_TNT_SET_001</w:t>
            </w:r>
          </w:p>
        </w:tc>
        <w:tc>
          <w:tcPr/>
          <w:p>
            <w:pPr>
              <w:pStyle w:val="Compact"/>
            </w:pPr>
            <w:r>
              <w:t xml:space="preserve">Company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SCR_ADM_TNT_SET_002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SCR_ADM_TNT_SET_003</w:t>
            </w:r>
          </w:p>
        </w:tc>
        <w:tc>
          <w:tcPr/>
          <w:p>
            <w:pPr>
              <w:pStyle w:val="Compact"/>
            </w:pPr>
            <w:r>
              <w:t xml:space="preserve">Service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SCR_ADM_TNT_SET_004</w:t>
            </w:r>
          </w:p>
        </w:tc>
        <w:tc>
          <w:tcPr/>
          <w:p>
            <w:pPr>
              <w:pStyle w:val="Compact"/>
            </w:pPr>
            <w:r>
              <w:t xml:space="preserve">Master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SCR_ADM_TNT_SET_005</w:t>
            </w:r>
          </w:p>
        </w:tc>
        <w:tc>
          <w:tcPr/>
          <w:p>
            <w:pPr>
              <w:pStyle w:val="Compact"/>
            </w:pPr>
            <w:r>
              <w:t xml:space="preserve">Master Relation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SCR_ADM_TNT_SET_006</w:t>
            </w:r>
          </w:p>
        </w:tc>
        <w:tc>
          <w:tcPr/>
          <w:p>
            <w:pPr>
              <w:pStyle w:val="Compact"/>
            </w:pPr>
            <w:r>
              <w:t xml:space="preserve">Import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SCR_ADM_TNT_SET_007</w:t>
            </w:r>
          </w:p>
        </w:tc>
        <w:tc>
          <w:tcPr/>
          <w:p>
            <w:pPr>
              <w:pStyle w:val="Compact"/>
            </w:pPr>
            <w:r>
              <w:t xml:space="preserve">Allocation Rule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SCR_ADM_TNT_SET_008</w:t>
            </w:r>
          </w:p>
        </w:tc>
        <w:tc>
          <w:tcPr/>
          <w:p>
            <w:pPr>
              <w:pStyle w:val="Compact"/>
            </w:pPr>
            <w:r>
              <w:t xml:space="preserve">Publish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SCR_ADM_AUD_001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dashboard"/>
    <w:p>
      <w:pPr>
        <w:pStyle w:val="Heading1"/>
      </w:pPr>
      <w:r>
        <w:t xml:space="preserve">4. Dashboard</w:t>
      </w:r>
    </w:p>
    <w:p>
      <w:pPr>
        <w:pStyle w:val="FirstParagraph"/>
      </w:pPr>
      <w:r>
        <w:t xml:space="preserve">Screen ID:</w:t>
      </w:r>
    </w:p>
    <w:p>
      <w:pPr>
        <w:pStyle w:val="BodyText"/>
      </w:pPr>
      <w:r>
        <w:t xml:space="preserve">SCR_ADM_DSB_001</w:t>
      </w:r>
    </w:p>
    <w:bookmarkStart w:id="25" w:name="kpi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02"/>
        </w:numPr>
      </w:pPr>
      <w:r>
        <w:t xml:space="preserve">Active Tenants</w:t>
      </w:r>
    </w:p>
    <w:p>
      <w:pPr>
        <w:pStyle w:val="Compact"/>
        <w:numPr>
          <w:ilvl w:val="0"/>
          <w:numId w:val="1002"/>
        </w:numPr>
      </w:pPr>
      <w:r>
        <w:t xml:space="preserve">Total Users</w:t>
      </w:r>
    </w:p>
    <w:p>
      <w:pPr>
        <w:pStyle w:val="Compact"/>
        <w:numPr>
          <w:ilvl w:val="0"/>
          <w:numId w:val="1002"/>
        </w:numPr>
      </w:pPr>
      <w:r>
        <w:t xml:space="preserve">Total Quotations</w:t>
      </w:r>
    </w:p>
    <w:p>
      <w:pPr>
        <w:pStyle w:val="Compact"/>
        <w:numPr>
          <w:ilvl w:val="0"/>
          <w:numId w:val="1002"/>
        </w:numPr>
      </w:pPr>
      <w:r>
        <w:t xml:space="preserve">Total Imports</w:t>
      </w:r>
    </w:p>
    <w:p>
      <w:pPr>
        <w:pStyle w:val="Compact"/>
        <w:numPr>
          <w:ilvl w:val="0"/>
          <w:numId w:val="1002"/>
        </w:numPr>
      </w:pPr>
      <w:r>
        <w:t xml:space="preserve">Total Allocations</w:t>
      </w:r>
    </w:p>
    <w:bookmarkEnd w:id="25"/>
    <w:bookmarkStart w:id="26" w:name="charts"/>
    <w:p>
      <w:pPr>
        <w:pStyle w:val="Heading2"/>
      </w:pPr>
      <w:r>
        <w:t xml:space="preserve">Charts</w:t>
      </w:r>
    </w:p>
    <w:p>
      <w:pPr>
        <w:pStyle w:val="Compact"/>
        <w:numPr>
          <w:ilvl w:val="0"/>
          <w:numId w:val="1003"/>
        </w:numPr>
      </w:pPr>
      <w:r>
        <w:t xml:space="preserve">Top 10 Tenants</w:t>
      </w:r>
    </w:p>
    <w:p>
      <w:pPr>
        <w:pStyle w:val="Compact"/>
        <w:numPr>
          <w:ilvl w:val="0"/>
          <w:numId w:val="1003"/>
        </w:numPr>
      </w:pPr>
      <w:r>
        <w:t xml:space="preserve">Plan Distribution</w:t>
      </w:r>
    </w:p>
    <w:p>
      <w:pPr>
        <w:pStyle w:val="Compact"/>
        <w:numPr>
          <w:ilvl w:val="0"/>
          <w:numId w:val="1003"/>
        </w:numPr>
      </w:pPr>
      <w:r>
        <w:t xml:space="preserve">Monthly Quotation Trend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lan-management"/>
    <w:p>
      <w:pPr>
        <w:pStyle w:val="Heading1"/>
      </w:pPr>
      <w:r>
        <w:t xml:space="preserve">5. Plan Management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SCR_ADM_PLN_001</w:t>
      </w:r>
    </w:p>
    <w:p>
      <w:pPr>
        <w:pStyle w:val="BodyText"/>
      </w:pPr>
      <w:r>
        <w:t xml:space="preserve">SCR_ADM_PLN_002</w:t>
      </w:r>
    </w:p>
    <w:bookmarkStart w:id="28" w:name="plan-structure"/>
    <w:p>
      <w:pPr>
        <w:pStyle w:val="Heading2"/>
      </w:pPr>
      <w:r>
        <w:t xml:space="preserve">Plan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Code</w:t>
            </w:r>
          </w:p>
        </w:tc>
        <w:tc>
          <w:tcPr/>
          <w:p>
            <w:pPr>
              <w:pStyle w:val="Compact"/>
            </w:pPr>
            <w:r>
              <w:t xml:space="preserve">Unique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Limit</w:t>
            </w:r>
          </w:p>
        </w:tc>
        <w:tc>
          <w:tcPr/>
          <w:p>
            <w:pPr>
              <w:pStyle w:val="Compact"/>
            </w:pPr>
            <w:r>
              <w:t xml:space="preserve">Max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Limit</w:t>
            </w:r>
          </w:p>
        </w:tc>
        <w:tc>
          <w:tcPr/>
          <w:p>
            <w:pPr>
              <w:pStyle w:val="Compact"/>
            </w:pPr>
            <w:r>
              <w:t xml:space="preserve">Max Quotations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Limit</w:t>
            </w:r>
          </w:p>
        </w:tc>
        <w:tc>
          <w:tcPr/>
          <w:p>
            <w:pPr>
              <w:pStyle w:val="Compact"/>
            </w:pPr>
            <w:r>
              <w:t xml:space="preserve">Storage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vailable-services"/>
    <w:p>
      <w:pPr>
        <w:pStyle w:val="Heading2"/>
      </w:pPr>
      <w:r>
        <w:t xml:space="preserve">Available Services</w:t>
      </w:r>
    </w:p>
    <w:p>
      <w:pPr>
        <w:pStyle w:val="FirstParagraph"/>
      </w:pPr>
      <w:r>
        <w:t xml:space="preserve">Each Plan can define default services.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Starter</w:t>
      </w:r>
    </w:p>
    <w:p>
      <w:pPr>
        <w:pStyle w:val="Compact"/>
        <w:numPr>
          <w:ilvl w:val="0"/>
          <w:numId w:val="1004"/>
        </w:numPr>
      </w:pPr>
      <w:r>
        <w:t xml:space="preserve">quotation</w:t>
      </w:r>
    </w:p>
    <w:p>
      <w:pPr>
        <w:pStyle w:val="Compact"/>
        <w:numPr>
          <w:ilvl w:val="0"/>
          <w:numId w:val="1004"/>
        </w:numPr>
      </w:pPr>
      <w:r>
        <w:t xml:space="preserve">accounting</w:t>
      </w:r>
    </w:p>
    <w:p>
      <w:pPr>
        <w:pStyle w:val="FirstParagraph"/>
      </w:pPr>
      <w:r>
        <w:t xml:space="preserve">Business</w:t>
      </w:r>
    </w:p>
    <w:p>
      <w:pPr>
        <w:pStyle w:val="Compact"/>
        <w:numPr>
          <w:ilvl w:val="0"/>
          <w:numId w:val="1005"/>
        </w:numPr>
      </w:pPr>
      <w:r>
        <w:t xml:space="preserve">quotation</w:t>
      </w:r>
    </w:p>
    <w:p>
      <w:pPr>
        <w:pStyle w:val="Compact"/>
        <w:numPr>
          <w:ilvl w:val="0"/>
          <w:numId w:val="1005"/>
        </w:numPr>
      </w:pPr>
      <w:r>
        <w:t xml:space="preserve">quotation_import</w:t>
      </w:r>
    </w:p>
    <w:p>
      <w:pPr>
        <w:pStyle w:val="Compact"/>
        <w:numPr>
          <w:ilvl w:val="0"/>
          <w:numId w:val="1005"/>
        </w:numPr>
      </w:pPr>
      <w:r>
        <w:t xml:space="preserve">accounting</w:t>
      </w:r>
    </w:p>
    <w:p>
      <w:pPr>
        <w:pStyle w:val="FirstParagraph"/>
      </w:pPr>
      <w:r>
        <w:t xml:space="preserve">Enterprise</w:t>
      </w:r>
    </w:p>
    <w:p>
      <w:pPr>
        <w:pStyle w:val="Compact"/>
        <w:numPr>
          <w:ilvl w:val="0"/>
          <w:numId w:val="1006"/>
        </w:numPr>
      </w:pPr>
      <w:r>
        <w:t xml:space="preserve">all services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enant-management"/>
    <w:p>
      <w:pPr>
        <w:pStyle w:val="Heading1"/>
      </w:pPr>
      <w:r>
        <w:t xml:space="preserve">6. Tenant Management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SCR_ADM_TNT_001</w:t>
      </w:r>
    </w:p>
    <w:p>
      <w:pPr>
        <w:pStyle w:val="BodyText"/>
      </w:pPr>
      <w:r>
        <w:t xml:space="preserve">SCR_ADM_TNT_002</w:t>
      </w:r>
    </w:p>
    <w:p>
      <w:pPr>
        <w:pStyle w:val="BodyText"/>
      </w:pPr>
      <w:r>
        <w:t xml:space="preserve">SCR_ADM_TNT_003</w:t>
      </w:r>
    </w:p>
    <w:p>
      <w:r>
        <w:pict>
          <v:rect style="width:0;height:1.5pt" o:hralign="center" o:hrstd="t" o:hr="t"/>
        </w:pict>
      </w:r>
    </w:p>
    <w:bookmarkStart w:id="31" w:name="tenant-information"/>
    <w:p>
      <w:pPr>
        <w:pStyle w:val="Heading2"/>
      </w:pPr>
      <w:r>
        <w:t xml:space="preserve">Tenant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Code</w:t>
            </w:r>
          </w:p>
        </w:tc>
        <w:tc>
          <w:tcPr/>
          <w:p>
            <w:pPr>
              <w:pStyle w:val="Compact"/>
            </w:pPr>
            <w:r>
              <w:t xml:space="preserve">Auto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Current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Internal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usage-information"/>
    <w:p>
      <w:pPr>
        <w:pStyle w:val="Heading2"/>
      </w:pPr>
      <w:r>
        <w:t xml:space="preserve">Usage Information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15 / 20</w:t>
      </w:r>
    </w:p>
    <w:p>
      <w:pPr>
        <w:pStyle w:val="BodyText"/>
      </w:pPr>
      <w:r>
        <w:t xml:space="preserve">Quotations</w:t>
      </w:r>
    </w:p>
    <w:p>
      <w:pPr>
        <w:pStyle w:val="BodyText"/>
      </w:pPr>
      <w:r>
        <w:t xml:space="preserve">500 / 1000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2.5GB / 10GB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nant-setup"/>
    <w:p>
      <w:pPr>
        <w:pStyle w:val="Heading1"/>
      </w:pPr>
      <w:r>
        <w:t xml:space="preserve">7. Tenant Setup</w:t>
      </w:r>
    </w:p>
    <w:p>
      <w:pPr>
        <w:pStyle w:val="FirstParagraph"/>
      </w:pPr>
      <w:r>
        <w:t xml:space="preserve">Every setup screen requires:</w:t>
      </w:r>
    </w:p>
    <w:p>
      <w:pPr>
        <w:pStyle w:val="BodyText"/>
      </w:pPr>
      <w:r>
        <w:t xml:space="preserve">Tenant Selector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Tenant:</w:t>
      </w:r>
    </w:p>
    <w:p>
      <w:pPr>
        <w:pStyle w:val="BodyText"/>
      </w:pPr>
      <w:r>
        <w:rPr>
          <w:rFonts w:hint="eastAsia"/>
        </w:rPr>
        <w:t xml:space="preserve">[株式会社ABC</w:t>
      </w:r>
      <w:r>
        <w:t xml:space="preserve"> ▼]</w:t>
      </w:r>
    </w:p>
    <w:p>
      <w:pPr>
        <w:pStyle w:val="BodyText"/>
      </w:pPr>
      <w:r>
        <w:t xml:space="preserve">All configurations belong to selected tenant.</w:t>
      </w:r>
    </w:p>
    <w:p>
      <w:r>
        <w:pict>
          <v:rect style="width:0;height:1.5pt" o:hralign="center" o:hrstd="t" o:hr="t"/>
        </w:pict>
      </w:r>
    </w:p>
    <w:bookmarkEnd w:id="34"/>
    <w:bookmarkStart w:id="36" w:name="company-information"/>
    <w:p>
      <w:pPr>
        <w:pStyle w:val="Heading1"/>
      </w:pPr>
      <w:r>
        <w:t xml:space="preserve">8. Company Information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SCR_ADM_TNT_SET_001</w:t>
      </w:r>
    </w:p>
    <w:bookmarkStart w:id="35" w:name="fields"/>
    <w:p>
      <w:pPr>
        <w:pStyle w:val="Heading2"/>
      </w:pPr>
      <w:r>
        <w:t xml:space="preserve">Fields</w:t>
      </w:r>
    </w:p>
    <w:p>
      <w:pPr>
        <w:pStyle w:val="Compact"/>
        <w:numPr>
          <w:ilvl w:val="0"/>
          <w:numId w:val="1007"/>
        </w:numPr>
      </w:pPr>
      <w:r>
        <w:t xml:space="preserve">Company Name</w:t>
      </w:r>
    </w:p>
    <w:p>
      <w:pPr>
        <w:pStyle w:val="Compact"/>
        <w:numPr>
          <w:ilvl w:val="0"/>
          <w:numId w:val="1007"/>
        </w:numPr>
      </w:pPr>
      <w:r>
        <w:t xml:space="preserve">Company Name Kana</w:t>
      </w:r>
    </w:p>
    <w:p>
      <w:pPr>
        <w:pStyle w:val="Compact"/>
        <w:numPr>
          <w:ilvl w:val="0"/>
          <w:numId w:val="1007"/>
        </w:numPr>
      </w:pPr>
      <w:r>
        <w:t xml:space="preserve">Postal Code</w:t>
      </w:r>
    </w:p>
    <w:p>
      <w:pPr>
        <w:pStyle w:val="Compact"/>
        <w:numPr>
          <w:ilvl w:val="0"/>
          <w:numId w:val="1007"/>
        </w:numPr>
      </w:pPr>
      <w:r>
        <w:t xml:space="preserve">Address</w:t>
      </w:r>
    </w:p>
    <w:p>
      <w:pPr>
        <w:pStyle w:val="Compact"/>
        <w:numPr>
          <w:ilvl w:val="0"/>
          <w:numId w:val="1007"/>
        </w:numPr>
      </w:pPr>
      <w:r>
        <w:t xml:space="preserve">Phone</w:t>
      </w:r>
    </w:p>
    <w:p>
      <w:pPr>
        <w:pStyle w:val="Compact"/>
        <w:numPr>
          <w:ilvl w:val="0"/>
          <w:numId w:val="1007"/>
        </w:numPr>
      </w:pPr>
      <w:r>
        <w:t xml:space="preserve">Fax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Website</w:t>
      </w:r>
    </w:p>
    <w:p>
      <w:pPr>
        <w:pStyle w:val="Compact"/>
        <w:numPr>
          <w:ilvl w:val="0"/>
          <w:numId w:val="1007"/>
        </w:numPr>
      </w:pPr>
      <w:r>
        <w:t xml:space="preserve">Registration Number</w:t>
      </w:r>
    </w:p>
    <w:p>
      <w:pPr>
        <w:pStyle w:val="Compact"/>
        <w:numPr>
          <w:ilvl w:val="0"/>
          <w:numId w:val="1007"/>
        </w:numPr>
      </w:pPr>
      <w:r>
        <w:t xml:space="preserve">Logo</w:t>
      </w:r>
    </w:p>
    <w:p>
      <w:pPr>
        <w:pStyle w:val="Compact"/>
        <w:numPr>
          <w:ilvl w:val="0"/>
          <w:numId w:val="1007"/>
        </w:numPr>
      </w:pPr>
      <w:r>
        <w:t xml:space="preserve">Company Seal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user-management"/>
    <w:p>
      <w:pPr>
        <w:pStyle w:val="Heading1"/>
      </w:pPr>
      <w:r>
        <w:t xml:space="preserve">9. User Management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SCR_ADM_TNT_SET_002</w:t>
      </w:r>
    </w:p>
    <w:bookmarkStart w:id="37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Create User</w:t>
      </w:r>
    </w:p>
    <w:p>
      <w:pPr>
        <w:pStyle w:val="Compact"/>
        <w:numPr>
          <w:ilvl w:val="0"/>
          <w:numId w:val="1008"/>
        </w:numPr>
      </w:pPr>
      <w:r>
        <w:t xml:space="preserve">Edit User</w:t>
      </w:r>
    </w:p>
    <w:p>
      <w:pPr>
        <w:pStyle w:val="Compact"/>
        <w:numPr>
          <w:ilvl w:val="0"/>
          <w:numId w:val="1008"/>
        </w:numPr>
      </w:pPr>
      <w:r>
        <w:t xml:space="preserve">Deactivate User</w:t>
      </w:r>
    </w:p>
    <w:p>
      <w:pPr>
        <w:pStyle w:val="Compact"/>
        <w:numPr>
          <w:ilvl w:val="0"/>
          <w:numId w:val="1008"/>
        </w:numPr>
      </w:pPr>
      <w:r>
        <w:t xml:space="preserve">Reset Password</w:t>
      </w:r>
    </w:p>
    <w:p>
      <w:r>
        <w:pict>
          <v:rect style="width:0;height:1.5pt" o:hralign="center" o:hrstd="t" o:hr="t"/>
        </w:pict>
      </w:r>
    </w:p>
    <w:bookmarkEnd w:id="37"/>
    <w:bookmarkStart w:id="38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tenant_admin</w:t>
      </w:r>
    </w:p>
    <w:p>
      <w:pPr>
        <w:pStyle w:val="BodyText"/>
      </w:pPr>
      <w:r>
        <w:t xml:space="preserve">member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ervice-configuration"/>
    <w:p>
      <w:pPr>
        <w:pStyle w:val="Heading1"/>
      </w:pPr>
      <w:r>
        <w:t xml:space="preserve">10. Service Configuration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SCR_ADM_TNT_SET_003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Determine which services are available to tenant.</w:t>
      </w:r>
    </w:p>
    <w:p>
      <w:r>
        <w:pict>
          <v:rect style="width:0;height:1.5pt" o:hralign="center" o:hrstd="t" o:hr="t"/>
        </w:pict>
      </w:r>
    </w:p>
    <w:bookmarkStart w:id="40" w:name="service-list"/>
    <w:p>
      <w:pPr>
        <w:pStyle w:val="Heading2"/>
      </w:pPr>
      <w:r>
        <w:t xml:space="preserve">Service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Code</w:t>
            </w:r>
          </w:p>
        </w:tc>
        <w:tc>
          <w:tcPr/>
          <w:p>
            <w:pPr>
              <w:pStyle w:val="Compact"/>
            </w:pPr>
            <w:r>
              <w:t xml:space="preserve">Service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quotation_import</w:t>
            </w:r>
          </w:p>
        </w:tc>
        <w:tc>
          <w:tcPr/>
          <w:p>
            <w:pPr>
              <w:pStyle w:val="Compact"/>
            </w:pPr>
            <w:r>
              <w:t xml:space="preserve">Quotation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Management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department_master</w:t>
            </w:r>
          </w:p>
        </w:tc>
        <w:tc>
          <w:tcPr/>
          <w:p>
            <w:pPr>
              <w:pStyle w:val="Compact"/>
            </w:pPr>
            <w:r>
              <w:t xml:space="preserve">Department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product_master</w:t>
            </w:r>
          </w:p>
        </w:tc>
        <w:tc>
          <w:tcPr/>
          <w:p>
            <w:pPr>
              <w:pStyle w:val="Compact"/>
            </w:pPr>
            <w:r>
              <w:t xml:space="preserve">Product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custom_master</w:t>
            </w:r>
          </w:p>
        </w:tc>
        <w:tc>
          <w:tcPr/>
          <w:p>
            <w:pPr>
              <w:pStyle w:val="Compact"/>
            </w:pPr>
            <w:r>
              <w:t xml:space="preserve">Custom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allocation_rule</w:t>
            </w:r>
          </w:p>
        </w:tc>
        <w:tc>
          <w:tcPr/>
          <w:p>
            <w:pPr>
              <w:pStyle w:val="Compact"/>
            </w:pPr>
            <w:r>
              <w:t xml:space="preserve">Allocation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ai_import</w:t>
            </w:r>
          </w:p>
        </w:tc>
        <w:tc>
          <w:tcPr/>
          <w:p>
            <w:pPr>
              <w:pStyle w:val="Compact"/>
            </w:pPr>
            <w:r>
              <w:t xml:space="preserve">AI Import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Enabled Service</w:t>
      </w:r>
    </w:p>
    <w:p>
      <w:pPr>
        <w:pStyle w:val="BodyText"/>
      </w:pPr>
      <w:r>
        <w:t xml:space="preserve">→ Feature available</w:t>
      </w:r>
    </w:p>
    <w:p>
      <w:pPr>
        <w:pStyle w:val="BodyText"/>
      </w:pPr>
      <w:r>
        <w:t xml:space="preserve">Disabled Service</w:t>
      </w:r>
    </w:p>
    <w:p>
      <w:pPr>
        <w:pStyle w:val="BodyText"/>
      </w:pPr>
      <w:r>
        <w:t xml:space="preserve">→ Feature hidden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aster-configuration"/>
    <w:p>
      <w:pPr>
        <w:pStyle w:val="Heading1"/>
      </w:pPr>
      <w:r>
        <w:t xml:space="preserve">11. Master Configuration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SCR_ADM_TNT_SET_004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and manage dynamic masters.</w:t>
      </w:r>
    </w:p>
    <w:p>
      <w:r>
        <w:pict>
          <v:rect style="width:0;height:1.5pt" o:hralign="center" o:hrstd="t" o:hr="t"/>
        </w:pict>
      </w:r>
    </w:p>
    <w:bookmarkStart w:id="43" w:name="supported-masters"/>
    <w:p>
      <w:pPr>
        <w:pStyle w:val="Heading2"/>
      </w:pPr>
      <w:r>
        <w:t xml:space="preserve">Supported Masters</w:t>
      </w:r>
    </w:p>
    <w:p>
      <w:pPr>
        <w:pStyle w:val="Compact"/>
        <w:numPr>
          <w:ilvl w:val="0"/>
          <w:numId w:val="1009"/>
        </w:numPr>
      </w:pPr>
      <w:r>
        <w:t xml:space="preserve">Product Master</w:t>
      </w:r>
    </w:p>
    <w:p>
      <w:pPr>
        <w:pStyle w:val="Compact"/>
        <w:numPr>
          <w:ilvl w:val="0"/>
          <w:numId w:val="1009"/>
        </w:numPr>
      </w:pPr>
      <w:r>
        <w:t xml:space="preserve">Supplier Master</w:t>
      </w:r>
    </w:p>
    <w:p>
      <w:pPr>
        <w:pStyle w:val="Compact"/>
        <w:numPr>
          <w:ilvl w:val="0"/>
          <w:numId w:val="1009"/>
        </w:numPr>
      </w:pPr>
      <w:r>
        <w:t xml:space="preserve">Customer Master</w:t>
      </w:r>
    </w:p>
    <w:p>
      <w:pPr>
        <w:pStyle w:val="Compact"/>
        <w:numPr>
          <w:ilvl w:val="0"/>
          <w:numId w:val="1009"/>
        </w:numPr>
      </w:pPr>
      <w:r>
        <w:t xml:space="preserve">Project Master</w:t>
      </w:r>
    </w:p>
    <w:p>
      <w:pPr>
        <w:pStyle w:val="Compact"/>
        <w:numPr>
          <w:ilvl w:val="0"/>
          <w:numId w:val="1009"/>
        </w:numPr>
      </w:pPr>
      <w:r>
        <w:t xml:space="preserve">Area Master</w:t>
      </w:r>
    </w:p>
    <w:p>
      <w:pPr>
        <w:pStyle w:val="FirstParagraph"/>
      </w:pPr>
      <w:r>
        <w:t xml:space="preserve">Or any custom master.</w:t>
      </w:r>
    </w:p>
    <w:p>
      <w:r>
        <w:pict>
          <v:rect style="width:0;height:1.5pt" o:hralign="center" o:hrstd="t" o:hr="t"/>
        </w:pict>
      </w:r>
    </w:p>
    <w:bookmarkEnd w:id="43"/>
    <w:bookmarkStart w:id="44" w:name="master-properties"/>
    <w:p>
      <w:pPr>
        <w:pStyle w:val="Heading2"/>
      </w:pPr>
      <w:r>
        <w:t xml:space="preserve">Master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Code</w:t>
            </w:r>
          </w:p>
        </w:tc>
        <w:tc>
          <w:tcPr/>
          <w:p>
            <w:pPr>
              <w:pStyle w:val="Compact"/>
            </w:pPr>
            <w:r>
              <w:t xml:space="preserve">Unique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Name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field-configuration"/>
    <w:p>
      <w:pPr>
        <w:pStyle w:val="Heading1"/>
      </w:pPr>
      <w:r>
        <w:t xml:space="preserve">12. Field Configuration</w:t>
      </w:r>
    </w:p>
    <w:p>
      <w:pPr>
        <w:pStyle w:val="FirstParagraph"/>
      </w:pPr>
      <w:r>
        <w:t xml:space="preserve">Inside Master Configuration.</w:t>
      </w:r>
    </w:p>
    <w:p>
      <w:r>
        <w:pict>
          <v:rect style="width:0;height:1.5pt" o:hralign="center" o:hrstd="t" o:hr="t"/>
        </w:pict>
      </w:r>
    </w:p>
    <w:bookmarkStart w:id="46" w:name="supported-types"/>
    <w:p>
      <w:pPr>
        <w:pStyle w:val="Heading2"/>
      </w:pPr>
      <w:r>
        <w:t xml:space="preserve">Supported Types</w:t>
      </w:r>
    </w:p>
    <w:p>
      <w:pPr>
        <w:pStyle w:val="Compact"/>
        <w:numPr>
          <w:ilvl w:val="0"/>
          <w:numId w:val="1010"/>
        </w:numPr>
      </w:pPr>
      <w:r>
        <w:t xml:space="preserve">text</w:t>
      </w:r>
    </w:p>
    <w:p>
      <w:pPr>
        <w:pStyle w:val="Compact"/>
        <w:numPr>
          <w:ilvl w:val="0"/>
          <w:numId w:val="1010"/>
        </w:numPr>
      </w:pPr>
      <w:r>
        <w:t xml:space="preserve">textarea</w:t>
      </w:r>
    </w:p>
    <w:p>
      <w:pPr>
        <w:pStyle w:val="Compact"/>
        <w:numPr>
          <w:ilvl w:val="0"/>
          <w:numId w:val="1010"/>
        </w:numPr>
      </w:pPr>
      <w:r>
        <w:t xml:space="preserve">number</w:t>
      </w:r>
    </w:p>
    <w:p>
      <w:pPr>
        <w:pStyle w:val="Compact"/>
        <w:numPr>
          <w:ilvl w:val="0"/>
          <w:numId w:val="1010"/>
        </w:numPr>
      </w:pPr>
      <w:r>
        <w:t xml:space="preserve">currency</w:t>
      </w:r>
    </w:p>
    <w:p>
      <w:pPr>
        <w:pStyle w:val="Compact"/>
        <w:numPr>
          <w:ilvl w:val="0"/>
          <w:numId w:val="1010"/>
        </w:numPr>
      </w:pPr>
      <w:r>
        <w:t xml:space="preserve">percentage</w:t>
      </w:r>
    </w:p>
    <w:p>
      <w:pPr>
        <w:pStyle w:val="Compact"/>
        <w:numPr>
          <w:ilvl w:val="0"/>
          <w:numId w:val="1010"/>
        </w:numPr>
      </w:pPr>
      <w:r>
        <w:t xml:space="preserve">date</w:t>
      </w:r>
    </w:p>
    <w:p>
      <w:pPr>
        <w:pStyle w:val="Compact"/>
        <w:numPr>
          <w:ilvl w:val="0"/>
          <w:numId w:val="1010"/>
        </w:numPr>
      </w:pPr>
      <w:r>
        <w:t xml:space="preserve">daterange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url</w:t>
      </w:r>
    </w:p>
    <w:p>
      <w:pPr>
        <w:pStyle w:val="Compact"/>
        <w:numPr>
          <w:ilvl w:val="0"/>
          <w:numId w:val="1010"/>
        </w:numPr>
      </w:pPr>
      <w:r>
        <w:t xml:space="preserve">checkbox</w:t>
      </w:r>
    </w:p>
    <w:p>
      <w:pPr>
        <w:pStyle w:val="Compact"/>
        <w:numPr>
          <w:ilvl w:val="0"/>
          <w:numId w:val="1010"/>
        </w:numPr>
      </w:pPr>
      <w:r>
        <w:t xml:space="preserve">radio</w:t>
      </w:r>
    </w:p>
    <w:p>
      <w:pPr>
        <w:pStyle w:val="Compact"/>
        <w:numPr>
          <w:ilvl w:val="0"/>
          <w:numId w:val="1010"/>
        </w:numPr>
      </w:pPr>
      <w:r>
        <w:t xml:space="preserve">select</w:t>
      </w:r>
    </w:p>
    <w:p>
      <w:pPr>
        <w:pStyle w:val="Compact"/>
        <w:numPr>
          <w:ilvl w:val="0"/>
          <w:numId w:val="1010"/>
        </w:numPr>
      </w:pPr>
      <w:r>
        <w:t xml:space="preserve">multiselect</w:t>
      </w:r>
    </w:p>
    <w:p>
      <w:pPr>
        <w:pStyle w:val="Compact"/>
        <w:numPr>
          <w:ilvl w:val="0"/>
          <w:numId w:val="1010"/>
        </w:numPr>
      </w:pPr>
      <w:r>
        <w:t xml:space="preserve">file</w:t>
      </w:r>
    </w:p>
    <w:p>
      <w:pPr>
        <w:pStyle w:val="Compact"/>
        <w:numPr>
          <w:ilvl w:val="0"/>
          <w:numId w:val="1010"/>
        </w:numPr>
      </w:pPr>
      <w:r>
        <w:t xml:space="preserve">reference</w:t>
      </w:r>
    </w:p>
    <w:p>
      <w:r>
        <w:pict>
          <v:rect style="width:0;height:1.5pt" o:hralign="center" o:hrstd="t" o:hr="t"/>
        </w:pict>
      </w:r>
    </w:p>
    <w:bookmarkEnd w:id="46"/>
    <w:bookmarkStart w:id="47" w:name="field-properties"/>
    <w:p>
      <w:pPr>
        <w:pStyle w:val="Heading2"/>
      </w:pPr>
      <w:r>
        <w:t xml:space="preserve">Field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Code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Key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Order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At least one field must be marked:</w:t>
      </w:r>
    </w:p>
    <w:p>
      <w:pPr>
        <w:pStyle w:val="BodyText"/>
      </w:pPr>
      <w:r>
        <w:t xml:space="preserve">Import Key</w:t>
      </w:r>
    </w:p>
    <w:p>
      <w:pPr>
        <w:pStyle w:val="BodyText"/>
      </w:pPr>
      <w:r>
        <w:t xml:space="preserve">Otherwise:</w:t>
      </w:r>
    </w:p>
    <w:p>
      <w:pPr>
        <w:pStyle w:val="BodyText"/>
      </w:pPr>
      <w:r>
        <w:t xml:space="preserve">Master cannot be Published.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master-relation-configuration"/>
    <w:p>
      <w:pPr>
        <w:pStyle w:val="Heading1"/>
      </w:pPr>
      <w:r>
        <w:t xml:space="preserve">13. Master Relation Configuration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SCR_ADM_TNT_SET_005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relation between masters.</w:t>
      </w:r>
    </w:p>
    <w:p>
      <w:r>
        <w:pict>
          <v:rect style="width:0;height:1.5pt" o:hralign="center" o:hrstd="t" o:hr="t"/>
        </w:pict>
      </w:r>
    </w:p>
    <w:bookmarkStart w:id="50" w:name="supported-relation"/>
    <w:p>
      <w:pPr>
        <w:pStyle w:val="Heading2"/>
      </w:pPr>
      <w:r>
        <w:t xml:space="preserve">Supported Relation</w:t>
      </w:r>
    </w:p>
    <w:p>
      <w:pPr>
        <w:pStyle w:val="FirstParagraph"/>
      </w:pPr>
      <w:r>
        <w:t xml:space="preserve">MVP</w:t>
      </w:r>
    </w:p>
    <w:p>
      <w:pPr>
        <w:pStyle w:val="BodyText"/>
      </w:pPr>
      <w:r>
        <w:t xml:space="preserve">Many To One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→ Supplier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→ Customer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→ Category</w:t>
      </w:r>
    </w:p>
    <w:p>
      <w:r>
        <w:pict>
          <v:rect style="width:0;height:1.5pt" o:hralign="center" o:hrstd="t" o:hr="t"/>
        </w:pict>
      </w:r>
    </w:p>
    <w:bookmarkEnd w:id="50"/>
    <w:bookmarkStart w:id="51" w:name="reference-configuration"/>
    <w:p>
      <w:pPr>
        <w:pStyle w:val="Heading2"/>
      </w:pPr>
      <w:r>
        <w:t xml:space="preserve">Reference Configuration</w:t>
      </w:r>
    </w:p>
    <w:p>
      <w:pPr>
        <w:pStyle w:val="FirstParagraph"/>
      </w:pPr>
      <w:r>
        <w:t xml:space="preserve">Field Type:</w:t>
      </w:r>
    </w:p>
    <w:p>
      <w:pPr>
        <w:pStyle w:val="BodyText"/>
      </w:pPr>
      <w:r>
        <w:t xml:space="preserve">reference</w:t>
      </w:r>
    </w:p>
    <w:p>
      <w:pPr>
        <w:pStyle w:val="BodyText"/>
      </w:pPr>
      <w:r>
        <w:t xml:space="preserve">Reference Master:</w:t>
      </w:r>
    </w:p>
    <w:p>
      <w:pPr>
        <w:pStyle w:val="BodyText"/>
      </w:pPr>
      <w:r>
        <w:t xml:space="preserve">Supplier Master</w:t>
      </w:r>
    </w:p>
    <w:p>
      <w:pPr>
        <w:pStyle w:val="BodyText"/>
      </w:pPr>
      <w:r>
        <w:t xml:space="preserve">Display Field:</w:t>
      </w:r>
    </w:p>
    <w:p>
      <w:pPr>
        <w:pStyle w:val="BodyText"/>
      </w:pPr>
      <w:r>
        <w:t xml:space="preserve">Supplier Name</w:t>
      </w:r>
    </w:p>
    <w:p>
      <w:pPr>
        <w:pStyle w:val="BodyText"/>
      </w:pPr>
      <w:r>
        <w:t xml:space="preserve">Key Field:</w:t>
      </w:r>
    </w:p>
    <w:p>
      <w:pPr>
        <w:pStyle w:val="BodyText"/>
      </w:pPr>
      <w:r>
        <w:t xml:space="preserve">Supplier Code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mport-configuration"/>
    <w:p>
      <w:pPr>
        <w:pStyle w:val="Heading1"/>
      </w:pPr>
      <w:r>
        <w:t xml:space="preserve">14. Import Configuration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SCR_ADM_TNT_SET_006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Configure import behavior.</w:t>
      </w:r>
    </w:p>
    <w:p>
      <w:r>
        <w:pict>
          <v:rect style="width:0;height:1.5pt" o:hralign="center" o:hrstd="t" o:hr="t"/>
        </w:pict>
      </w:r>
    </w:p>
    <w:bookmarkStart w:id="53" w:name="import-rules"/>
    <w:p>
      <w:pPr>
        <w:pStyle w:val="Heading2"/>
      </w:pPr>
      <w:r>
        <w:t xml:space="preserve">Import Rules</w:t>
      </w:r>
    </w:p>
    <w:p>
      <w:pPr>
        <w:pStyle w:val="Compact"/>
        <w:numPr>
          <w:ilvl w:val="0"/>
          <w:numId w:val="1011"/>
        </w:numPr>
      </w:pPr>
      <w:r>
        <w:t xml:space="preserve">Insert New Record</w:t>
      </w:r>
    </w:p>
    <w:p>
      <w:pPr>
        <w:pStyle w:val="Compact"/>
        <w:numPr>
          <w:ilvl w:val="0"/>
          <w:numId w:val="1011"/>
        </w:numPr>
      </w:pPr>
      <w:r>
        <w:t xml:space="preserve">Update Existing Record</w:t>
      </w:r>
    </w:p>
    <w:p>
      <w:pPr>
        <w:pStyle w:val="Compact"/>
        <w:numPr>
          <w:ilvl w:val="0"/>
          <w:numId w:val="1011"/>
        </w:numPr>
      </w:pPr>
      <w:r>
        <w:t xml:space="preserve">Validate Import Key</w:t>
      </w:r>
    </w:p>
    <w:p>
      <w:pPr>
        <w:pStyle w:val="Compact"/>
        <w:numPr>
          <w:ilvl w:val="0"/>
          <w:numId w:val="1011"/>
        </w:numPr>
      </w:pPr>
      <w:r>
        <w:t xml:space="preserve">Validate Reference Master</w:t>
      </w:r>
    </w:p>
    <w:p>
      <w:r>
        <w:pict>
          <v:rect style="width:0;height:1.5pt" o:hralign="center" o:hrstd="t" o:hr="t"/>
        </w:pict>
      </w:r>
    </w:p>
    <w:bookmarkEnd w:id="53"/>
    <w:bookmarkStart w:id="54" w:name="import-key-logic"/>
    <w:p>
      <w:pPr>
        <w:pStyle w:val="Heading2"/>
      </w:pPr>
      <w:r>
        <w:t xml:space="preserve">Import Key Logic</w:t>
      </w:r>
    </w:p>
    <w:p>
      <w:pPr>
        <w:pStyle w:val="FirstParagraph"/>
      </w:pPr>
      <w:r>
        <w:t xml:space="preserve">Existing Key</w:t>
      </w:r>
    </w:p>
    <w:p>
      <w:pPr>
        <w:pStyle w:val="BodyText"/>
      </w:pPr>
      <w:r>
        <w:t xml:space="preserve">→ Update</w:t>
      </w:r>
    </w:p>
    <w:p>
      <w:pPr>
        <w:pStyle w:val="BodyText"/>
      </w:pPr>
      <w:r>
        <w:t xml:space="preserve">New Key</w:t>
      </w:r>
    </w:p>
    <w:p>
      <w:pPr>
        <w:pStyle w:val="BodyText"/>
      </w:pPr>
      <w:r>
        <w:t xml:space="preserve">→ Insert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Required</w:t>
      </w:r>
    </w:p>
    <w:p>
      <w:pPr>
        <w:pStyle w:val="BodyText"/>
      </w:pPr>
      <w:r>
        <w:t xml:space="preserve">Unique</w:t>
      </w:r>
    </w:p>
    <w:p>
      <w:pPr>
        <w:pStyle w:val="BodyText"/>
      </w:pPr>
      <w:r>
        <w:t xml:space="preserve">Reference Exists</w:t>
      </w:r>
    </w:p>
    <w:p>
      <w:pPr>
        <w:pStyle w:val="BodyText"/>
      </w:pPr>
      <w:r>
        <w:t xml:space="preserve">Data Type</w:t>
      </w:r>
    </w:p>
    <w:p>
      <w:pPr>
        <w:pStyle w:val="BodyText"/>
      </w:pPr>
      <w:r>
        <w:t xml:space="preserve">Format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allocation-rule-configuration"/>
    <w:p>
      <w:pPr>
        <w:pStyle w:val="Heading1"/>
      </w:pPr>
      <w:r>
        <w:t xml:space="preserve">15. Allocation Rule Configuration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SCR_ADM_TNT_SET_007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Configure accounting allocation.</w:t>
      </w:r>
    </w:p>
    <w:p>
      <w:r>
        <w:pict>
          <v:rect style="width:0;height:1.5pt" o:hralign="center" o:hrstd="t" o:hr="t"/>
        </w:pict>
      </w:r>
    </w:p>
    <w:bookmarkStart w:id="57" w:name="rule-structure"/>
    <w:p>
      <w:pPr>
        <w:pStyle w:val="Heading2"/>
      </w:pPr>
      <w:r>
        <w:t xml:space="preserve">Rule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Target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AND / 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ondition-sources"/>
    <w:p>
      <w:pPr>
        <w:pStyle w:val="Heading2"/>
      </w:pPr>
      <w:r>
        <w:t xml:space="preserve">Condition Sources</w:t>
      </w:r>
    </w:p>
    <w:p>
      <w:pPr>
        <w:pStyle w:val="Compact"/>
        <w:numPr>
          <w:ilvl w:val="0"/>
          <w:numId w:val="1012"/>
        </w:numPr>
      </w:pPr>
      <w:r>
        <w:t xml:space="preserve">Product Master</w:t>
      </w:r>
    </w:p>
    <w:p>
      <w:pPr>
        <w:pStyle w:val="Compact"/>
        <w:numPr>
          <w:ilvl w:val="0"/>
          <w:numId w:val="1012"/>
        </w:numPr>
      </w:pPr>
      <w:r>
        <w:t xml:space="preserve">Department Master</w:t>
      </w:r>
    </w:p>
    <w:p>
      <w:pPr>
        <w:pStyle w:val="Compact"/>
        <w:numPr>
          <w:ilvl w:val="0"/>
          <w:numId w:val="1012"/>
        </w:numPr>
      </w:pPr>
      <w:r>
        <w:t xml:space="preserve">Custom Master</w:t>
      </w:r>
    </w:p>
    <w:p>
      <w:pPr>
        <w:pStyle w:val="Compact"/>
        <w:numPr>
          <w:ilvl w:val="0"/>
          <w:numId w:val="1012"/>
        </w:numPr>
      </w:pPr>
      <w:r>
        <w:t xml:space="preserve">Quotation Data</w:t>
      </w:r>
    </w:p>
    <w:p>
      <w:r>
        <w:pict>
          <v:rect style="width:0;height:1.5pt" o:hralign="center" o:hrstd="t" o:hr="t"/>
        </w:pict>
      </w:r>
    </w:p>
    <w:bookmarkEnd w:id="58"/>
    <w:bookmarkStart w:id="59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Product.Category = </w:t>
      </w:r>
      <w:r>
        <w:rPr>
          <w:rFonts w:hint="eastAsia"/>
        </w:rPr>
        <w:t xml:space="preserve">建材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Product.UnitPrice &gt; 1000000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rPr>
          <w:rFonts w:hint="eastAsia"/>
        </w:rPr>
        <w:t xml:space="preserve">東京営業所</w:t>
      </w:r>
    </w:p>
    <w:p>
      <w:r>
        <w:pict>
          <v:rect style="width:0;height:1.5pt" o:hralign="center" o:hrstd="t" o:hr="t"/>
        </w:pict>
      </w:r>
    </w:p>
    <w:bookmarkEnd w:id="59"/>
    <w:bookmarkStart w:id="60" w:name="priority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Lower number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Higher priority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ublish-configuration"/>
    <w:p>
      <w:pPr>
        <w:pStyle w:val="Heading1"/>
      </w:pPr>
      <w:r>
        <w:t xml:space="preserve">16. Publish Configuration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SCR_ADM_TNT_SET_008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Publish tenant configuration.</w:t>
      </w:r>
    </w:p>
    <w:p>
      <w:r>
        <w:pict>
          <v:rect style="width:0;height:1.5pt" o:hralign="center" o:hrstd="t" o:hr="t"/>
        </w:pict>
      </w:r>
    </w:p>
    <w:bookmarkStart w:id="62" w:name="validation-before-publish"/>
    <w:p>
      <w:pPr>
        <w:pStyle w:val="Heading2"/>
      </w:pPr>
      <w:r>
        <w:t xml:space="preserve">Validation Before Publish</w:t>
      </w:r>
    </w:p>
    <w:p>
      <w:pPr>
        <w:pStyle w:val="FirstParagraph"/>
      </w:pPr>
      <w:r>
        <w:t xml:space="preserve">Service Configuration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Master Configuration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Import Key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Master Relation</w:t>
      </w:r>
    </w:p>
    <w:p>
      <w:pPr>
        <w:pStyle w:val="BodyText"/>
      </w:pPr>
      <w:r>
        <w:t xml:space="preserve">Optional</w:t>
      </w:r>
    </w:p>
    <w:p>
      <w:pPr>
        <w:pStyle w:val="BodyText"/>
      </w:pPr>
      <w:r>
        <w:t xml:space="preserve">Allocation Rule</w:t>
      </w:r>
    </w:p>
    <w:p>
      <w:pPr>
        <w:pStyle w:val="BodyText"/>
      </w:pPr>
      <w:r>
        <w:t xml:space="preserve">Optional</w:t>
      </w:r>
    </w:p>
    <w:p>
      <w:r>
        <w:pict>
          <v:rect style="width:0;height:1.5pt" o:hralign="center" o:hrstd="t" o:hr="t"/>
        </w:pict>
      </w:r>
    </w:p>
    <w:bookmarkEnd w:id="62"/>
    <w:bookmarkStart w:id="63" w:name="publish-result"/>
    <w:p>
      <w:pPr>
        <w:pStyle w:val="Heading2"/>
      </w:pPr>
      <w:r>
        <w:t xml:space="preserve">Publish Result</w:t>
      </w:r>
    </w:p>
    <w:p>
      <w:pPr>
        <w:pStyle w:val="FirstParagraph"/>
      </w:pPr>
      <w:r>
        <w:t xml:space="preserve">Configuration Version Created</w:t>
      </w:r>
    </w:p>
    <w:p>
      <w:pPr>
        <w:pStyle w:val="BodyText"/>
      </w:pPr>
      <w:r>
        <w:t xml:space="preserve">Version Number Incremented</w:t>
      </w:r>
    </w:p>
    <w:p>
      <w:pPr>
        <w:pStyle w:val="BodyText"/>
      </w:pPr>
      <w:r>
        <w:t xml:space="preserve">Tenant Menu Refreshed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audit-log"/>
    <w:p>
      <w:pPr>
        <w:pStyle w:val="Heading1"/>
      </w:pPr>
      <w:r>
        <w:t xml:space="preserve">17. Audit Log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SCR_ADM_AUD_001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Track every configuration change.</w:t>
      </w:r>
    </w:p>
    <w:p>
      <w:r>
        <w:pict>
          <v:rect style="width:0;height:1.5pt" o:hralign="center" o:hrstd="t" o:hr="t"/>
        </w:pict>
      </w:r>
    </w:p>
    <w:bookmarkStart w:id="65" w:name="log-fields"/>
    <w:p>
      <w:pPr>
        <w:pStyle w:val="Heading2"/>
      </w:pPr>
      <w:r>
        <w:t xml:space="preserve">Log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Create/Update/Delete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Screen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Client 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permission-matrix"/>
    <w:p>
      <w:pPr>
        <w:pStyle w:val="Heading1"/>
      </w:pPr>
      <w:r>
        <w:t xml:space="preserve">18.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Relation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Rule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Configuration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configuration-flow"/>
    <w:p>
      <w:pPr>
        <w:pStyle w:val="Heading1"/>
      </w:pPr>
      <w:r>
        <w:t xml:space="preserve">19. Configuration Flow</w:t>
      </w:r>
    </w:p>
    <w:p>
      <w:pPr>
        <w:pStyle w:val="FirstParagraph"/>
      </w:pPr>
      <w:r>
        <w:t xml:space="preserve">Create Tenant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Assign 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Enable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Masters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Fields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Set Import Key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Relations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Configure Import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Configure Allocation Rule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Tenant User Starts Using System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2026-06-09T08:04:19Z</dcterms:created>
  <dcterms:modified xsi:type="dcterms:W3CDTF">2026-06-09T08:04:19Z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