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30-12-2020 16:10:33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Tỉnh An Giang - Tỉnh Tiền Giang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Quốc Khánh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Tân Lộc Đông, Huyện Thới Bình, Tỉnh Cà Mau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Đông Trùng Hạ Thảo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Trương Văn Mến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Lê Văn Thạnh, Phường 7, Thành phố Mỹ Tho, Tien Giang,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0987867678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650,000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186,000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Cho khách xem hàng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836,000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101289423540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