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AA" w:rsidRPr="000826AA" w:rsidRDefault="000826AA" w:rsidP="000826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32"/>
          <w:szCs w:val="24"/>
        </w:rPr>
        <w:t>Recommendations &amp; Executive Summary</w:t>
      </w:r>
    </w:p>
    <w:p w:rsidR="000826AA" w:rsidRPr="000826AA" w:rsidRDefault="000826AA" w:rsidP="00082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826AA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Insights</w:t>
      </w:r>
    </w:p>
    <w:p w:rsidR="000826AA" w:rsidRPr="000826AA" w:rsidRDefault="000826AA" w:rsidP="00082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>Based on the model predictions and performance:</w:t>
      </w:r>
    </w:p>
    <w:p w:rsidR="000826AA" w:rsidRDefault="000826AA" w:rsidP="0008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Flag high-risk customers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: With AUC scores only moderately above random guess, models can still help flag </w:t>
      </w:r>
      <w:r w:rsidRPr="000826AA">
        <w:rPr>
          <w:rFonts w:ascii="Times New Roman" w:eastAsia="Times New Roman" w:hAnsi="Times New Roman" w:cs="Times New Roman"/>
          <w:i/>
          <w:iCs/>
          <w:sz w:val="24"/>
          <w:szCs w:val="24"/>
        </w:rPr>
        <w:t>potentially risky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applicants for closer scrutiny—especially when combined with domain knowledge.</w:t>
      </w:r>
    </w:p>
    <w:p w:rsidR="000826AA" w:rsidRPr="000826AA" w:rsidRDefault="000826AA" w:rsidP="00082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2BF4C" wp14:editId="682E2E27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A" w:rsidRDefault="000826AA" w:rsidP="0008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Payment-Income Ratio &amp; Applicant Income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: These are the </w:t>
      </w: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top drivers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of default prediction based on SHAP analysis. Customers with poor ratios or low income should trigger automatic flags or stricter loan terms.</w:t>
      </w:r>
    </w:p>
    <w:p w:rsidR="000826AA" w:rsidRPr="000826AA" w:rsidRDefault="000826AA" w:rsidP="00082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D6C0C" wp14:editId="039A9D13">
            <wp:extent cx="5902325" cy="4151014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174" cy="41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AA" w:rsidRPr="000826AA" w:rsidRDefault="000826AA" w:rsidP="0008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Adjust loan terms accordingly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26AA" w:rsidRPr="000826AA" w:rsidRDefault="000826AA" w:rsidP="000826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shorter terms or smaller amounts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to higher-risk customers.</w:t>
      </w:r>
    </w:p>
    <w:p w:rsidR="000826AA" w:rsidRPr="000826AA" w:rsidRDefault="000826AA" w:rsidP="000826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better interest rates or larger loans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to applicants with strong repayment indicators (e.g., high income, favorable ratios, married status).</w:t>
      </w:r>
    </w:p>
    <w:p w:rsidR="000826AA" w:rsidRPr="000826AA" w:rsidRDefault="000826AA" w:rsidP="0008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Improve data quality and feature engineering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>: Since even the best model only achieved ~0.53–0.54 AUC, better data and feature creation could improve predictive power.</w:t>
      </w:r>
    </w:p>
    <w:p w:rsidR="000826AA" w:rsidRPr="000826AA" w:rsidRDefault="000826AA" w:rsidP="00082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26AA" w:rsidRPr="000826AA" w:rsidRDefault="000826AA" w:rsidP="00082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26AA">
        <w:rPr>
          <w:rFonts w:ascii="Times New Roman" w:eastAsia="Times New Roman" w:hAnsi="Times New Roman" w:cs="Times New Roman"/>
          <w:b/>
          <w:bCs/>
          <w:sz w:val="27"/>
          <w:szCs w:val="27"/>
        </w:rPr>
        <w:t>Executive Summary</w:t>
      </w:r>
    </w:p>
    <w:p w:rsidR="000826AA" w:rsidRPr="000826AA" w:rsidRDefault="000826AA" w:rsidP="00082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What We Did:</w:t>
      </w:r>
    </w:p>
    <w:p w:rsidR="000826AA" w:rsidRPr="000826AA" w:rsidRDefault="000826AA" w:rsidP="00082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Developed and evaluated 3 ML classification models: </w:t>
      </w: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Logistic Regression, Random Forest, and </w:t>
      </w:r>
      <w:proofErr w:type="spellStart"/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26AA" w:rsidRPr="000826AA" w:rsidRDefault="000826AA" w:rsidP="00082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>Used SMOTE for class balancing and cross-validation to assess robustness.</w:t>
      </w:r>
    </w:p>
    <w:p w:rsidR="000826AA" w:rsidRPr="000826AA" w:rsidRDefault="000826AA" w:rsidP="00082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Applied SHAP for model </w:t>
      </w:r>
      <w:proofErr w:type="spellStart"/>
      <w:r w:rsidRPr="000826AA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to identify the most influential features.</w:t>
      </w:r>
    </w:p>
    <w:p w:rsidR="000826AA" w:rsidRPr="000826AA" w:rsidRDefault="000826AA" w:rsidP="00082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What Worked:</w:t>
      </w:r>
    </w:p>
    <w:p w:rsidR="000826AA" w:rsidRPr="000826AA" w:rsidRDefault="000826AA" w:rsidP="0008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performed best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(AUC ≈ 0.53), followed by </w:t>
      </w:r>
      <w:proofErr w:type="spellStart"/>
      <w:r w:rsidRPr="000826AA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(AUC ≈ 0.52).</w:t>
      </w:r>
    </w:p>
    <w:p w:rsidR="000826AA" w:rsidRPr="000826AA" w:rsidRDefault="000826AA" w:rsidP="0008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Logistic Regression underperformed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with an AUC ≈ 0.50, barely above random chance.</w:t>
      </w:r>
    </w:p>
    <w:p w:rsidR="000826AA" w:rsidRPr="000826AA" w:rsidRDefault="000826AA" w:rsidP="0008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SHAP identified </w:t>
      </w:r>
      <w:proofErr w:type="spellStart"/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Payment_Income_Ratio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ApplicantIncome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Property_Area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as top features influencing loan default prediction.</w:t>
      </w:r>
    </w:p>
    <w:p w:rsidR="000826AA" w:rsidRPr="000826AA" w:rsidRDefault="000826AA" w:rsidP="00082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What the Business Should Do:</w:t>
      </w:r>
    </w:p>
    <w:p w:rsidR="000826AA" w:rsidRPr="000826AA" w:rsidRDefault="000826AA" w:rsidP="0008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Use model predictions to support decision-making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>, not replace it—models offer moderate insight but require human review.</w:t>
      </w:r>
    </w:p>
    <w:p w:rsidR="000826AA" w:rsidRPr="000826AA" w:rsidRDefault="000826AA" w:rsidP="0008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Incorporate key features like </w:t>
      </w:r>
      <w:proofErr w:type="spellStart"/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Payment_Income_Ratio</w:t>
      </w:r>
      <w:proofErr w:type="spellEnd"/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into internal risk scoring systems.</w:t>
      </w:r>
    </w:p>
    <w:p w:rsidR="000826AA" w:rsidRPr="000826AA" w:rsidRDefault="000826AA" w:rsidP="0008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Enhance the dataset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with additional behavioral, transactional, and credit bureau data to improve future model performance.</w:t>
      </w:r>
    </w:p>
    <w:p w:rsidR="00337A12" w:rsidRPr="000826AA" w:rsidRDefault="000826AA" w:rsidP="0008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26AA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Iteratively retrain models</w:t>
      </w:r>
      <w:r w:rsidRPr="000826AA">
        <w:rPr>
          <w:rFonts w:ascii="Times New Roman" w:eastAsia="Times New Roman" w:hAnsi="Times New Roman" w:cs="Times New Roman"/>
          <w:sz w:val="24"/>
          <w:szCs w:val="24"/>
        </w:rPr>
        <w:t xml:space="preserve"> as more labeled data becomes available and model feedback loops are integrated into decision systems.</w:t>
      </w:r>
    </w:p>
    <w:sectPr w:rsidR="00337A12" w:rsidRPr="00082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3287"/>
    <w:multiLevelType w:val="multilevel"/>
    <w:tmpl w:val="54C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06165"/>
    <w:multiLevelType w:val="multilevel"/>
    <w:tmpl w:val="7AE2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626BE"/>
    <w:multiLevelType w:val="multilevel"/>
    <w:tmpl w:val="103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36FF3"/>
    <w:multiLevelType w:val="multilevel"/>
    <w:tmpl w:val="1FA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A"/>
    <w:rsid w:val="000826AA"/>
    <w:rsid w:val="0033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851C"/>
  <w15:chartTrackingRefBased/>
  <w15:docId w15:val="{2B007C9D-4144-47AC-BA72-97AD5F25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2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6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26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6AA"/>
    <w:rPr>
      <w:b/>
      <w:bCs/>
    </w:rPr>
  </w:style>
  <w:style w:type="character" w:styleId="Emphasis">
    <w:name w:val="Emphasis"/>
    <w:basedOn w:val="DefaultParagraphFont"/>
    <w:uiPriority w:val="20"/>
    <w:qFormat/>
    <w:rsid w:val="00082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2025-06-10T05:39:00Z</dcterms:created>
  <dcterms:modified xsi:type="dcterms:W3CDTF">2025-06-10T05:45:00Z</dcterms:modified>
</cp:coreProperties>
</file>