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chế biến món ăn và kiểm tra truy xuất nguồn gốc</w:t>
      </w:r>
    </w:p>
    <w:p>
      <w:r>
        <w:t>MBH Kitchen • Hướng dẫn vận hành và checklist nghiệm thu • 21/10/2026</w:t>
      </w:r>
    </w:p>
    <w:p>
      <w:r>
        <w:t>Tài liệu dành cho bếp trưởng, nhân viên bếp và người kiểm tra kho. Mỗi món chế biến cần có công thức đã duyệt, lô nguyên liệu thực dùng, số liệu sản lượng và hồ sơ bàn giao. Khi kiểm tra nguồn gốc, phải đối chiếu đúng mẻ và đúng nguồn nhập của từng lô hoặc serial.</w:t>
      </w:r>
    </w:p>
    <w:p>
      <w:pPr>
        <w:pStyle w:val="Heading2"/>
      </w:pPr>
      <w:r>
        <w:t>1 Phân công trách nhiệm</w:t>
      </w:r>
    </w:p>
    <w:tbl>
      <w:tblPr>
        <w:tblStyle w:val="LightShading-Accent1"/>
        <w:tblW w:type="auto" w:w="0"/>
        <w:tblLayout w:type="fixed"/>
        <w:tblLook w:firstColumn="1" w:firstRow="1" w:lastColumn="0" w:lastRow="0" w:noHBand="0" w:noVBand="1" w:val="04A0"/>
      </w:tblPr>
      <w:tblGrid>
        <w:gridCol w:w="2268"/>
        <w:gridCol w:w="7370"/>
      </w:tblGrid>
      <w:tr>
        <w:trPr>
          <w:tblHeader/>
          <w:cantSplit/>
        </w:trPr>
        <w:tc>
          <w:tcPr>
            <w:tcW w:type="dxa" w:w="2268"/>
          </w:tcPr>
          <w:p>
            <w:pPr>
              <w:spacing w:after="80" w:before="60"/>
            </w:pPr>
            <w:r>
              <w:rPr>
                <w:color w:val="222222"/>
                <w:sz w:val="19"/>
              </w:rPr>
              <w:t>Vai trò</w:t>
            </w:r>
          </w:p>
        </w:tc>
        <w:tc>
          <w:tcPr>
            <w:tcW w:type="dxa" w:w="7370"/>
          </w:tcPr>
          <w:p>
            <w:pPr>
              <w:spacing w:after="80" w:before="60"/>
            </w:pPr>
            <w:r>
              <w:rPr>
                <w:color w:val="222222"/>
                <w:sz w:val="19"/>
              </w:rPr>
              <w:t>Công việc chính</w:t>
            </w:r>
          </w:p>
        </w:tc>
      </w:tr>
      <w:tr>
        <w:trPr>
          <w:cantSplit/>
        </w:trPr>
        <w:tc>
          <w:tcPr>
            <w:tcW w:type="dxa" w:w="2268"/>
          </w:tcPr>
          <w:p>
            <w:pPr>
              <w:spacing w:after="80" w:before="60"/>
            </w:pPr>
            <w:r>
              <w:rPr>
                <w:color w:val="222222"/>
                <w:sz w:val="19"/>
              </w:rPr>
              <w:t>Bếp trưởng</w:t>
            </w:r>
          </w:p>
        </w:tc>
        <w:tc>
          <w:tcPr>
            <w:tcW w:type="dxa" w:w="7370"/>
          </w:tcPr>
          <w:p>
            <w:pPr>
              <w:spacing w:after="80" w:before="60"/>
            </w:pPr>
            <w:r>
              <w:rPr>
                <w:color w:val="222222"/>
                <w:sz w:val="19"/>
              </w:rPr>
              <w:t>Thiết lập công thức và định lượng; gửi duyệt; giám sát nhiệm vụ; tiếp tục xử lý nhiệm vụ của nhân viên khi cần; xác nhận bàn giao một phần đơn căn tin.</w:t>
            </w:r>
          </w:p>
        </w:tc>
      </w:tr>
      <w:tr>
        <w:trPr>
          <w:cantSplit/>
        </w:trPr>
        <w:tc>
          <w:tcPr>
            <w:tcW w:type="dxa" w:w="2268"/>
          </w:tcPr>
          <w:p>
            <w:pPr>
              <w:spacing w:after="80" w:before="60"/>
            </w:pPr>
            <w:r>
              <w:rPr>
                <w:color w:val="222222"/>
                <w:sz w:val="19"/>
              </w:rPr>
              <w:t>Admin hoặc quản lý chi nhánh</w:t>
            </w:r>
          </w:p>
        </w:tc>
        <w:tc>
          <w:tcPr>
            <w:tcW w:type="dxa" w:w="7370"/>
          </w:tcPr>
          <w:p>
            <w:pPr>
              <w:spacing w:after="80" w:before="60"/>
            </w:pPr>
            <w:r>
              <w:rPr>
                <w:color w:val="222222"/>
                <w:sz w:val="19"/>
              </w:rPr>
              <w:t>Duyệt công thức trên Web Admin; quản lý dữ liệu món, kế hoạch và nguồn nhập theo quyền được cấp.</w:t>
            </w:r>
          </w:p>
        </w:tc>
      </w:tr>
      <w:tr>
        <w:trPr>
          <w:cantSplit/>
        </w:trPr>
        <w:tc>
          <w:tcPr>
            <w:tcW w:type="dxa" w:w="2268"/>
          </w:tcPr>
          <w:p>
            <w:pPr>
              <w:spacing w:after="80" w:before="60"/>
            </w:pPr>
            <w:r>
              <w:rPr>
                <w:color w:val="222222"/>
                <w:sz w:val="19"/>
              </w:rPr>
              <w:t>Nhân viên bếp</w:t>
            </w:r>
          </w:p>
        </w:tc>
        <w:tc>
          <w:tcPr>
            <w:tcW w:type="dxa" w:w="7370"/>
          </w:tcPr>
          <w:p>
            <w:pPr>
              <w:spacing w:after="80" w:before="60"/>
            </w:pPr>
            <w:r>
              <w:rPr>
                <w:color w:val="222222"/>
                <w:sz w:val="19"/>
              </w:rPr>
              <w:t>Nhận nhiệm vụ, chọn lô, bắt đầu chế biến, ghi thực tế, lưu mẫu khi bắt buộc và bàn giao.</w:t>
            </w:r>
          </w:p>
        </w:tc>
      </w:tr>
      <w:tr>
        <w:trPr>
          <w:cantSplit/>
        </w:trPr>
        <w:tc>
          <w:tcPr>
            <w:tcW w:type="dxa" w:w="2268"/>
          </w:tcPr>
          <w:p>
            <w:pPr>
              <w:spacing w:after="80" w:before="60"/>
            </w:pPr>
            <w:r>
              <w:rPr>
                <w:color w:val="222222"/>
                <w:sz w:val="19"/>
              </w:rPr>
              <w:t>Người kiểm tra</w:t>
            </w:r>
          </w:p>
        </w:tc>
        <w:tc>
          <w:tcPr>
            <w:tcW w:type="dxa" w:w="7370"/>
          </w:tcPr>
          <w:p>
            <w:pPr>
              <w:spacing w:after="80" w:before="60"/>
            </w:pPr>
            <w:r>
              <w:rPr>
                <w:color w:val="222222"/>
                <w:sz w:val="19"/>
              </w:rPr>
              <w:t>Đối chiếu đơn hoặc kế hoạch, mẻ chế biến, nguyên liệu, nguồn nhập, nhà cung cấp và số lượng. Dùng tài khoản có quyền và đúng chi nhánh.</w:t>
            </w:r>
          </w:p>
        </w:tc>
      </w:tr>
    </w:tbl>
    <w:p>
      <w:pPr>
        <w:pStyle w:val="Heading2"/>
      </w:pPr>
      <w:r>
        <w:t>2 Chuẩn bị trước ca</w:t>
      </w:r>
    </w:p>
    <w:p>
      <w:pPr>
        <w:pStyle w:val="ListBullet"/>
      </w:pPr>
      <w:r>
        <w:t>Đăng nhập đúng chi nhánh. Trong Thực đơn &amp; Công thức, mở danh mục món ăn rồi bấm Công thức &amp; Định lượng ở món cần setup.</w:t>
      </w:r>
    </w:p>
    <w:p>
      <w:pPr>
        <w:pStyle w:val="ListBullet"/>
      </w:pPr>
      <w:r>
        <w:t>Bếp trưởng tạo hoặc sửa công thức, kiểm tra sản lượng chuẩn, đơn vị và định lượng từng nguyên liệu; gửi duyệt. Chỉ công thức ACTIVE đã được duyệt mới được dùng để nhận nguyên liệu.</w:t>
      </w:r>
    </w:p>
    <w:p>
      <w:pPr>
        <w:pStyle w:val="ListBullet"/>
      </w:pPr>
      <w:r>
        <w:t>Kho đã nhập nguyên liệu theo lô, có số lô, hạn dùng, đơn vị cơ sở và nguồn nhập. Kiểm tra tồn khả dụng tại Nguyên/nhiên liệu; không dùng tồn tổng thay cho tồn của lô được chọn.</w:t>
      </w:r>
    </w:p>
    <w:p>
      <w:pPr>
        <w:pStyle w:val="ListBullet"/>
      </w:pPr>
      <w:r>
        <w:t>Với bán trú: vào Kế hoạch để lập kế hoạch ngày/bữa, kiểm tra thực đơn và số suất; khóa kế hoạch để sinh mẻ. Với căn tin: nhiệm vụ được hình thành từ đơn đã thanh toán theo luồng hiện có.</w:t>
      </w:r>
    </w:p>
    <w:p>
      <w:pPr>
        <w:pStyle w:val="ListBullet"/>
      </w:pPr>
      <w:r>
        <w:t>Mở Nhận việc &amp; Chế biến, chọn ngày và bấm Làm mới. Danh sách dùng chung cho đơn căn tin và mẻ kế hoạch; không cần nhận lại ở một màn chế biến khác.</w:t>
      </w:r>
    </w:p>
    <w:p>
      <w:r>
        <w:t>Điểm kiểm soát: thiếu công thức đã duyệt, thiếu lô hoặc thiếu tồn thì xử lý dữ liệu trước khi bắt đầu. Không tự khai báo lô khác để vượt kiểm tra.</w:t>
      </w:r>
    </w:p>
    <w:p>
      <w:r>
        <w:br w:type="page"/>
      </w:r>
    </w:p>
    <w:p>
      <w:pPr>
        <w:pStyle w:val="Heading1"/>
      </w:pPr>
      <w:r>
        <w:t>3 Thực hiện chế biến và bàn giao</w:t>
      </w:r>
    </w:p>
    <w:tbl>
      <w:tblPr>
        <w:tblStyle w:val="LightShading-Accent1"/>
        <w:tblW w:type="auto" w:w="0"/>
        <w:tblLayout w:type="fixed"/>
        <w:tblLook w:firstColumn="1" w:firstRow="1" w:lastColumn="0" w:lastRow="0" w:noHBand="0" w:noVBand="1" w:val="04A0"/>
      </w:tblPr>
      <w:tblGrid>
        <w:gridCol w:w="1474"/>
        <w:gridCol w:w="3855"/>
        <w:gridCol w:w="4309"/>
      </w:tblGrid>
      <w:tr>
        <w:trPr>
          <w:tblHeader/>
          <w:cantSplit/>
        </w:trPr>
        <w:tc>
          <w:tcPr>
            <w:tcW w:type="dxa" w:w="1474"/>
          </w:tcPr>
          <w:p>
            <w:pPr>
              <w:spacing w:after="80" w:before="60"/>
            </w:pPr>
            <w:r>
              <w:rPr>
                <w:color w:val="222222"/>
                <w:sz w:val="19"/>
              </w:rPr>
              <w:t>Bước</w:t>
            </w:r>
          </w:p>
        </w:tc>
        <w:tc>
          <w:tcPr>
            <w:tcW w:type="dxa" w:w="3855"/>
          </w:tcPr>
          <w:p>
            <w:pPr>
              <w:spacing w:after="80" w:before="60"/>
            </w:pPr>
            <w:r>
              <w:rPr>
                <w:color w:val="222222"/>
                <w:sz w:val="19"/>
              </w:rPr>
              <w:t>Thao tác trên màn nhiệm vụ</w:t>
            </w:r>
          </w:p>
        </w:tc>
        <w:tc>
          <w:tcPr>
            <w:tcW w:type="dxa" w:w="4309"/>
          </w:tcPr>
          <w:p>
            <w:pPr>
              <w:spacing w:after="80" w:before="60"/>
            </w:pPr>
            <w:r>
              <w:rPr>
                <w:color w:val="222222"/>
                <w:sz w:val="19"/>
              </w:rPr>
              <w:t>Kết quả và điểm kiểm soát</w:t>
            </w:r>
          </w:p>
        </w:tc>
      </w:tr>
      <w:tr>
        <w:trPr>
          <w:cantSplit/>
        </w:trPr>
        <w:tc>
          <w:tcPr>
            <w:tcW w:type="dxa" w:w="1474"/>
          </w:tcPr>
          <w:p>
            <w:pPr>
              <w:spacing w:after="80" w:before="60"/>
            </w:pPr>
            <w:r>
              <w:rPr>
                <w:color w:val="222222"/>
                <w:sz w:val="19"/>
              </w:rPr>
              <w:t>1 Xem nhiệm vụ</w:t>
            </w:r>
          </w:p>
        </w:tc>
        <w:tc>
          <w:tcPr>
            <w:tcW w:type="dxa" w:w="3855"/>
          </w:tcPr>
          <w:p>
            <w:pPr>
              <w:spacing w:after="80" w:before="60"/>
            </w:pPr>
            <w:r>
              <w:rPr>
                <w:color w:val="222222"/>
                <w:sz w:val="19"/>
              </w:rPr>
              <w:t>Mở Xem nhiệm vụ; kiểm tra món, số lượng, ca, công thức và nguyên liệu.</w:t>
            </w:r>
          </w:p>
        </w:tc>
        <w:tc>
          <w:tcPr>
            <w:tcW w:type="dxa" w:w="4309"/>
          </w:tcPr>
          <w:p>
            <w:pPr>
              <w:spacing w:after="80" w:before="60"/>
            </w:pPr>
            <w:r>
              <w:rPr>
                <w:color w:val="222222"/>
                <w:sz w:val="19"/>
              </w:rPr>
              <w:t>WAITING. Chọn đúng nguồn đơn căn tin hoặc kế hoạch bán trú.</w:t>
            </w:r>
          </w:p>
        </w:tc>
      </w:tr>
      <w:tr>
        <w:trPr>
          <w:cantSplit/>
        </w:trPr>
        <w:tc>
          <w:tcPr>
            <w:tcW w:type="dxa" w:w="1474"/>
          </w:tcPr>
          <w:p>
            <w:pPr>
              <w:spacing w:after="80" w:before="60"/>
            </w:pPr>
            <w:r>
              <w:rPr>
                <w:color w:val="222222"/>
                <w:sz w:val="19"/>
              </w:rPr>
              <w:t>2 Nhận nguyên liệu</w:t>
            </w:r>
          </w:p>
        </w:tc>
        <w:tc>
          <w:tcPr>
            <w:tcW w:type="dxa" w:w="3855"/>
          </w:tcPr>
          <w:p>
            <w:pPr>
              <w:spacing w:after="80" w:before="60"/>
            </w:pPr>
            <w:r>
              <w:rPr>
                <w:color w:val="222222"/>
                <w:sz w:val="19"/>
              </w:rPr>
              <w:t>Phân bổ đủ nguyên liệu theo từng lô còn hạn; xác nhận nhận.</w:t>
            </w:r>
          </w:p>
        </w:tc>
        <w:tc>
          <w:tcPr>
            <w:tcW w:type="dxa" w:w="4309"/>
          </w:tcPr>
          <w:p>
            <w:pPr>
              <w:spacing w:after="80" w:before="60"/>
            </w:pPr>
            <w:r>
              <w:rPr>
                <w:color w:val="222222"/>
                <w:sz w:val="19"/>
              </w:rPr>
              <w:t>RECEIVED. Ghi người phụ trách và chụp công thức/định mức tại thời điểm nhận. Chưa trừ kho và chưa giữ chỗ tồn.</w:t>
            </w:r>
          </w:p>
        </w:tc>
      </w:tr>
      <w:tr>
        <w:trPr>
          <w:cantSplit/>
        </w:trPr>
        <w:tc>
          <w:tcPr>
            <w:tcW w:type="dxa" w:w="1474"/>
          </w:tcPr>
          <w:p>
            <w:pPr>
              <w:spacing w:after="80" w:before="60"/>
            </w:pPr>
            <w:r>
              <w:rPr>
                <w:color w:val="222222"/>
                <w:sz w:val="19"/>
              </w:rPr>
              <w:t>3 Bắt đầu chế biến</w:t>
            </w:r>
          </w:p>
        </w:tc>
        <w:tc>
          <w:tcPr>
            <w:tcW w:type="dxa" w:w="3855"/>
          </w:tcPr>
          <w:p>
            <w:pPr>
              <w:spacing w:after="80" w:before="60"/>
            </w:pPr>
            <w:r>
              <w:rPr>
                <w:color w:val="222222"/>
                <w:sz w:val="19"/>
              </w:rPr>
              <w:t>Đối chiếu nguyên liệu thực nhận rồi bấm bắt đầu.</w:t>
            </w:r>
          </w:p>
        </w:tc>
        <w:tc>
          <w:tcPr>
            <w:tcW w:type="dxa" w:w="4309"/>
          </w:tcPr>
          <w:p>
            <w:pPr>
              <w:spacing w:after="80" w:before="60"/>
            </w:pPr>
            <w:r>
              <w:rPr>
                <w:color w:val="222222"/>
                <w:sz w:val="19"/>
              </w:rPr>
              <w:t>PREPARING. Hệ thống kiểm tra lại tồn và hạn dùng, trừ kho từng lô và ghi thời gian bắt đầu.</w:t>
            </w:r>
          </w:p>
        </w:tc>
      </w:tr>
      <w:tr>
        <w:trPr>
          <w:cantSplit/>
        </w:trPr>
        <w:tc>
          <w:tcPr>
            <w:tcW w:type="dxa" w:w="1474"/>
          </w:tcPr>
          <w:p>
            <w:pPr>
              <w:spacing w:after="80" w:before="60"/>
            </w:pPr>
            <w:r>
              <w:rPr>
                <w:color w:val="222222"/>
                <w:sz w:val="19"/>
              </w:rPr>
              <w:t>4 Ghi nhận thực tế</w:t>
            </w:r>
          </w:p>
        </w:tc>
        <w:tc>
          <w:tcPr>
            <w:tcW w:type="dxa" w:w="3855"/>
          </w:tcPr>
          <w:p>
            <w:pPr>
              <w:spacing w:after="80" w:before="60"/>
            </w:pPr>
            <w:r>
              <w:rPr>
                <w:color w:val="222222"/>
                <w:sz w:val="19"/>
              </w:rPr>
              <w:t>Nhập sản lượng đạt, lượng thực dùng, hao hụt từng lô và lý do khi có hao hụt.</w:t>
            </w:r>
          </w:p>
        </w:tc>
        <w:tc>
          <w:tcPr>
            <w:tcW w:type="dxa" w:w="4309"/>
          </w:tcPr>
          <w:p>
            <w:pPr>
              <w:spacing w:after="80" w:before="60"/>
            </w:pPr>
            <w:r>
              <w:rPr>
                <w:color w:val="222222"/>
                <w:sz w:val="19"/>
              </w:rPr>
              <w:t>RECORDED. Có thể chỉnh lại số liệu trước khi QC. Dùng và hao hụt không được vượt lượng đã nhận.</w:t>
            </w:r>
          </w:p>
        </w:tc>
      </w:tr>
      <w:tr>
        <w:trPr>
          <w:cantSplit/>
        </w:trPr>
        <w:tc>
          <w:tcPr>
            <w:tcW w:type="dxa" w:w="1474"/>
          </w:tcPr>
          <w:p>
            <w:pPr>
              <w:spacing w:after="80" w:before="60"/>
            </w:pPr>
            <w:r>
              <w:rPr>
                <w:color w:val="222222"/>
                <w:sz w:val="19"/>
              </w:rPr>
              <w:t>5 Kiểm tra và hoàn thành</w:t>
            </w:r>
          </w:p>
        </w:tc>
        <w:tc>
          <w:tcPr>
            <w:tcW w:type="dxa" w:w="3855"/>
          </w:tcPr>
          <w:p>
            <w:pPr>
              <w:spacing w:after="80" w:before="60"/>
            </w:pPr>
            <w:r>
              <w:rPr>
                <w:color w:val="222222"/>
                <w:sz w:val="19"/>
              </w:rPr>
              <w:t>Kiểm tra chất lượng; nhập lượng mẫu, đơn vị và nơi lưu mẫu với món yêu cầu; xác nhận đạt.</w:t>
            </w:r>
          </w:p>
        </w:tc>
        <w:tc>
          <w:tcPr>
            <w:tcW w:type="dxa" w:w="4309"/>
          </w:tcPr>
          <w:p>
            <w:pPr>
              <w:spacing w:after="80" w:before="60"/>
            </w:pPr>
            <w:r>
              <w:rPr>
                <w:color w:val="222222"/>
                <w:sz w:val="19"/>
              </w:rPr>
              <w:t>COMPLETED với nhiệm vụ đủ số lượng. Hoàn nguyên liệu thừa về lô gốc; tạo định danh thành phẩm/QR và nhập tồn thành phẩm tại bếp.</w:t>
            </w:r>
          </w:p>
        </w:tc>
      </w:tr>
      <w:tr>
        <w:trPr>
          <w:cantSplit/>
        </w:trPr>
        <w:tc>
          <w:tcPr>
            <w:tcW w:type="dxa" w:w="1474"/>
          </w:tcPr>
          <w:p>
            <w:pPr>
              <w:spacing w:after="80" w:before="60"/>
            </w:pPr>
            <w:r>
              <w:rPr>
                <w:color w:val="222222"/>
                <w:sz w:val="19"/>
              </w:rPr>
              <w:t>6 Bàn giao</w:t>
            </w:r>
          </w:p>
        </w:tc>
        <w:tc>
          <w:tcPr>
            <w:tcW w:type="dxa" w:w="3855"/>
          </w:tcPr>
          <w:p>
            <w:pPr>
              <w:spacing w:after="80" w:before="60"/>
            </w:pPr>
            <w:r>
              <w:rPr>
                <w:color w:val="222222"/>
                <w:sz w:val="19"/>
              </w:rPr>
              <w:t>Ghi người hoặc bộ phận nhận, nơi nhận; đối chiếu đủ sản lượng đạt của các mẻ được giao.</w:t>
            </w:r>
          </w:p>
        </w:tc>
        <w:tc>
          <w:tcPr>
            <w:tcW w:type="dxa" w:w="4309"/>
          </w:tcPr>
          <w:p>
            <w:pPr>
              <w:spacing w:after="80" w:before="60"/>
            </w:pPr>
            <w:r>
              <w:rPr>
                <w:color w:val="222222"/>
                <w:sz w:val="19"/>
              </w:rPr>
              <w:t>HANDED_OVER khi giao hết nhiệm vụ. Trừ tồn thành phẩm tại bếp; đơn được hoàn thành khi đáp ứng toàn bộ luồng.</w:t>
            </w:r>
          </w:p>
        </w:tc>
      </w:tr>
    </w:tbl>
    <w:p>
      <w:pPr>
        <w:pStyle w:val="Heading2"/>
      </w:pPr>
      <w:r>
        <w:t>Cách đối chiếu số lượng</w:t>
      </w:r>
    </w:p>
    <w:p>
      <w:r>
        <w:t>Theo từng lô: lượng đã nhận = thực dùng + hao hụt + hoàn trả. Lượng hoàn trả = đã nhận − thực dùng − hao hụt; thao tác hoàn trả được ghi khi hoàn thành QC.</w:t>
      </w:r>
    </w:p>
    <w:p>
      <w:r>
        <w:t>Ví dụ minh họa: nhận 1.000 g, thực dùng 850 g, hao hụt 50 g thì hoàn lại 100 g về đúng lô gốc. Truy xuất mẻ phải có xuất 1.000 g, hoàn 100 g, tiêu hao ròng 900 g; trong đó thực dùng 850 g và hao hụt 50 g.</w:t>
      </w:r>
    </w:p>
    <w:p>
      <w:pPr>
        <w:pStyle w:val="Heading2"/>
      </w:pPr>
      <w:r>
        <w:t>Những thông tin phải ghi đúng</w:t>
      </w:r>
    </w:p>
    <w:p>
      <w:pPr>
        <w:pStyle w:val="ListBullet"/>
      </w:pPr>
      <w:r>
        <w:t>Sản lượng là số thành phẩm đạt; không nhập số lượng kế hoạch nếu sản lượng thực tế khác. Với đơn căn tin, sản lượng đạt của mỗi đợt phải đủ số lượng đã nhận làm trong đợt.</w:t>
      </w:r>
    </w:p>
    <w:p>
      <w:pPr>
        <w:pStyle w:val="ListBullet"/>
      </w:pPr>
      <w:r>
        <w:t>Lượng nguyên liệu theo đơn vị hiển thị/đơn vị cơ sở; số lượng cho phép tối đa 4 chữ số thập phân. Không tự quy đổi kg thành g bằng phỏng đoán.</w:t>
      </w:r>
    </w:p>
    <w:p>
      <w:pPr>
        <w:pStyle w:val="ListBullet"/>
      </w:pPr>
      <w:r>
        <w:t>Lưu mẫu theo yêu cầu của món và quy trình nội bộ đã được phê duyệt. Không xác nhận QC đạt nếu chưa thực hiện kiểm tra hoặc chưa có mẫu bắt buộc.</w:t>
      </w:r>
    </w:p>
    <w:p>
      <w:r>
        <w:br w:type="page"/>
      </w:r>
    </w:p>
    <w:p>
      <w:pPr>
        <w:pStyle w:val="Heading1"/>
      </w:pPr>
      <w:r>
        <w:t>4 Xử lý thiếu nguyên liệu và ngoại lệ</w:t>
      </w:r>
    </w:p>
    <w:p>
      <w:pPr>
        <w:pStyle w:val="Heading2"/>
      </w:pPr>
      <w:r>
        <w:t>Đơn căn tin chế biến theo nhiều đợt</w:t>
      </w:r>
    </w:p>
    <w:p>
      <w:r>
        <w:t>Khi chưa đủ nguyên liệu cho toàn bộ đơn, màn nhiệm vụ cho phép nhận số lượng phù hợp cho một đợt. Có thể dùng gợi ý phân bổ, nhưng phải kiểm tra lại số lượng và lô trước khi xác nhận.</w:t>
      </w:r>
    </w:p>
    <w:p>
      <w:pPr>
        <w:pStyle w:val="ListBullet"/>
      </w:pPr>
      <w:r>
        <w:t>Thực hiện đầy đủ nhận nguyên liệu → bắt đầu → ghi thực tế → QC cho đợt đã chọn. Không bỏ bước để tăng số lượng đã hoàn thành.</w:t>
      </w:r>
    </w:p>
    <w:p>
      <w:pPr>
        <w:pStyle w:val="ListBullet"/>
      </w:pPr>
      <w:r>
        <w:t>Nếu còn phần chưa làm, nhiệm vụ quay về WAITING và hiển thị chờ bổ sung nguyên liệu. Phần đã QC được lưu vào lịch sử các đợt; phần còn lại tiếp tục được tính riêng.</w:t>
      </w:r>
    </w:p>
    <w:p>
      <w:pPr>
        <w:pStyle w:val="ListBullet"/>
      </w:pPr>
      <w:r>
        <w:t>Bếp trưởng hoặc quản lý có thể xác nhận bàn giao phần đã hoàn thành khi đơn còn chờ nguyên liệu. Mỗi lần bàn giao phải đủ sản lượng của các mẻ đã chọn trong đợt bàn giao đó.</w:t>
      </w:r>
    </w:p>
    <w:p>
      <w:pPr>
        <w:pStyle w:val="ListBullet"/>
      </w:pPr>
      <w:r>
        <w:t>Sau khi bổ sung kho, bấm Làm mới và xử lý phần còn lại trong cùng nhiệm vụ. Không tạo thêm đơn chỉ để chế biến tiếp phần thiếu.</w:t>
      </w:r>
    </w:p>
    <w:p>
      <w:pPr>
        <w:pStyle w:val="Heading2"/>
      </w:pPr>
      <w:r>
        <w:t>Tình huống cần dừng và kiểm tra</w:t>
      </w:r>
    </w:p>
    <w:tbl>
      <w:tblPr>
        <w:tblStyle w:val="LightShading-Accent1"/>
        <w:tblW w:type="auto" w:w="0"/>
        <w:tblLayout w:type="fixed"/>
        <w:tblLook w:firstColumn="1" w:firstRow="1" w:lastColumn="0" w:lastRow="0" w:noHBand="0" w:noVBand="1" w:val="04A0"/>
      </w:tblPr>
      <w:tblGrid>
        <w:gridCol w:w="2835"/>
        <w:gridCol w:w="6803"/>
      </w:tblGrid>
      <w:tr>
        <w:trPr>
          <w:tblHeader/>
          <w:cantSplit/>
        </w:trPr>
        <w:tc>
          <w:tcPr>
            <w:tcW w:type="dxa" w:w="2835"/>
          </w:tcPr>
          <w:p>
            <w:pPr>
              <w:spacing w:after="80" w:before="60"/>
            </w:pPr>
            <w:r>
              <w:rPr>
                <w:color w:val="222222"/>
                <w:sz w:val="19"/>
              </w:rPr>
              <w:t>Tình huống</w:t>
            </w:r>
          </w:p>
        </w:tc>
        <w:tc>
          <w:tcPr>
            <w:tcW w:type="dxa" w:w="6803"/>
          </w:tcPr>
          <w:p>
            <w:pPr>
              <w:spacing w:after="80" w:before="60"/>
            </w:pPr>
            <w:r>
              <w:rPr>
                <w:color w:val="222222"/>
                <w:sz w:val="19"/>
              </w:rPr>
              <w:t>Cách xử lý</w:t>
            </w:r>
          </w:p>
        </w:tc>
      </w:tr>
      <w:tr>
        <w:trPr>
          <w:cantSplit/>
        </w:trPr>
        <w:tc>
          <w:tcPr>
            <w:tcW w:type="dxa" w:w="2835"/>
          </w:tcPr>
          <w:p>
            <w:pPr>
              <w:spacing w:after="80" w:before="60"/>
            </w:pPr>
            <w:r>
              <w:rPr>
                <w:color w:val="222222"/>
                <w:sz w:val="19"/>
              </w:rPr>
              <w:t>Lô hết hạn hoặc không đủ tồn</w:t>
            </w:r>
          </w:p>
        </w:tc>
        <w:tc>
          <w:tcPr>
            <w:tcW w:type="dxa" w:w="6803"/>
          </w:tcPr>
          <w:p>
            <w:pPr>
              <w:spacing w:after="80" w:before="60"/>
            </w:pPr>
            <w:r>
              <w:rPr>
                <w:color w:val="222222"/>
                <w:sz w:val="19"/>
              </w:rPr>
              <w:t>Chọn lô hợp lệ khác hoặc yêu cầu bổ sung kho. Đã nhận nguyên liệu không bảo đảm tồn vẫn đủ lúc bắt đầu.</w:t>
            </w:r>
          </w:p>
        </w:tc>
      </w:tr>
      <w:tr>
        <w:trPr>
          <w:cantSplit/>
        </w:trPr>
        <w:tc>
          <w:tcPr>
            <w:tcW w:type="dxa" w:w="2835"/>
          </w:tcPr>
          <w:p>
            <w:pPr>
              <w:spacing w:after="80" w:before="60"/>
            </w:pPr>
            <w:r>
              <w:rPr>
                <w:color w:val="222222"/>
                <w:sz w:val="19"/>
              </w:rPr>
              <w:t>Công thức chưa duyệt hoặc rỗng</w:t>
            </w:r>
          </w:p>
        </w:tc>
        <w:tc>
          <w:tcPr>
            <w:tcW w:type="dxa" w:w="6803"/>
          </w:tcPr>
          <w:p>
            <w:pPr>
              <w:spacing w:after="80" w:before="60"/>
            </w:pPr>
            <w:r>
              <w:rPr>
                <w:color w:val="222222"/>
                <w:sz w:val="19"/>
              </w:rPr>
              <w:t>Bếp trưởng kiểm tra công thức, bổ sung định lượng và gửi duyệt; làm mới sau khi có công thức ACTIVE.</w:t>
            </w:r>
          </w:p>
        </w:tc>
      </w:tr>
      <w:tr>
        <w:trPr>
          <w:cantSplit/>
        </w:trPr>
        <w:tc>
          <w:tcPr>
            <w:tcW w:type="dxa" w:w="2835"/>
          </w:tcPr>
          <w:p>
            <w:pPr>
              <w:spacing w:after="80" w:before="60"/>
            </w:pPr>
            <w:r>
              <w:rPr>
                <w:color w:val="222222"/>
                <w:sz w:val="19"/>
              </w:rPr>
              <w:t>Nhiệm vụ vừa được cập nhật</w:t>
            </w:r>
          </w:p>
        </w:tc>
        <w:tc>
          <w:tcPr>
            <w:tcW w:type="dxa" w:w="6803"/>
          </w:tcPr>
          <w:p>
            <w:pPr>
              <w:spacing w:after="80" w:before="60"/>
            </w:pPr>
            <w:r>
              <w:rPr>
                <w:color w:val="222222"/>
                <w:sz w:val="19"/>
              </w:rPr>
              <w:t>Làm mới rồi kiểm tra lịch sử và số liệu trước khi thao tác lại. Không gửi phiên bản cũ liên tục.</w:t>
            </w:r>
          </w:p>
        </w:tc>
      </w:tr>
      <w:tr>
        <w:trPr>
          <w:cantSplit/>
        </w:trPr>
        <w:tc>
          <w:tcPr>
            <w:tcW w:type="dxa" w:w="2835"/>
          </w:tcPr>
          <w:p>
            <w:pPr>
              <w:spacing w:after="80" w:before="60"/>
            </w:pPr>
            <w:r>
              <w:rPr>
                <w:color w:val="222222"/>
                <w:sz w:val="19"/>
              </w:rPr>
              <w:t>Nhân viên khác đang phụ trách</w:t>
            </w:r>
          </w:p>
        </w:tc>
        <w:tc>
          <w:tcPr>
            <w:tcW w:type="dxa" w:w="6803"/>
          </w:tcPr>
          <w:p>
            <w:pPr>
              <w:spacing w:after="80" w:before="60"/>
            </w:pPr>
            <w:r>
              <w:rPr>
                <w:color w:val="222222"/>
                <w:sz w:val="19"/>
              </w:rPr>
              <w:t>Người phụ trách tiếp tục; bếp trưởng hoặc quản lý xử lý theo phân quyền khi cần.</w:t>
            </w:r>
          </w:p>
        </w:tc>
      </w:tr>
      <w:tr>
        <w:trPr>
          <w:cantSplit/>
        </w:trPr>
        <w:tc>
          <w:tcPr>
            <w:tcW w:type="dxa" w:w="2835"/>
          </w:tcPr>
          <w:p>
            <w:pPr>
              <w:spacing w:after="80" w:before="60"/>
            </w:pPr>
            <w:r>
              <w:rPr>
                <w:color w:val="222222"/>
                <w:sz w:val="19"/>
              </w:rPr>
              <w:t>Thao tác ngoài ngày nhiệm vụ</w:t>
            </w:r>
          </w:p>
        </w:tc>
        <w:tc>
          <w:tcPr>
            <w:tcW w:type="dxa" w:w="6803"/>
          </w:tcPr>
          <w:p>
            <w:pPr>
              <w:spacing w:after="80" w:before="60"/>
            </w:pPr>
            <w:r>
              <w:rPr>
                <w:color w:val="222222"/>
                <w:sz w:val="19"/>
              </w:rPr>
              <w:t>Nhận, bắt đầu, ghi thực tế và QC chỉ thực hiện trong ngày Việt Nam hiện tại. Bàn giao sau ngày đó vẫn phải đáp ứng hạn dùng và tồn bếp.</w:t>
            </w:r>
          </w:p>
        </w:tc>
      </w:tr>
      <w:tr>
        <w:trPr>
          <w:cantSplit/>
        </w:trPr>
        <w:tc>
          <w:tcPr>
            <w:tcW w:type="dxa" w:w="2835"/>
          </w:tcPr>
          <w:p>
            <w:pPr>
              <w:spacing w:after="80" w:before="60"/>
            </w:pPr>
            <w:r>
              <w:rPr>
                <w:color w:val="222222"/>
                <w:sz w:val="19"/>
              </w:rPr>
              <w:t>Hồ sơ LEGACY</w:t>
            </w:r>
          </w:p>
        </w:tc>
        <w:tc>
          <w:tcPr>
            <w:tcW w:type="dxa" w:w="6803"/>
          </w:tcPr>
          <w:p>
            <w:pPr>
              <w:spacing w:after="80" w:before="60"/>
            </w:pPr>
            <w:r>
              <w:rPr>
                <w:color w:val="222222"/>
                <w:sz w:val="19"/>
              </w:rPr>
              <w:t>Không tự suy ngược lô đã dùng. Chỉ tiếp nhận sang luồng mới khi bếp trưởng/quản lý xác nhận chưa xuất nguyên liệu và chưa ghi thành phẩm; backend còn kiểm tra dữ liệu liên quan.</w:t>
            </w:r>
          </w:p>
        </w:tc>
      </w:tr>
      <w:tr>
        <w:trPr>
          <w:cantSplit/>
        </w:trPr>
        <w:tc>
          <w:tcPr>
            <w:tcW w:type="dxa" w:w="2835"/>
          </w:tcPr>
          <w:p>
            <w:pPr>
              <w:spacing w:after="80" w:before="60"/>
            </w:pPr>
            <w:r>
              <w:rPr>
                <w:color w:val="222222"/>
                <w:sz w:val="19"/>
              </w:rPr>
              <w:t>Thành phẩm đã hết hạn</w:t>
            </w:r>
          </w:p>
        </w:tc>
        <w:tc>
          <w:tcPr>
            <w:tcW w:type="dxa" w:w="6803"/>
          </w:tcPr>
          <w:p>
            <w:pPr>
              <w:spacing w:after="80" w:before="60"/>
            </w:pPr>
            <w:r>
              <w:rPr>
                <w:color w:val="222222"/>
                <w:sz w:val="19"/>
              </w:rPr>
              <w:t>Không bàn giao; xử lý theo quy trình lưu mẫu/hủy và thẩm quyền nội bộ. Không in lại tem để kéo dài hạn dùng.</w:t>
            </w:r>
          </w:p>
        </w:tc>
      </w:tr>
    </w:tbl>
    <w:p>
      <w:pPr>
        <w:pStyle w:val="Heading2"/>
      </w:pPr>
      <w:r>
        <w:t>Giữ hồ sơ nhất quán</w:t>
      </w:r>
    </w:p>
    <w:p>
      <w:r>
        <w:t>Dùng một luồng nhiệm vụ cho cùng mẻ. Không xuất tiêu hao thủ công hoặc theo session chồng lên lượng đã xuất theo mẻ. Mẻ sinh từ đơn căn tin đã được liên kết với đơn, không được xử lý như nhiệm vụ độc lập lần nữa.</w:t>
      </w:r>
    </w:p>
    <w:p>
      <w:r>
        <w:t>Khi lỗi mạng hoặc mất phản hồi, kiểm tra lại trạng thái và lịch sử trước khi gửi lại. Ở mức tích hợp, cùng một lần thử lại phải giữ nguyên requestId và nội dung để cơ chế chống ghi lặp có hiệu lực.</w:t>
      </w:r>
    </w:p>
    <w:p>
      <w:r>
        <w:br w:type="page"/>
      </w:r>
    </w:p>
    <w:p>
      <w:pPr>
        <w:pStyle w:val="Heading1"/>
      </w:pPr>
      <w:r>
        <w:t>5 Kiểm tra truy xuất nguồn gốc</w:t>
      </w:r>
    </w:p>
    <w:p>
      <w:r>
        <w:t>Kiểm tra theo chuỗi: món hoặc đơn → đúng mẻ chế biến → từng lô nguyên liệu thực dùng → phiếu nhập → nhà cung cấp. Kiểm tra thêm chiều ngược từ lô về các phát sinh được hệ thống ghi nhận để xác định phạm vi liên quan.</w:t>
      </w:r>
    </w:p>
    <w:p>
      <w:pPr>
        <w:pStyle w:val="Heading2"/>
      </w:pPr>
      <w:r>
        <w:t>Tra từ món trong đơn hoặc từ mẻ thành phẩm</w:t>
      </w:r>
    </w:p>
    <w:p>
      <w:pPr>
        <w:pStyle w:val="ListBullet"/>
      </w:pPr>
      <w:r>
        <w:t>Trên Web Admin, mở chi tiết đơn và chức năng truy xuất món nếu được hiển thị. Đối chiếu đúng orderId, productId và tất cả mẻ thuộc các đợt chế biến; không lấy một mẻ đại diện cho toàn bộ đơn.</w:t>
      </w:r>
    </w:p>
    <w:p>
      <w:pPr>
        <w:pStyle w:val="ListBullet"/>
      </w:pPr>
      <w:r>
        <w:t>Mở chi tiết từng mẻ: đối chiếu món, chi nhánh, thời gian bắt đầu/hoàn tất, sản lượng, hạn dùng và traceabilityComplete. Kiểm tra issuedQuantity, returnedQuantity, consumedQuantity, usedQuantity và wasteQuantity của từng lô.</w:t>
      </w:r>
    </w:p>
    <w:p>
      <w:pPr>
        <w:pStyle w:val="ListBullet"/>
      </w:pPr>
      <w:r>
        <w:t>Mở nguồn gốc mỗi lô: kiểm tra số lô, tên nguyên liệu, phiếu nhập, ngày nhập, hạn dùng, nhà cung cấp và kho. Nếu lô có nhiều phát sinh nhập, đối chiếu đầy đủ nguồn được trả về; không mặc định một lô chỉ có một phiếu nhập.</w:t>
      </w:r>
    </w:p>
    <w:p>
      <w:pPr>
        <w:pStyle w:val="Heading2"/>
      </w:pPr>
      <w:r>
        <w:t>Tra từ lô hoặc serial nhập kho</w:t>
      </w:r>
    </w:p>
    <w:p>
      <w:pPr>
        <w:pStyle w:val="ListBullet"/>
      </w:pPr>
      <w:r>
        <w:t>Trên Web Admin vào Quản lý kho → Truy xuất nguồn gốc, đường dẫn /warehouse/trace. Nhập số lô, ID lô, serial, mã hoặc tên hàng rồi bấm Tìm kiếm.</w:t>
      </w:r>
    </w:p>
    <w:p>
      <w:pPr>
        <w:pStyle w:val="ListBullet"/>
      </w:pPr>
      <w:r>
        <w:t>Chọn đúng kết quả theo hàng hóa, kho và phiếu nhập. Nếu trùng serial hoặc có nhiều kết quả thì chọn nguồn cụ thể; không tự lấy kết quả đầu tiên.</w:t>
      </w:r>
    </w:p>
    <w:p>
      <w:pPr>
        <w:pStyle w:val="ListBullet"/>
      </w:pPr>
      <w:r>
        <w:t>Với serial, kiểm tra nguồn nhập của chính serial đó: phiếu nhập, nhà cung cấp, ngày nhập và hạn dùng. Lịch sử lô bên dưới là lịch sử chung của lô, không chứng minh serial đã được xuất, chuyển hoặc bán riêng lẻ.</w:t>
      </w:r>
    </w:p>
    <w:p>
      <w:pPr>
        <w:pStyle w:val="Heading2"/>
      </w:pPr>
      <w:r>
        <w:t>Tra từ QR thành phẩm</w:t>
      </w:r>
    </w:p>
    <w:p>
      <w:pPr>
        <w:pStyle w:val="ListBullet"/>
      </w:pPr>
      <w:r>
        <w:t>QR thành phẩm định danh từng đơn vị bằng unitId; mặc định nội dung MBH:UNIT:&lt;uuid&gt;. Dùng trang/scanner tích hợp có xác thực để mở đơn vị → mẻ → lô → nguồn nhập.</w:t>
      </w:r>
    </w:p>
    <w:p>
      <w:pPr>
        <w:pStyle w:val="ListBullet"/>
      </w:pPr>
      <w:r>
        <w:t>Nếu QR là URL thì môi trường cần cấu hình TRACE_QR_BASE_URL và trang đích có xử lý đăng nhập. Có QR không đồng nghĩa camera điện thoại sẽ mở được hồ sơ công khai.</w:t>
      </w:r>
    </w:p>
    <w:p>
      <w:pPr>
        <w:pStyle w:val="ListBullet"/>
      </w:pPr>
      <w:r>
        <w:t>Tem in lại giữ nguyên định danh và hạn dùng. Dùng API đơn vị thành phẩm riêng; không nhập QR thành phẩm vào ô serial nhập kho rồi kết luận không có dữ liệu.</w:t>
      </w:r>
    </w:p>
    <w:p>
      <w:pPr>
        <w:pStyle w:val="Heading2"/>
      </w:pPr>
      <w:r>
        <w:t>Điều kiện kết luận</w:t>
      </w:r>
    </w:p>
    <w:p>
      <w:r>
        <w:t>Chỉ đánh dấu đạt khi xác định được đúng mẻ, đủ lô thực dùng, đối chiếu được số lượng và nguồn nhập/NCC, cùng hồ sơ QC/lưu mẫu và bàn giao tương ứng. traceabilityComplete=true là một dấu hiệu kỹ thuật, không thay thế việc kiểm tra hồ sơ. Nếu false hoặc thiếu nguồn thì ghi rõ phần thiếu, không tự bổ sung nguồn giả định.</w:t>
      </w:r>
    </w:p>
    <w:p>
      <w:r>
        <w:t>Trạng thái IN STOCK, MAKE, READY, EXPIRED mô tả trạng thái truy xuất tại thời điểm gọi API. IN STOCK không bảo đảm còn tồn; READY không có nghĩa đã bàn giao. Hạn dùng nguyên liệu theo ngày địa phương, hạn dùng thành phẩm theo thời điểm cụ thể.</w:t>
      </w:r>
    </w:p>
    <w:p>
      <w:r>
        <w:br w:type="page"/>
      </w:r>
    </w:p>
    <w:p>
      <w:pPr>
        <w:pStyle w:val="Heading1"/>
      </w:pPr>
      <w:r>
        <w:t>6 Checklist kiểm tra và nghiệm thu</w:t>
      </w:r>
    </w:p>
    <w:p>
      <w:r>
        <w:t>Người kiểm tra: __________________  Ngày/ca: __________________</w:t>
        <w:br/>
        <w:t>Chi nhánh: __________________  Đơn/kế hoạch: __________________</w:t>
        <w:br/>
        <w:t>Món và mẻ: __________________  Lô/serial/unitId: __________________</w:t>
      </w:r>
    </w:p>
    <w:tbl>
      <w:tblPr>
        <w:tblStyle w:val="LightShading-Accent1"/>
        <w:tblW w:type="auto" w:w="0"/>
        <w:tblLayout w:type="fixed"/>
        <w:tblLook w:firstColumn="1" w:firstRow="1" w:lastColumn="0" w:lastRow="0" w:noHBand="0" w:noVBand="1" w:val="04A0"/>
      </w:tblPr>
      <w:tblGrid>
        <w:gridCol w:w="2835"/>
        <w:gridCol w:w="5329"/>
        <w:gridCol w:w="1474"/>
      </w:tblGrid>
      <w:tr>
        <w:trPr>
          <w:tblHeader/>
          <w:cantSplit/>
        </w:trPr>
        <w:tc>
          <w:tcPr>
            <w:tcW w:type="dxa" w:w="2835"/>
          </w:tcPr>
          <w:p>
            <w:pPr>
              <w:spacing w:after="80" w:before="60"/>
            </w:pPr>
            <w:r>
              <w:rPr>
                <w:color w:val="222222"/>
                <w:sz w:val="19"/>
              </w:rPr>
              <w:t>Mục cần kiểm tra</w:t>
            </w:r>
          </w:p>
        </w:tc>
        <w:tc>
          <w:tcPr>
            <w:tcW w:type="dxa" w:w="5329"/>
          </w:tcPr>
          <w:p>
            <w:pPr>
              <w:spacing w:after="80" w:before="60"/>
            </w:pPr>
            <w:r>
              <w:rPr>
                <w:color w:val="222222"/>
                <w:sz w:val="19"/>
              </w:rPr>
              <w:t>Bằng chứng cần lưu</w:t>
            </w:r>
          </w:p>
        </w:tc>
        <w:tc>
          <w:tcPr>
            <w:tcW w:type="dxa" w:w="1474"/>
          </w:tcPr>
          <w:p>
            <w:pPr>
              <w:spacing w:after="80" w:before="60"/>
            </w:pPr>
            <w:r>
              <w:rPr>
                <w:color w:val="222222"/>
                <w:sz w:val="19"/>
              </w:rPr>
              <w:t>Kết quả</w:t>
            </w:r>
          </w:p>
        </w:tc>
      </w:tr>
      <w:tr>
        <w:trPr>
          <w:cantSplit/>
        </w:trPr>
        <w:tc>
          <w:tcPr>
            <w:tcW w:type="dxa" w:w="2835"/>
          </w:tcPr>
          <w:p>
            <w:pPr>
              <w:spacing w:after="80" w:before="60"/>
            </w:pPr>
            <w:r>
              <w:rPr>
                <w:color w:val="222222"/>
                <w:sz w:val="19"/>
              </w:rPr>
              <w:t>Công thức đã duyệt</w:t>
            </w:r>
          </w:p>
        </w:tc>
        <w:tc>
          <w:tcPr>
            <w:tcW w:type="dxa" w:w="5329"/>
          </w:tcPr>
          <w:p>
            <w:pPr>
              <w:spacing w:after="80" w:before="60"/>
            </w:pPr>
            <w:r>
              <w:rPr>
                <w:color w:val="222222"/>
                <w:sz w:val="19"/>
              </w:rPr>
              <w:t>Món, phiên bản công thức ACTIVE, sản lượng chuẩn và định lượng.</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Đúng nguồn nhiệm vụ</w:t>
            </w:r>
          </w:p>
        </w:tc>
        <w:tc>
          <w:tcPr>
            <w:tcW w:type="dxa" w:w="5329"/>
          </w:tcPr>
          <w:p>
            <w:pPr>
              <w:spacing w:after="80" w:before="60"/>
            </w:pPr>
            <w:r>
              <w:rPr>
                <w:color w:val="222222"/>
                <w:sz w:val="19"/>
              </w:rPr>
              <w:t>Đơn đã thanh toán hoặc kế hoạch đã khóa; đúng món, số suất và chi nhánh.</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Nhận nguyên liệu</w:t>
            </w:r>
          </w:p>
        </w:tc>
        <w:tc>
          <w:tcPr>
            <w:tcW w:type="dxa" w:w="5329"/>
          </w:tcPr>
          <w:p>
            <w:pPr>
              <w:spacing w:after="80" w:before="60"/>
            </w:pPr>
            <w:r>
              <w:rPr>
                <w:color w:val="222222"/>
                <w:sz w:val="19"/>
              </w:rPr>
              <w:t>Đúng người, lô, đơn vị và số lượng; nhận chưa làm giảm tồn.</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Xuất kho khi bắt đầu</w:t>
            </w:r>
          </w:p>
        </w:tc>
        <w:tc>
          <w:tcPr>
            <w:tcW w:type="dxa" w:w="5329"/>
          </w:tcPr>
          <w:p>
            <w:pPr>
              <w:spacing w:after="80" w:before="60"/>
            </w:pPr>
            <w:r>
              <w:rPr>
                <w:color w:val="222222"/>
                <w:sz w:val="19"/>
              </w:rPr>
              <w:t>Movement của đúng batchId; tồn lô giảm một lần; lô còn hạn và đủ tồn.</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Số liệu thực tế</w:t>
            </w:r>
          </w:p>
        </w:tc>
        <w:tc>
          <w:tcPr>
            <w:tcW w:type="dxa" w:w="5329"/>
          </w:tcPr>
          <w:p>
            <w:pPr>
              <w:spacing w:after="80" w:before="60"/>
            </w:pPr>
            <w:r>
              <w:rPr>
                <w:color w:val="222222"/>
                <w:sz w:val="19"/>
              </w:rPr>
              <w:t>Đã nhận = thực dùng + hao hụt + hoàn trả; có lý do khi hao hụt.</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QC và lưu mẫu</w:t>
            </w:r>
          </w:p>
        </w:tc>
        <w:tc>
          <w:tcPr>
            <w:tcW w:type="dxa" w:w="5329"/>
          </w:tcPr>
          <w:p>
            <w:pPr>
              <w:spacing w:after="80" w:before="60"/>
            </w:pPr>
            <w:r>
              <w:rPr>
                <w:color w:val="222222"/>
                <w:sz w:val="19"/>
              </w:rPr>
              <w:t>Người/thời gian QC; lượng, đơn vị, nơi lưu mẫu với món bắt buộc.</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Thành phẩm và bàn giao</w:t>
            </w:r>
          </w:p>
        </w:tc>
        <w:tc>
          <w:tcPr>
            <w:tcW w:type="dxa" w:w="5329"/>
          </w:tcPr>
          <w:p>
            <w:pPr>
              <w:spacing w:after="80" w:before="60"/>
            </w:pPr>
            <w:r>
              <w:rPr>
                <w:color w:val="222222"/>
                <w:sz w:val="19"/>
              </w:rPr>
              <w:t>Sản lượng, hạn dùng, tồn bếp, người/nơi nhận; đủ các đợt của đơn.</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Truy xuất đúng nguồn</w:t>
            </w:r>
          </w:p>
        </w:tc>
        <w:tc>
          <w:tcPr>
            <w:tcW w:type="dxa" w:w="5329"/>
          </w:tcPr>
          <w:p>
            <w:pPr>
              <w:spacing w:after="80" w:before="60"/>
            </w:pPr>
            <w:r>
              <w:rPr>
                <w:color w:val="222222"/>
                <w:sz w:val="19"/>
              </w:rPr>
              <w:t>Mẻ → lô → phiếu nhập → NCC; serial phải đúng nguồn nhập cụ thể.</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Tem và định danh</w:t>
            </w:r>
          </w:p>
        </w:tc>
        <w:tc>
          <w:tcPr>
            <w:tcW w:type="dxa" w:w="5329"/>
          </w:tcPr>
          <w:p>
            <w:pPr>
              <w:spacing w:after="80" w:before="60"/>
            </w:pPr>
            <w:r>
              <w:rPr>
                <w:color w:val="222222"/>
                <w:sz w:val="19"/>
              </w:rPr>
              <w:t>unitId/serial đúng mẻ; in lại không đổi định danh/hạn dùng.</w:t>
            </w:r>
          </w:p>
        </w:tc>
        <w:tc>
          <w:tcPr>
            <w:tcW w:type="dxa" w:w="1474"/>
          </w:tcPr>
          <w:p>
            <w:pPr>
              <w:spacing w:after="80" w:before="60"/>
            </w:pPr>
            <w:r>
              <w:rPr>
                <w:color w:val="222222"/>
                <w:sz w:val="19"/>
              </w:rPr>
              <w:t>Đạt / Không đạt</w:t>
            </w:r>
          </w:p>
        </w:tc>
      </w:tr>
      <w:tr>
        <w:trPr>
          <w:cantSplit/>
        </w:trPr>
        <w:tc>
          <w:tcPr>
            <w:tcW w:type="dxa" w:w="2835"/>
          </w:tcPr>
          <w:p>
            <w:pPr>
              <w:spacing w:after="80" w:before="60"/>
            </w:pPr>
            <w:r>
              <w:rPr>
                <w:color w:val="222222"/>
                <w:sz w:val="19"/>
              </w:rPr>
              <w:t>Phân quyền và chi nhánh</w:t>
            </w:r>
          </w:p>
        </w:tc>
        <w:tc>
          <w:tcPr>
            <w:tcW w:type="dxa" w:w="5329"/>
          </w:tcPr>
          <w:p>
            <w:pPr>
              <w:spacing w:after="80" w:before="60"/>
            </w:pPr>
            <w:r>
              <w:rPr>
                <w:color w:val="222222"/>
                <w:sz w:val="19"/>
              </w:rPr>
              <w:t>Tài khoản hợp lệ xem được dữ liệu được phép; không xem được bản ghi ngoài phạm vi.</w:t>
            </w:r>
          </w:p>
        </w:tc>
        <w:tc>
          <w:tcPr>
            <w:tcW w:type="dxa" w:w="1474"/>
          </w:tcPr>
          <w:p>
            <w:pPr>
              <w:spacing w:after="80" w:before="60"/>
            </w:pPr>
            <w:r>
              <w:rPr>
                <w:color w:val="222222"/>
                <w:sz w:val="19"/>
              </w:rPr>
              <w:t>Đạt / Không đạt</w:t>
            </w:r>
          </w:p>
        </w:tc>
      </w:tr>
    </w:tbl>
    <w:p>
      <w:pPr>
        <w:pStyle w:val="Heading2"/>
      </w:pPr>
      <w:r>
        <w:t>Các ca kiểm thử cần chạy trên môi trường kiểm thử</w:t>
      </w:r>
    </w:p>
    <w:p>
      <w:pPr>
        <w:pStyle w:val="ListBullet"/>
      </w:pPr>
      <w:r>
        <w:t>Luồng đủ nguyên liệu: hoàn tất một mẻ, kiểm tra xuất/hoàn lô, QR, tồn bếp và bàn giao. Thử gửi lại cùng request để xác nhận không ghi kho hai lần.</w:t>
      </w:r>
    </w:p>
    <w:p>
      <w:pPr>
        <w:pStyle w:val="ListBullet"/>
      </w:pPr>
      <w:r>
        <w:t>Luồng thiếu nguyên liệu: chia đơn căn tin thành hai đợt, QC đợt đầu, bàn giao một phần bằng quyền phù hợp, bổ sung kho và hoàn tất phần còn lại; truy xuất phải thấy các mẻ của cả hai đợt.</w:t>
      </w:r>
    </w:p>
    <w:p>
      <w:pPr>
        <w:pStyle w:val="ListBullet"/>
      </w:pPr>
      <w:r>
        <w:t>Ca bị chặn: lô hết hạn, tồn thiếu, công thức chưa duyệt, thiếu mẫu bắt buộc, version cũ, sai chi nhánh và nhân viên khác phụ trách. Kiểm tra lỗi không để lại tồn hoặc hồ sơ dở dang.</w:t>
      </w:r>
    </w:p>
    <w:p>
      <w:pPr>
        <w:pStyle w:val="ListBullet"/>
      </w:pPr>
      <w:r>
        <w:t>Ca truy xuất: tìm số lô/tên hàng; exact lookup theo ID/serial; serial trùng cần chọn đúng nguồn; mã không có dữ liệu; hồ sơ cũ traceabilityComplete=false; QR đã hết hạn.</w:t>
      </w:r>
    </w:p>
    <w:p>
      <w:r>
        <w:t>Ghi nhận sai lệch và người xử lý: __________________________________________________</w:t>
        <w:br/>
        <w:t>____________________________________________________________________________</w:t>
      </w:r>
    </w:p>
    <w:p>
      <w:r>
        <w:br w:type="page"/>
      </w:r>
    </w:p>
    <w:p>
      <w:pPr>
        <w:pStyle w:val="Heading1"/>
      </w:pPr>
      <w:r>
        <w:t>7 API và nguồn đối chiếu kỹ thuật</w:t>
      </w:r>
    </w:p>
    <w:p>
      <w:r>
        <w:t>Phụ lục dành cho đội triển khai và kiểm thử. Các API yêu cầu Bearer JWT và kiểm tra quyền/chi nhánh. Không ghi token hoặc thông tin đăng nhập vào biên bản kiểm tra.</w:t>
      </w:r>
    </w:p>
    <w:tbl>
      <w:tblPr>
        <w:tblStyle w:val="LightShading-Accent1"/>
        <w:tblW w:type="auto" w:w="0"/>
        <w:tblLayout w:type="fixed"/>
        <w:tblLook w:firstColumn="1" w:firstRow="1" w:lastColumn="0" w:lastRow="0" w:noHBand="0" w:noVBand="1" w:val="04A0"/>
      </w:tblPr>
      <w:tblGrid>
        <w:gridCol w:w="2835"/>
        <w:gridCol w:w="6803"/>
      </w:tblGrid>
      <w:tr>
        <w:trPr>
          <w:tblHeader/>
          <w:cantSplit/>
        </w:trPr>
        <w:tc>
          <w:tcPr>
            <w:tcW w:type="dxa" w:w="2835"/>
          </w:tcPr>
          <w:p>
            <w:pPr>
              <w:spacing w:after="80" w:before="60"/>
            </w:pPr>
            <w:r>
              <w:rPr>
                <w:color w:val="222222"/>
                <w:sz w:val="19"/>
              </w:rPr>
              <w:t>Mục đích</w:t>
            </w:r>
          </w:p>
        </w:tc>
        <w:tc>
          <w:tcPr>
            <w:tcW w:type="dxa" w:w="6803"/>
          </w:tcPr>
          <w:p>
            <w:pPr>
              <w:spacing w:after="80" w:before="60"/>
            </w:pPr>
            <w:r>
              <w:rPr>
                <w:color w:val="222222"/>
                <w:sz w:val="19"/>
              </w:rPr>
              <w:t>Endpoint</w:t>
            </w:r>
          </w:p>
        </w:tc>
      </w:tr>
      <w:tr>
        <w:trPr>
          <w:cantSplit/>
        </w:trPr>
        <w:tc>
          <w:tcPr>
            <w:tcW w:type="dxa" w:w="2835"/>
          </w:tcPr>
          <w:p>
            <w:pPr>
              <w:spacing w:after="80" w:before="60"/>
            </w:pPr>
            <w:r>
              <w:rPr>
                <w:color w:val="222222"/>
                <w:sz w:val="19"/>
              </w:rPr>
              <w:t>Danh sách và hồ sơ nhiệm vụ</w:t>
            </w:r>
          </w:p>
        </w:tc>
        <w:tc>
          <w:tcPr>
            <w:tcW w:type="dxa" w:w="6803"/>
          </w:tcPr>
          <w:p>
            <w:pPr>
              <w:spacing w:after="80" w:before="60"/>
            </w:pPr>
            <w:r>
              <w:rPr>
                <w:color w:val="222222"/>
                <w:sz w:val="19"/>
              </w:rPr>
              <w:t>GET /kitchen/tasks?date=YYYY-MM-DD</w:t>
              <w:br/>
              <w:t>GET /kitchen/tasks/:type/:id</w:t>
              <w:br/>
              <w:t>type = ticket hoặc batch</w:t>
            </w:r>
          </w:p>
        </w:tc>
      </w:tr>
      <w:tr>
        <w:trPr>
          <w:cantSplit/>
        </w:trPr>
        <w:tc>
          <w:tcPr>
            <w:tcW w:type="dxa" w:w="2835"/>
          </w:tcPr>
          <w:p>
            <w:pPr>
              <w:spacing w:after="80" w:before="60"/>
            </w:pPr>
            <w:r>
              <w:rPr>
                <w:color w:val="222222"/>
                <w:sz w:val="19"/>
              </w:rPr>
              <w:t>Thực hiện nhiệm vụ</w:t>
            </w:r>
          </w:p>
        </w:tc>
        <w:tc>
          <w:tcPr>
            <w:tcW w:type="dxa" w:w="6803"/>
          </w:tcPr>
          <w:p>
            <w:pPr>
              <w:spacing w:after="80" w:before="60"/>
            </w:pPr>
            <w:r>
              <w:rPr>
                <w:color w:val="222222"/>
                <w:sz w:val="19"/>
              </w:rPr>
              <w:t>POST /kitchen/tasks/:type/:id/:action</w:t>
              <w:br/>
              <w:t>action = receive, start, record, complete, handover; wait và handover-partial cho trường hợp phù hợp.</w:t>
            </w:r>
          </w:p>
        </w:tc>
      </w:tr>
      <w:tr>
        <w:trPr>
          <w:cantSplit/>
        </w:trPr>
        <w:tc>
          <w:tcPr>
            <w:tcW w:type="dxa" w:w="2835"/>
          </w:tcPr>
          <w:p>
            <w:pPr>
              <w:spacing w:after="80" w:before="60"/>
            </w:pPr>
            <w:r>
              <w:rPr>
                <w:color w:val="222222"/>
                <w:sz w:val="19"/>
              </w:rPr>
              <w:t>Mẻ của một món trong đơn</w:t>
            </w:r>
          </w:p>
        </w:tc>
        <w:tc>
          <w:tcPr>
            <w:tcW w:type="dxa" w:w="6803"/>
          </w:tcPr>
          <w:p>
            <w:pPr>
              <w:spacing w:after="80" w:before="60"/>
            </w:pPr>
            <w:r>
              <w:rPr>
                <w:color w:val="222222"/>
                <w:sz w:val="19"/>
              </w:rPr>
              <w:t>GET /production-trace/orders/:orderId/products/:productId</w:t>
              <w:br/>
              <w:t>Có phân trang; kiểm tra đủ các trang khi nhiều đợt.</w:t>
            </w:r>
          </w:p>
        </w:tc>
      </w:tr>
      <w:tr>
        <w:trPr>
          <w:cantSplit/>
        </w:trPr>
        <w:tc>
          <w:tcPr>
            <w:tcW w:type="dxa" w:w="2835"/>
          </w:tcPr>
          <w:p>
            <w:pPr>
              <w:spacing w:after="80" w:before="60"/>
            </w:pPr>
            <w:r>
              <w:rPr>
                <w:color w:val="222222"/>
                <w:sz w:val="19"/>
              </w:rPr>
              <w:t>Nguồn gốc mẻ và lô</w:t>
            </w:r>
          </w:p>
        </w:tc>
        <w:tc>
          <w:tcPr>
            <w:tcW w:type="dxa" w:w="6803"/>
          </w:tcPr>
          <w:p>
            <w:pPr>
              <w:spacing w:after="80" w:before="60"/>
            </w:pPr>
            <w:r>
              <w:rPr>
                <w:color w:val="222222"/>
                <w:sz w:val="19"/>
              </w:rPr>
              <w:t>GET /production-trace/batches/:batchId</w:t>
              <w:br/>
              <w:t>GET /production-trace/lots/:lotId</w:t>
            </w:r>
          </w:p>
        </w:tc>
      </w:tr>
      <w:tr>
        <w:trPr>
          <w:cantSplit/>
        </w:trPr>
        <w:tc>
          <w:tcPr>
            <w:tcW w:type="dxa" w:w="2835"/>
          </w:tcPr>
          <w:p>
            <w:pPr>
              <w:spacing w:after="80" w:before="60"/>
            </w:pPr>
            <w:r>
              <w:rPr>
                <w:color w:val="222222"/>
                <w:sz w:val="19"/>
              </w:rPr>
              <w:t>Tìm kiếm và exact lookup</w:t>
            </w:r>
          </w:p>
        </w:tc>
        <w:tc>
          <w:tcPr>
            <w:tcW w:type="dxa" w:w="6803"/>
          </w:tcPr>
          <w:p>
            <w:pPr>
              <w:spacing w:after="80" w:before="60"/>
            </w:pPr>
            <w:r>
              <w:rPr>
                <w:color w:val="222222"/>
                <w:sz w:val="19"/>
              </w:rPr>
              <w:t>GET /production-trace/lookup?search=&lt;từ khóa&gt;&amp;page=1</w:t>
              <w:br/>
              <w:t>GET /production-trace/lookup?id=&lt;ID lô hoặc serial&gt;</w:t>
            </w:r>
          </w:p>
        </w:tc>
      </w:tr>
      <w:tr>
        <w:trPr>
          <w:cantSplit/>
        </w:trPr>
        <w:tc>
          <w:tcPr>
            <w:tcW w:type="dxa" w:w="2835"/>
          </w:tcPr>
          <w:p>
            <w:pPr>
              <w:spacing w:after="80" w:before="60"/>
            </w:pPr>
            <w:r>
              <w:rPr>
                <w:color w:val="222222"/>
                <w:sz w:val="19"/>
              </w:rPr>
              <w:t>Nguồn nhập serial cụ thể</w:t>
            </w:r>
          </w:p>
        </w:tc>
        <w:tc>
          <w:tcPr>
            <w:tcW w:type="dxa" w:w="6803"/>
          </w:tcPr>
          <w:p>
            <w:pPr>
              <w:spacing w:after="80" w:before="60"/>
            </w:pPr>
            <w:r>
              <w:rPr>
                <w:color w:val="222222"/>
                <w:sz w:val="19"/>
              </w:rPr>
              <w:t>GET /warehouse/serials/:detailId/:position</w:t>
            </w:r>
          </w:p>
        </w:tc>
      </w:tr>
      <w:tr>
        <w:trPr>
          <w:cantSplit/>
        </w:trPr>
        <w:tc>
          <w:tcPr>
            <w:tcW w:type="dxa" w:w="2835"/>
          </w:tcPr>
          <w:p>
            <w:pPr>
              <w:spacing w:after="80" w:before="60"/>
            </w:pPr>
            <w:r>
              <w:rPr>
                <w:color w:val="222222"/>
                <w:sz w:val="19"/>
              </w:rPr>
              <w:t>Tem và đơn vị thành phẩm</w:t>
            </w:r>
          </w:p>
        </w:tc>
        <w:tc>
          <w:tcPr>
            <w:tcW w:type="dxa" w:w="6803"/>
          </w:tcPr>
          <w:p>
            <w:pPr>
              <w:spacing w:after="80" w:before="60"/>
            </w:pPr>
            <w:r>
              <w:rPr>
                <w:color w:val="222222"/>
                <w:sz w:val="19"/>
              </w:rPr>
              <w:t>GET /production-trace/batches/:batchId/labels?page=1&amp;size=100</w:t>
              <w:br/>
              <w:t>GET /production-trace/units/:unitId</w:t>
            </w:r>
          </w:p>
        </w:tc>
      </w:tr>
    </w:tbl>
    <w:p>
      <w:pPr>
        <w:pStyle w:val="Heading2"/>
      </w:pPr>
      <w:r>
        <w:t>Quy ước khi kiểm tra API</w:t>
      </w:r>
    </w:p>
    <w:p>
      <w:pPr>
        <w:pStyle w:val="ListBullet"/>
      </w:pPr>
      <w:r>
        <w:t>Gửi expectedVersion và requestId UUID khi thực hiện task action. Giữ nguyên requestId cùng nội dung khi retry cùng thao tác; thao tác mới dùng requestId mới.</w:t>
      </w:r>
    </w:p>
    <w:p>
      <w:pPr>
        <w:pStyle w:val="ListBullet"/>
      </w:pPr>
      <w:r>
        <w:t>URL-encode ID/serial khi ghép query. Exact lookup trả 404 nếu không thấy trong chi nhánh; 409 TRACE_ID_AMBIGUOUS khi nhiều định danh phù hợp, cần chọn bản ghi cụ thể.</w:t>
      </w:r>
    </w:p>
    <w:p>
      <w:pPr>
        <w:pStyle w:val="ListBullet"/>
      </w:pPr>
      <w:r>
        <w:t>401 cần kiểm tra phiên đăng nhập; 403 kiểm tra quyền và scope; không kết luận mất nguồn gốc chỉ vì chưa xác thực. Bếp trưởng HEAD_CHEF được kế thừa quyền KITCHEN trong RolesGuard.</w:t>
      </w:r>
    </w:p>
    <w:p>
      <w:pPr>
        <w:pStyle w:val="Heading2"/>
      </w:pPr>
      <w:r>
        <w:t>Nguồn triển khai được đối chiếu</w:t>
      </w:r>
    </w:p>
    <w:p>
      <w:r>
        <w:t>MBH_Kichen: src/datas/navigation.js; src/page/portal/MenuRecipePages.jsx; RecipeFormDialog.jsx; TaskWorkflowPage.jsx.</w:t>
        <w:br/>
        <w:t>FE_Kido_MBH: src/pages/Stock/UnifiedTrace.jsx; WarehouseTrace.jsx; src/components/Orders/OrderProductTraceModal.jsx.</w:t>
        <w:br/>
        <w:t>mbh: src/modules/kitchen/kitchen-task.service.ts; kitchen-task.rules.ts; kitchen-operations.service.ts; kitchen.service.ts; src/modules/production-trace/production-trace.controller.ts; trace-lookup.controller.ts; src/common/guard/roles.guard.ts.</w:t>
      </w:r>
    </w:p>
    <w:p>
      <w:r>
        <w:t>Khi thay đổi trạng thái nhiệm vụ, cách trừ kho, chia đợt hoặc API truy xuất, cập nhật lại hướng dẫn và chạy các ca nghiệm thu tương ứng trước khi áp dụng.</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MBH Kitchen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chế biến món ăn và kiểm tra truy xuất nguồn gốc</dc:title>
  <dc:subject>Hướng dẫn vận hành MBH Kitchen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