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AEA85" w14:textId="77777777" w:rsidR="00F026A0" w:rsidRPr="00C37424" w:rsidRDefault="00F026A0" w:rsidP="00F974AB">
      <w:pPr>
        <w:jc w:val="center"/>
        <w:rPr>
          <w:rFonts w:asciiTheme="minorHAnsi" w:hAnsiTheme="minorHAnsi"/>
          <w:b/>
          <w:szCs w:val="22"/>
        </w:rPr>
      </w:pPr>
      <w:bookmarkStart w:id="0" w:name="_GoBack"/>
      <w:bookmarkEnd w:id="0"/>
      <w:r w:rsidRPr="00C37424">
        <w:rPr>
          <w:rFonts w:asciiTheme="minorHAnsi" w:hAnsiTheme="minorHAnsi"/>
          <w:b/>
          <w:szCs w:val="22"/>
        </w:rPr>
        <w:t>Terms of Reference</w:t>
      </w:r>
    </w:p>
    <w:p w14:paraId="1233B255" w14:textId="77777777" w:rsidR="00CC4EB1" w:rsidRDefault="00CC4EB1" w:rsidP="00F974AB">
      <w:pPr>
        <w:jc w:val="center"/>
        <w:rPr>
          <w:rFonts w:asciiTheme="minorHAnsi" w:hAnsiTheme="minorHAnsi"/>
          <w:szCs w:val="22"/>
        </w:rPr>
      </w:pPr>
    </w:p>
    <w:p w14:paraId="644D1B54" w14:textId="29EE6164" w:rsidR="00B765F4" w:rsidRDefault="005573EE" w:rsidP="00F974AB">
      <w:pPr>
        <w:jc w:val="center"/>
        <w:rPr>
          <w:rFonts w:asciiTheme="minorHAnsi" w:hAnsiTheme="minorHAnsi"/>
          <w:b/>
          <w:szCs w:val="22"/>
        </w:rPr>
      </w:pPr>
      <w:r>
        <w:rPr>
          <w:rFonts w:asciiTheme="minorHAnsi" w:hAnsiTheme="minorHAnsi"/>
          <w:b/>
          <w:szCs w:val="22"/>
        </w:rPr>
        <w:t>Midline</w:t>
      </w:r>
      <w:r w:rsidRPr="00B765F4">
        <w:rPr>
          <w:rFonts w:asciiTheme="minorHAnsi" w:hAnsiTheme="minorHAnsi"/>
          <w:b/>
          <w:szCs w:val="22"/>
        </w:rPr>
        <w:t xml:space="preserve"> </w:t>
      </w:r>
      <w:r w:rsidR="00B765F4" w:rsidRPr="00B765F4">
        <w:rPr>
          <w:rFonts w:asciiTheme="minorHAnsi" w:hAnsiTheme="minorHAnsi"/>
          <w:b/>
          <w:szCs w:val="22"/>
        </w:rPr>
        <w:t>Study: Survey Management System for Deployment of Android Technology</w:t>
      </w:r>
    </w:p>
    <w:p w14:paraId="7D1E450C" w14:textId="77777777" w:rsidR="00B765F4" w:rsidRPr="00B765F4" w:rsidRDefault="00B765F4" w:rsidP="00F974AB">
      <w:pPr>
        <w:jc w:val="center"/>
        <w:rPr>
          <w:rFonts w:asciiTheme="minorHAnsi" w:hAnsiTheme="minorHAnsi"/>
          <w:b/>
          <w:szCs w:val="22"/>
        </w:rPr>
      </w:pPr>
    </w:p>
    <w:p w14:paraId="0D4BCDE8" w14:textId="77777777" w:rsidR="008D4FE5" w:rsidRPr="00C37424" w:rsidRDefault="0061249F" w:rsidP="0061249F">
      <w:pPr>
        <w:jc w:val="center"/>
        <w:rPr>
          <w:rFonts w:asciiTheme="minorHAnsi" w:hAnsiTheme="minorHAnsi"/>
          <w:b/>
          <w:szCs w:val="22"/>
        </w:rPr>
      </w:pPr>
      <w:r w:rsidRPr="00C37424">
        <w:rPr>
          <w:rFonts w:asciiTheme="minorHAnsi" w:hAnsiTheme="minorHAnsi"/>
          <w:b/>
          <w:szCs w:val="22"/>
        </w:rPr>
        <w:t>The Gambia Maternal and Child Nutrition and Health Results</w:t>
      </w:r>
      <w:r w:rsidR="00FE14FE" w:rsidRPr="00C37424">
        <w:rPr>
          <w:rFonts w:asciiTheme="minorHAnsi" w:hAnsiTheme="minorHAnsi"/>
          <w:b/>
          <w:szCs w:val="22"/>
        </w:rPr>
        <w:t xml:space="preserve"> Project</w:t>
      </w:r>
      <w:r w:rsidR="00B765F4">
        <w:rPr>
          <w:rFonts w:asciiTheme="minorHAnsi" w:hAnsiTheme="minorHAnsi"/>
          <w:b/>
          <w:szCs w:val="22"/>
        </w:rPr>
        <w:t xml:space="preserve"> Impact Evaluation</w:t>
      </w:r>
    </w:p>
    <w:p w14:paraId="3026EA2A" w14:textId="77777777" w:rsidR="008D4FE5" w:rsidRPr="00C37424" w:rsidRDefault="008D4FE5" w:rsidP="00F974AB">
      <w:pPr>
        <w:jc w:val="center"/>
        <w:rPr>
          <w:rFonts w:asciiTheme="minorHAnsi" w:hAnsiTheme="minorHAnsi"/>
          <w:b/>
          <w:szCs w:val="22"/>
        </w:rPr>
      </w:pPr>
    </w:p>
    <w:p w14:paraId="5FF21F87" w14:textId="79E75564" w:rsidR="00F026A0" w:rsidRPr="00C37424" w:rsidRDefault="005573EE" w:rsidP="00F974AB">
      <w:pPr>
        <w:jc w:val="center"/>
        <w:rPr>
          <w:rFonts w:asciiTheme="minorHAnsi" w:hAnsiTheme="minorHAnsi"/>
          <w:b/>
          <w:szCs w:val="22"/>
        </w:rPr>
      </w:pPr>
      <w:r>
        <w:rPr>
          <w:rFonts w:asciiTheme="minorHAnsi" w:hAnsiTheme="minorHAnsi"/>
          <w:b/>
          <w:szCs w:val="22"/>
        </w:rPr>
        <w:t>March 2016</w:t>
      </w:r>
    </w:p>
    <w:p w14:paraId="66B068D0" w14:textId="77777777" w:rsidR="00310DB9" w:rsidRPr="00C37424" w:rsidRDefault="00310DB9" w:rsidP="00C37424">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sidRPr="00C37424">
        <w:rPr>
          <w:rFonts w:asciiTheme="minorHAnsi" w:hAnsiTheme="minorHAnsi" w:cs="Times New Roman"/>
          <w:color w:val="4F81BD" w:themeColor="accent1"/>
          <w:sz w:val="24"/>
        </w:rPr>
        <w:t>PURPOSE OF THIS CONSULTANCY</w:t>
      </w:r>
    </w:p>
    <w:p w14:paraId="18B1ED8C" w14:textId="3AC3D30B" w:rsidR="007B3B51" w:rsidRPr="00C37424" w:rsidRDefault="007B3B51" w:rsidP="007B3B51">
      <w:pPr>
        <w:rPr>
          <w:rFonts w:asciiTheme="minorHAnsi" w:hAnsiTheme="minorHAnsi"/>
          <w:sz w:val="22"/>
        </w:rPr>
      </w:pPr>
      <w:r w:rsidRPr="00C37424">
        <w:rPr>
          <w:rFonts w:asciiTheme="minorHAnsi" w:hAnsiTheme="minorHAnsi"/>
          <w:sz w:val="22"/>
        </w:rPr>
        <w:t xml:space="preserve">The purpose of this consultancy is to </w:t>
      </w:r>
      <w:r w:rsidR="002D456E" w:rsidRPr="002D456E">
        <w:rPr>
          <w:rFonts w:asciiTheme="minorHAnsi" w:hAnsiTheme="minorHAnsi"/>
          <w:sz w:val="22"/>
        </w:rPr>
        <w:t xml:space="preserve">provide technical assistance and IT services for the deployment of a survey management system that employs Android tablets and ODK technology during the implementation of a </w:t>
      </w:r>
      <w:r w:rsidR="005573EE">
        <w:rPr>
          <w:rFonts w:asciiTheme="minorHAnsi" w:hAnsiTheme="minorHAnsi"/>
          <w:sz w:val="22"/>
        </w:rPr>
        <w:t>midline</w:t>
      </w:r>
      <w:r w:rsidR="005573EE" w:rsidRPr="002D456E">
        <w:rPr>
          <w:rFonts w:asciiTheme="minorHAnsi" w:hAnsiTheme="minorHAnsi"/>
          <w:sz w:val="22"/>
        </w:rPr>
        <w:t xml:space="preserve"> </w:t>
      </w:r>
      <w:r w:rsidR="002D456E" w:rsidRPr="002D456E">
        <w:rPr>
          <w:rFonts w:asciiTheme="minorHAnsi" w:hAnsiTheme="minorHAnsi"/>
          <w:sz w:val="22"/>
        </w:rPr>
        <w:t>survey</w:t>
      </w:r>
      <w:r w:rsidR="002D456E">
        <w:rPr>
          <w:rFonts w:asciiTheme="minorHAnsi" w:hAnsiTheme="minorHAnsi"/>
          <w:sz w:val="22"/>
        </w:rPr>
        <w:t xml:space="preserve"> that includes household, </w:t>
      </w:r>
      <w:r w:rsidR="002D456E" w:rsidRPr="002D456E">
        <w:rPr>
          <w:rFonts w:asciiTheme="minorHAnsi" w:hAnsiTheme="minorHAnsi"/>
          <w:sz w:val="22"/>
        </w:rPr>
        <w:t>health facility</w:t>
      </w:r>
      <w:r w:rsidR="002D456E">
        <w:rPr>
          <w:rFonts w:asciiTheme="minorHAnsi" w:hAnsiTheme="minorHAnsi"/>
          <w:sz w:val="22"/>
        </w:rPr>
        <w:t xml:space="preserve">, and community </w:t>
      </w:r>
      <w:r w:rsidR="002D456E" w:rsidRPr="002D456E">
        <w:rPr>
          <w:rFonts w:asciiTheme="minorHAnsi" w:hAnsiTheme="minorHAnsi"/>
          <w:sz w:val="22"/>
        </w:rPr>
        <w:t>surveys</w:t>
      </w:r>
      <w:r w:rsidR="002D456E">
        <w:rPr>
          <w:rFonts w:asciiTheme="minorHAnsi" w:hAnsiTheme="minorHAnsi"/>
          <w:sz w:val="22"/>
        </w:rPr>
        <w:t xml:space="preserve">.   </w:t>
      </w:r>
    </w:p>
    <w:p w14:paraId="7CF2E29B" w14:textId="77777777" w:rsidR="00310DB9" w:rsidRPr="00C37424" w:rsidRDefault="00310DB9" w:rsidP="00C37424">
      <w:pPr>
        <w:pStyle w:val="Heading1"/>
        <w:keepNext w:val="0"/>
        <w:pBdr>
          <w:bottom w:val="single" w:sz="12" w:space="1" w:color="365F91" w:themeColor="accent1" w:themeShade="BF"/>
        </w:pBdr>
        <w:spacing w:before="600" w:after="80"/>
        <w:rPr>
          <w:rFonts w:asciiTheme="minorHAnsi" w:hAnsiTheme="minorHAnsi" w:cs="Times New Roman"/>
          <w:caps/>
          <w:sz w:val="24"/>
        </w:rPr>
      </w:pPr>
      <w:r>
        <w:rPr>
          <w:rFonts w:asciiTheme="minorHAnsi" w:hAnsiTheme="minorHAnsi" w:cs="Times New Roman"/>
          <w:color w:val="4F81BD" w:themeColor="accent1"/>
          <w:sz w:val="24"/>
        </w:rPr>
        <w:t>BACKGROUND</w:t>
      </w:r>
    </w:p>
    <w:p w14:paraId="0CEC50D8" w14:textId="77777777" w:rsidR="00310DB9" w:rsidRPr="00C37424" w:rsidRDefault="00310DB9" w:rsidP="00310DB9">
      <w:pPr>
        <w:pStyle w:val="ListParagraph"/>
        <w:ind w:left="0" w:firstLine="0"/>
        <w:jc w:val="both"/>
        <w:rPr>
          <w:rFonts w:asciiTheme="minorHAnsi" w:hAnsiTheme="minorHAnsi"/>
        </w:rPr>
      </w:pPr>
      <w:r w:rsidRPr="00C37424">
        <w:rPr>
          <w:rFonts w:asciiTheme="minorHAnsi" w:hAnsiTheme="minorHAnsi"/>
        </w:rPr>
        <w:t>The Gambia is a small country in West Africa with a population of approximately 1.9 million (2013). The population has been growing at a fairly high rate of 3.3 percent per year over the last decade. The Gambia is a low income country with average per capita Gross National Income (GNI) estimated at US$510 (2012) which is less than half of the sub-Saharan African average of US$1,255.  The 2011 Human Development Index shows the country at rank 168 out of 187 countries. Life expectancy at birth for the average Gambian is 58 years.</w:t>
      </w:r>
    </w:p>
    <w:p w14:paraId="60E61DBF" w14:textId="77777777" w:rsidR="00310DB9" w:rsidRPr="00C37424" w:rsidRDefault="00310DB9" w:rsidP="00310DB9">
      <w:pPr>
        <w:autoSpaceDE w:val="0"/>
        <w:autoSpaceDN w:val="0"/>
        <w:adjustRightInd w:val="0"/>
        <w:rPr>
          <w:rFonts w:asciiTheme="minorHAnsi" w:hAnsiTheme="minorHAnsi"/>
          <w:sz w:val="22"/>
          <w:szCs w:val="22"/>
        </w:rPr>
      </w:pPr>
    </w:p>
    <w:p w14:paraId="771019D3" w14:textId="77777777" w:rsidR="00310DB9" w:rsidRPr="00C37424" w:rsidRDefault="00310DB9" w:rsidP="00310DB9">
      <w:pPr>
        <w:autoSpaceDE w:val="0"/>
        <w:autoSpaceDN w:val="0"/>
        <w:adjustRightInd w:val="0"/>
        <w:rPr>
          <w:rFonts w:asciiTheme="minorHAnsi" w:hAnsiTheme="minorHAnsi"/>
          <w:sz w:val="22"/>
          <w:szCs w:val="22"/>
        </w:rPr>
      </w:pPr>
      <w:r w:rsidRPr="00C37424">
        <w:rPr>
          <w:rFonts w:asciiTheme="minorHAnsi" w:hAnsiTheme="minorHAnsi"/>
          <w:sz w:val="22"/>
          <w:szCs w:val="22"/>
        </w:rPr>
        <w:t>The Gambia’s performance on MDGs 1c, 4 and 5 has been mixed.  While better off than the sub-Saharan African average for under-five mortality rate (U5MR) and maternal mortality ratio (MMR), when compared to sub-regional peers like Ghana and Senegal, The Gambia’s performance is lagging behind.  U5MR and MMR have declined since 1990, but the progress has been modest in relation with the MDG</w:t>
      </w:r>
      <w:r w:rsidR="007B3B51">
        <w:rPr>
          <w:rFonts w:asciiTheme="minorHAnsi" w:hAnsiTheme="minorHAnsi"/>
          <w:sz w:val="22"/>
          <w:szCs w:val="22"/>
        </w:rPr>
        <w:t>s</w:t>
      </w:r>
      <w:r w:rsidRPr="00C37424">
        <w:rPr>
          <w:rFonts w:asciiTheme="minorHAnsi" w:hAnsiTheme="minorHAnsi"/>
          <w:sz w:val="22"/>
          <w:szCs w:val="22"/>
        </w:rPr>
        <w:t xml:space="preserve"> 1c, 4 and 5.  Preliminary data from the 2013 Demographic Health Survey (DHS), if confirmed, would show encouraging results for U5MR having dropped to 54 per 1,000 live births.  No such indication exists for maternal mortality or nutrition.  The preliminary data from the 2013 DHS shows no change in underweight prevalence, i.e., 16 percent.  According to the 2013 State of the World’s Mothers (Save the Children 2013), The Gambia ranks 170 out of 176 countries on the Mother’s Index just above Mali, Niger and Central African Republic but behind countries like Chad, Guinea-Bissau and Nigeria.</w:t>
      </w:r>
      <w:r w:rsidRPr="00C37424">
        <w:rPr>
          <w:rStyle w:val="FootnoteReference"/>
          <w:rFonts w:asciiTheme="minorHAnsi" w:hAnsiTheme="minorHAnsi"/>
          <w:sz w:val="22"/>
          <w:szCs w:val="22"/>
        </w:rPr>
        <w:footnoteReference w:id="1"/>
      </w:r>
    </w:p>
    <w:p w14:paraId="3FBBB401" w14:textId="77777777" w:rsidR="00310DB9" w:rsidRPr="00C37424" w:rsidRDefault="00310DB9" w:rsidP="00310DB9">
      <w:pPr>
        <w:autoSpaceDE w:val="0"/>
        <w:autoSpaceDN w:val="0"/>
        <w:adjustRightInd w:val="0"/>
        <w:rPr>
          <w:rFonts w:asciiTheme="minorHAnsi" w:hAnsiTheme="minorHAnsi"/>
          <w:sz w:val="22"/>
          <w:szCs w:val="22"/>
        </w:rPr>
      </w:pPr>
    </w:p>
    <w:p w14:paraId="1EF56A0D" w14:textId="77777777" w:rsidR="00310DB9" w:rsidRPr="00C37424" w:rsidRDefault="00310DB9" w:rsidP="00310DB9">
      <w:pPr>
        <w:pStyle w:val="ListParagraph"/>
        <w:ind w:left="0" w:firstLine="0"/>
        <w:jc w:val="both"/>
        <w:rPr>
          <w:rFonts w:asciiTheme="minorHAnsi" w:hAnsiTheme="minorHAnsi"/>
          <w:bCs/>
        </w:rPr>
      </w:pPr>
      <w:r w:rsidRPr="00C37424">
        <w:rPr>
          <w:rFonts w:asciiTheme="minorHAnsi" w:hAnsiTheme="minorHAnsi"/>
        </w:rPr>
        <w:t xml:space="preserve">Quantitative and qualitative assessments conducted at the household and facility levels indicate a number of barriers to better health and nutrition outcomes.  The majority of demand-side constraints occur at the household or community level (except for attitude of providers toward patients) and is related to cultural obstacles, cost, inconvenience, and inadequate understanding about risks of conditions and benefits of seeking care or adopting a particular behavior.  On the supply-side, the reasons for poor outcomes stem from the health system experiencing insufficient financing; inconsistent infrastructure, equipment and supplies; and inadequate training and motivation of health providers.  </w:t>
      </w:r>
      <w:r w:rsidRPr="00C37424">
        <w:rPr>
          <w:rFonts w:asciiTheme="minorHAnsi" w:eastAsia="Calibri" w:hAnsiTheme="minorHAnsi"/>
        </w:rPr>
        <w:t xml:space="preserve">The poor performance of the health service delivery system on maternal and child nutrition and health </w:t>
      </w:r>
      <w:r w:rsidRPr="00C37424">
        <w:rPr>
          <w:rFonts w:asciiTheme="minorHAnsi" w:eastAsia="Calibri" w:hAnsiTheme="minorHAnsi"/>
        </w:rPr>
        <w:lastRenderedPageBreak/>
        <w:t xml:space="preserve">outcomes point to an operationally weakened and under-funded Primary Health Care (PHC) system and inadequate linkages between communities and the health sector.  </w:t>
      </w:r>
      <w:r w:rsidRPr="00C37424">
        <w:rPr>
          <w:rFonts w:asciiTheme="minorHAnsi" w:hAnsiTheme="minorHAnsi"/>
          <w:bCs/>
        </w:rPr>
        <w:t>Total expenditure on health per capita in 2010 was $26 and the total expenditure on health was six percent of GDP. General government‘s expenditure on health as percentage on total health expenditure is 51 percent; out-of-pocket money by poor families 24 percent; and external resources 25 percent.</w:t>
      </w:r>
    </w:p>
    <w:p w14:paraId="47F2267A" w14:textId="77777777" w:rsidR="00310DB9" w:rsidRPr="00C37424" w:rsidRDefault="00310DB9" w:rsidP="00310DB9">
      <w:pPr>
        <w:pStyle w:val="ListParagraph"/>
        <w:ind w:left="0" w:firstLine="0"/>
        <w:jc w:val="both"/>
        <w:rPr>
          <w:rFonts w:asciiTheme="minorHAnsi" w:hAnsiTheme="minorHAnsi"/>
          <w:bCs/>
        </w:rPr>
      </w:pPr>
    </w:p>
    <w:p w14:paraId="2FBAE12D" w14:textId="45952A2C" w:rsidR="00310DB9" w:rsidRPr="00C37424" w:rsidRDefault="00310DB9" w:rsidP="00310DB9">
      <w:pPr>
        <w:pStyle w:val="ListParagraph"/>
        <w:ind w:left="0" w:firstLine="0"/>
        <w:jc w:val="both"/>
        <w:rPr>
          <w:rFonts w:asciiTheme="minorHAnsi" w:hAnsiTheme="minorHAnsi"/>
        </w:rPr>
      </w:pPr>
      <w:r w:rsidRPr="00C37424">
        <w:rPr>
          <w:rFonts w:asciiTheme="minorHAnsi" w:hAnsiTheme="minorHAnsi"/>
          <w:bCs/>
        </w:rPr>
        <w:t xml:space="preserve">To address these challenges, a new project </w:t>
      </w:r>
      <w:r w:rsidR="005573EE">
        <w:rPr>
          <w:rFonts w:asciiTheme="minorHAnsi" w:hAnsiTheme="minorHAnsi"/>
          <w:bCs/>
        </w:rPr>
        <w:t>is</w:t>
      </w:r>
      <w:r w:rsidR="005573EE" w:rsidRPr="00C37424">
        <w:rPr>
          <w:rFonts w:asciiTheme="minorHAnsi" w:hAnsiTheme="minorHAnsi"/>
          <w:bCs/>
        </w:rPr>
        <w:t xml:space="preserve"> </w:t>
      </w:r>
      <w:r w:rsidRPr="00C37424">
        <w:rPr>
          <w:rFonts w:asciiTheme="minorHAnsi" w:hAnsiTheme="minorHAnsi"/>
          <w:bCs/>
        </w:rPr>
        <w:t>be</w:t>
      </w:r>
      <w:r w:rsidR="005573EE">
        <w:rPr>
          <w:rFonts w:asciiTheme="minorHAnsi" w:hAnsiTheme="minorHAnsi"/>
          <w:bCs/>
        </w:rPr>
        <w:t>ing</w:t>
      </w:r>
      <w:r w:rsidRPr="00C37424">
        <w:rPr>
          <w:rFonts w:asciiTheme="minorHAnsi" w:hAnsiTheme="minorHAnsi"/>
          <w:bCs/>
        </w:rPr>
        <w:t xml:space="preserve"> implemented to improve primary health care and community nutrition using an RBF approach.  The development objective of the project is </w:t>
      </w:r>
      <w:r w:rsidRPr="00C37424">
        <w:rPr>
          <w:rFonts w:asciiTheme="minorHAnsi" w:hAnsiTheme="minorHAnsi"/>
        </w:rPr>
        <w:t>to increase the utilization of community nutrition and primary maternal and child health services in selected regions of The Gambia.  This project target</w:t>
      </w:r>
      <w:r w:rsidR="005573EE">
        <w:rPr>
          <w:rFonts w:asciiTheme="minorHAnsi" w:hAnsiTheme="minorHAnsi"/>
        </w:rPr>
        <w:t>s</w:t>
      </w:r>
      <w:r w:rsidRPr="00C37424">
        <w:rPr>
          <w:rFonts w:asciiTheme="minorHAnsi" w:hAnsiTheme="minorHAnsi"/>
        </w:rPr>
        <w:t xml:space="preserve"> women of reproductive age, including adolescents, and children under five focusing on the community level strategies which build on the integrated BFC and PHC strategies of National Nutrition Agency (NaNA) and the Ministry of Health and Social Welfare (MOHSW).  This </w:t>
      </w:r>
      <w:r w:rsidR="00803FE2">
        <w:rPr>
          <w:rFonts w:asciiTheme="minorHAnsi" w:hAnsiTheme="minorHAnsi"/>
        </w:rPr>
        <w:t>is being</w:t>
      </w:r>
      <w:r w:rsidRPr="00C37424">
        <w:rPr>
          <w:rFonts w:asciiTheme="minorHAnsi" w:hAnsiTheme="minorHAnsi"/>
        </w:rPr>
        <w:t xml:space="preserve"> implemented in </w:t>
      </w:r>
      <w:r w:rsidR="00803FE2">
        <w:rPr>
          <w:rFonts w:asciiTheme="minorHAnsi" w:hAnsiTheme="minorHAnsi"/>
        </w:rPr>
        <w:t>five</w:t>
      </w:r>
      <w:r w:rsidRPr="00C37424">
        <w:rPr>
          <w:rFonts w:asciiTheme="minorHAnsi" w:hAnsiTheme="minorHAnsi"/>
        </w:rPr>
        <w:t xml:space="preserve"> of the seven Regions (</w:t>
      </w:r>
      <w:r w:rsidR="00803FE2">
        <w:rPr>
          <w:rFonts w:asciiTheme="minorHAnsi" w:hAnsiTheme="minorHAnsi"/>
        </w:rPr>
        <w:t>North Bank West Region</w:t>
      </w:r>
      <w:r w:rsidRPr="00C37424">
        <w:rPr>
          <w:rFonts w:asciiTheme="minorHAnsi" w:hAnsiTheme="minorHAnsi"/>
        </w:rPr>
        <w:t>, Upper River</w:t>
      </w:r>
      <w:r w:rsidR="00803FE2">
        <w:rPr>
          <w:rFonts w:asciiTheme="minorHAnsi" w:hAnsiTheme="minorHAnsi"/>
        </w:rPr>
        <w:t xml:space="preserve"> Region</w:t>
      </w:r>
      <w:r w:rsidRPr="00C37424">
        <w:rPr>
          <w:rFonts w:asciiTheme="minorHAnsi" w:hAnsiTheme="minorHAnsi"/>
        </w:rPr>
        <w:t xml:space="preserve">, Central River </w:t>
      </w:r>
      <w:r w:rsidR="00803FE2">
        <w:rPr>
          <w:rFonts w:asciiTheme="minorHAnsi" w:hAnsiTheme="minorHAnsi"/>
        </w:rPr>
        <w:t xml:space="preserve">Region </w:t>
      </w:r>
      <w:r w:rsidRPr="00C37424">
        <w:rPr>
          <w:rFonts w:asciiTheme="minorHAnsi" w:hAnsiTheme="minorHAnsi"/>
        </w:rPr>
        <w:t xml:space="preserve">and the </w:t>
      </w:r>
      <w:r w:rsidR="00803FE2">
        <w:rPr>
          <w:rFonts w:asciiTheme="minorHAnsi" w:hAnsiTheme="minorHAnsi"/>
        </w:rPr>
        <w:t xml:space="preserve">Lower River </w:t>
      </w:r>
      <w:r w:rsidRPr="00C37424">
        <w:rPr>
          <w:rFonts w:asciiTheme="minorHAnsi" w:hAnsiTheme="minorHAnsi"/>
        </w:rPr>
        <w:t xml:space="preserve">Region).  </w:t>
      </w:r>
      <w:r w:rsidR="00803FE2">
        <w:rPr>
          <w:rFonts w:asciiTheme="minorHAnsi" w:hAnsiTheme="minorHAnsi"/>
        </w:rPr>
        <w:t xml:space="preserve"> </w:t>
      </w:r>
    </w:p>
    <w:p w14:paraId="2F5D406F" w14:textId="77777777" w:rsidR="00310DB9" w:rsidRPr="00C37424" w:rsidRDefault="00310DB9" w:rsidP="00310DB9">
      <w:pPr>
        <w:pStyle w:val="ListParagraph"/>
        <w:ind w:left="0" w:firstLine="0"/>
        <w:jc w:val="both"/>
        <w:rPr>
          <w:rFonts w:asciiTheme="minorHAnsi" w:hAnsiTheme="minorHAnsi"/>
        </w:rPr>
      </w:pPr>
    </w:p>
    <w:p w14:paraId="277DA7EF" w14:textId="067FB3AD" w:rsidR="00CC4EB1" w:rsidRDefault="00310DB9" w:rsidP="00310DB9">
      <w:pPr>
        <w:autoSpaceDE w:val="0"/>
        <w:autoSpaceDN w:val="0"/>
        <w:adjustRightInd w:val="0"/>
        <w:rPr>
          <w:rFonts w:asciiTheme="minorHAnsi" w:hAnsiTheme="minorHAnsi"/>
          <w:sz w:val="22"/>
          <w:szCs w:val="22"/>
        </w:rPr>
      </w:pPr>
      <w:r w:rsidRPr="00C37424">
        <w:rPr>
          <w:rFonts w:asciiTheme="minorHAnsi" w:hAnsiTheme="minorHAnsi"/>
          <w:sz w:val="22"/>
          <w:szCs w:val="22"/>
        </w:rPr>
        <w:t xml:space="preserve">In collaboration with the MOHSW and NaNA, the World Bank team </w:t>
      </w:r>
      <w:r w:rsidR="00892009">
        <w:rPr>
          <w:rFonts w:asciiTheme="minorHAnsi" w:hAnsiTheme="minorHAnsi"/>
          <w:sz w:val="22"/>
          <w:szCs w:val="22"/>
        </w:rPr>
        <w:t>has</w:t>
      </w:r>
      <w:r w:rsidR="00892009" w:rsidRPr="00C37424">
        <w:rPr>
          <w:rFonts w:asciiTheme="minorHAnsi" w:hAnsiTheme="minorHAnsi"/>
          <w:sz w:val="22"/>
          <w:szCs w:val="22"/>
        </w:rPr>
        <w:t xml:space="preserve"> </w:t>
      </w:r>
      <w:r w:rsidRPr="00C37424">
        <w:rPr>
          <w:rFonts w:asciiTheme="minorHAnsi" w:hAnsiTheme="minorHAnsi"/>
          <w:sz w:val="22"/>
          <w:szCs w:val="22"/>
        </w:rPr>
        <w:t>develop</w:t>
      </w:r>
      <w:r w:rsidR="00892009">
        <w:rPr>
          <w:rFonts w:asciiTheme="minorHAnsi" w:hAnsiTheme="minorHAnsi"/>
          <w:sz w:val="22"/>
          <w:szCs w:val="22"/>
        </w:rPr>
        <w:t>ed</w:t>
      </w:r>
      <w:r w:rsidRPr="00C37424">
        <w:rPr>
          <w:rFonts w:asciiTheme="minorHAnsi" w:hAnsiTheme="minorHAnsi"/>
          <w:sz w:val="22"/>
          <w:szCs w:val="22"/>
        </w:rPr>
        <w:t xml:space="preserve"> an evaluation to assess the impact of the above mentioned RBF interventions.  A central </w:t>
      </w:r>
      <w:r w:rsidR="00CC4EB1">
        <w:rPr>
          <w:rFonts w:asciiTheme="minorHAnsi" w:hAnsiTheme="minorHAnsi"/>
          <w:sz w:val="22"/>
          <w:szCs w:val="22"/>
        </w:rPr>
        <w:t>goal</w:t>
      </w:r>
      <w:r w:rsidRPr="00C37424">
        <w:rPr>
          <w:rFonts w:asciiTheme="minorHAnsi" w:hAnsiTheme="minorHAnsi"/>
          <w:sz w:val="22"/>
          <w:szCs w:val="22"/>
        </w:rPr>
        <w:t xml:space="preserve"> of the HRITF is to learn about and document the extent to which RBF policies are effective, are operationally feasible, and in what circumstances. As su</w:t>
      </w:r>
      <w:r w:rsidR="00CC4EB1">
        <w:rPr>
          <w:rFonts w:asciiTheme="minorHAnsi" w:hAnsiTheme="minorHAnsi"/>
          <w:sz w:val="22"/>
          <w:szCs w:val="22"/>
        </w:rPr>
        <w:t xml:space="preserve">ch, rigorous evaluation of all </w:t>
      </w:r>
      <w:r w:rsidRPr="00C37424">
        <w:rPr>
          <w:rFonts w:asciiTheme="minorHAnsi" w:hAnsiTheme="minorHAnsi"/>
          <w:sz w:val="22"/>
          <w:szCs w:val="22"/>
        </w:rPr>
        <w:t>RBF programs is essential for generating new knowledge that can inform governments and partners to effectively design and use RBF mechanisms.  The eventual learning objective is not only to assess the impact of the RBF intervention(s) in The Gambia, but also to compare these impacts across the other countries with similar interventions, and to be able to provide externally valid advice on the feasibility and effectiveness of these approaches to other countries.</w:t>
      </w:r>
    </w:p>
    <w:p w14:paraId="1AA04BDA" w14:textId="77777777" w:rsidR="00310DB9" w:rsidRPr="00C37424" w:rsidRDefault="00EE3846" w:rsidP="00C37424">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Pr>
          <w:rFonts w:asciiTheme="minorHAnsi" w:hAnsiTheme="minorHAnsi" w:cs="Times New Roman"/>
          <w:color w:val="4F81BD" w:themeColor="accent1"/>
          <w:sz w:val="24"/>
        </w:rPr>
        <w:t>IMPACT EVALUATION DESIGN</w:t>
      </w:r>
    </w:p>
    <w:p w14:paraId="128A9D60" w14:textId="6C1CB795" w:rsidR="00C138CF" w:rsidRDefault="00C138CF" w:rsidP="00C138CF">
      <w:pPr>
        <w:autoSpaceDE w:val="0"/>
        <w:autoSpaceDN w:val="0"/>
        <w:adjustRightInd w:val="0"/>
        <w:jc w:val="both"/>
        <w:rPr>
          <w:rFonts w:asciiTheme="minorHAnsi" w:hAnsiTheme="minorHAnsi"/>
          <w:sz w:val="22"/>
        </w:rPr>
      </w:pPr>
      <w:r w:rsidRPr="00C138CF">
        <w:rPr>
          <w:rFonts w:asciiTheme="minorHAnsi" w:hAnsiTheme="minorHAnsi"/>
          <w:sz w:val="22"/>
        </w:rPr>
        <w:t>The two main interventions introduced as part of the pilot project are described in the following:</w:t>
      </w:r>
      <w:r>
        <w:rPr>
          <w:rFonts w:asciiTheme="minorHAnsi" w:hAnsiTheme="minorHAnsi"/>
          <w:sz w:val="22"/>
        </w:rPr>
        <w:t xml:space="preserve">  </w:t>
      </w:r>
    </w:p>
    <w:p w14:paraId="6AC421AC" w14:textId="77777777" w:rsidR="00C138CF" w:rsidRDefault="00C138CF" w:rsidP="00C138CF">
      <w:pPr>
        <w:autoSpaceDE w:val="0"/>
        <w:autoSpaceDN w:val="0"/>
        <w:adjustRightInd w:val="0"/>
        <w:jc w:val="both"/>
        <w:rPr>
          <w:rFonts w:asciiTheme="minorHAnsi" w:hAnsiTheme="minorHAnsi"/>
          <w:sz w:val="22"/>
        </w:rPr>
      </w:pPr>
    </w:p>
    <w:p w14:paraId="014CAD5D" w14:textId="77777777" w:rsidR="00C138CF" w:rsidRPr="00C138CF" w:rsidRDefault="00C138CF" w:rsidP="00C138CF">
      <w:pPr>
        <w:autoSpaceDE w:val="0"/>
        <w:autoSpaceDN w:val="0"/>
        <w:adjustRightInd w:val="0"/>
        <w:jc w:val="both"/>
        <w:rPr>
          <w:rFonts w:asciiTheme="minorHAnsi" w:hAnsiTheme="minorHAnsi"/>
          <w:sz w:val="22"/>
        </w:rPr>
      </w:pPr>
      <w:r w:rsidRPr="00C138CF">
        <w:rPr>
          <w:rFonts w:asciiTheme="minorHAnsi" w:hAnsiTheme="minorHAnsi"/>
          <w:b/>
          <w:sz w:val="22"/>
        </w:rPr>
        <w:t>Intervention 1: Community mobilization for social and behavior change (Community RBF)</w:t>
      </w:r>
      <w:r w:rsidRPr="00C138CF">
        <w:rPr>
          <w:rFonts w:asciiTheme="minorHAnsi" w:hAnsiTheme="minorHAnsi"/>
          <w:sz w:val="22"/>
        </w:rPr>
        <w:t>.  This intervention will focus on community-based promotion of key family and community practices and health care seeking behaviors for improved maternal and child nutrition and health outcomes through:</w:t>
      </w:r>
    </w:p>
    <w:p w14:paraId="75A36F38" w14:textId="77777777" w:rsidR="00C138CF" w:rsidRPr="00C138CF" w:rsidRDefault="00C138CF" w:rsidP="00C138CF">
      <w:pPr>
        <w:pStyle w:val="ListParagraph"/>
        <w:numPr>
          <w:ilvl w:val="2"/>
          <w:numId w:val="40"/>
        </w:numPr>
        <w:spacing w:after="240" w:line="276" w:lineRule="auto"/>
        <w:ind w:left="720" w:hanging="547"/>
        <w:jc w:val="both"/>
        <w:rPr>
          <w:rFonts w:asciiTheme="minorHAnsi" w:hAnsiTheme="minorHAnsi"/>
          <w:szCs w:val="24"/>
        </w:rPr>
      </w:pPr>
      <w:r w:rsidRPr="00C138CF">
        <w:rPr>
          <w:rFonts w:asciiTheme="minorHAnsi" w:hAnsiTheme="minorHAnsi"/>
          <w:szCs w:val="24"/>
        </w:rPr>
        <w:t>Provision of</w:t>
      </w:r>
      <w:r w:rsidRPr="00C138CF">
        <w:rPr>
          <w:rFonts w:asciiTheme="minorHAnsi" w:hAnsiTheme="minorHAnsi"/>
          <w:i/>
          <w:szCs w:val="24"/>
        </w:rPr>
        <w:t xml:space="preserve"> conditional cash transfers to communities and village support groups (VSG) </w:t>
      </w:r>
      <w:r w:rsidRPr="00C138CF">
        <w:rPr>
          <w:rFonts w:asciiTheme="minorHAnsi" w:hAnsiTheme="minorHAnsi"/>
          <w:szCs w:val="24"/>
        </w:rPr>
        <w:t xml:space="preserve">to increase </w:t>
      </w:r>
      <w:r w:rsidRPr="00C138CF">
        <w:rPr>
          <w:rFonts w:asciiTheme="minorHAnsi" w:hAnsiTheme="minorHAnsi"/>
          <w:szCs w:val="24"/>
          <w:u w:val="single"/>
        </w:rPr>
        <w:t>demand for and utilization of</w:t>
      </w:r>
      <w:r w:rsidRPr="00C138CF">
        <w:rPr>
          <w:rFonts w:asciiTheme="minorHAnsi" w:hAnsiTheme="minorHAnsi"/>
          <w:szCs w:val="24"/>
        </w:rPr>
        <w:t xml:space="preserve"> health and nutrition services through counseling and timely referrals for life-saving health services (e.g., hygiene, sanitation, counseling on infant and young child feeding, delayed first pregnancy and child spacing, referral of pregnant women and children with danger signs to health centers);</w:t>
      </w:r>
    </w:p>
    <w:p w14:paraId="19EEBE85" w14:textId="77777777" w:rsidR="00C138CF" w:rsidRPr="00C138CF" w:rsidRDefault="00C138CF" w:rsidP="00C138CF">
      <w:pPr>
        <w:pStyle w:val="ListParagraph"/>
        <w:numPr>
          <w:ilvl w:val="2"/>
          <w:numId w:val="40"/>
        </w:numPr>
        <w:spacing w:after="240" w:line="276" w:lineRule="auto"/>
        <w:ind w:left="720" w:hanging="547"/>
        <w:jc w:val="both"/>
        <w:rPr>
          <w:rFonts w:asciiTheme="minorHAnsi" w:hAnsiTheme="minorHAnsi"/>
          <w:szCs w:val="24"/>
        </w:rPr>
      </w:pPr>
      <w:r w:rsidRPr="00C138CF">
        <w:rPr>
          <w:rFonts w:asciiTheme="minorHAnsi" w:hAnsiTheme="minorHAnsi"/>
          <w:szCs w:val="24"/>
        </w:rPr>
        <w:t>Provision of</w:t>
      </w:r>
      <w:r w:rsidRPr="00C138CF">
        <w:rPr>
          <w:rFonts w:asciiTheme="minorHAnsi" w:hAnsiTheme="minorHAnsi"/>
          <w:i/>
          <w:szCs w:val="24"/>
        </w:rPr>
        <w:t xml:space="preserve"> conditional cash transfers (CCT) to individual women </w:t>
      </w:r>
      <w:r w:rsidRPr="00C138CF">
        <w:rPr>
          <w:rFonts w:asciiTheme="minorHAnsi" w:hAnsiTheme="minorHAnsi"/>
          <w:szCs w:val="24"/>
        </w:rPr>
        <w:t xml:space="preserve">to increase </w:t>
      </w:r>
      <w:r w:rsidRPr="00C138CF">
        <w:rPr>
          <w:rFonts w:asciiTheme="minorHAnsi" w:hAnsiTheme="minorHAnsi"/>
          <w:szCs w:val="24"/>
          <w:u w:val="single"/>
        </w:rPr>
        <w:t>utilization</w:t>
      </w:r>
      <w:r w:rsidRPr="00C138CF">
        <w:rPr>
          <w:rFonts w:asciiTheme="minorHAnsi" w:hAnsiTheme="minorHAnsi"/>
          <w:szCs w:val="24"/>
        </w:rPr>
        <w:t xml:space="preserve"> of timely antenatal care; and</w:t>
      </w:r>
    </w:p>
    <w:p w14:paraId="770FA70A" w14:textId="77777777" w:rsidR="00C138CF" w:rsidRPr="00C138CF" w:rsidRDefault="00C138CF" w:rsidP="00C138CF">
      <w:pPr>
        <w:jc w:val="both"/>
        <w:rPr>
          <w:rFonts w:asciiTheme="minorHAnsi" w:hAnsiTheme="minorHAnsi"/>
          <w:sz w:val="22"/>
        </w:rPr>
      </w:pPr>
      <w:r w:rsidRPr="00C138CF">
        <w:rPr>
          <w:rFonts w:asciiTheme="minorHAnsi" w:hAnsiTheme="minorHAnsi"/>
          <w:b/>
          <w:sz w:val="22"/>
        </w:rPr>
        <w:t xml:space="preserve">Intervention 2: Delivery of selected primary health care services (Health facility PBF).  </w:t>
      </w:r>
      <w:r w:rsidRPr="00C138CF">
        <w:rPr>
          <w:rFonts w:asciiTheme="minorHAnsi" w:hAnsiTheme="minorHAnsi"/>
          <w:sz w:val="22"/>
        </w:rPr>
        <w:t xml:space="preserve">This component aims to support and incentivize the delivery of selected nutrition and health care services at primary health centers, and, where needed, also referral health centers. Health centers will receive </w:t>
      </w:r>
      <w:r w:rsidRPr="00C138CF">
        <w:rPr>
          <w:rFonts w:asciiTheme="minorHAnsi" w:hAnsiTheme="minorHAnsi"/>
          <w:iCs/>
          <w:sz w:val="22"/>
        </w:rPr>
        <w:t xml:space="preserve">  performance-based payments for the delivery of </w:t>
      </w:r>
      <w:r w:rsidRPr="00C138CF">
        <w:rPr>
          <w:rFonts w:asciiTheme="minorHAnsi" w:hAnsiTheme="minorHAnsi"/>
          <w:sz w:val="22"/>
        </w:rPr>
        <w:t xml:space="preserve">a predefined package of maternal and child health and nutrition services at primary and referral health care facilities.  A fee-for-service (FFS) mechanism which </w:t>
      </w:r>
      <w:r w:rsidRPr="00C138CF">
        <w:rPr>
          <w:rFonts w:asciiTheme="minorHAnsi" w:hAnsiTheme="minorHAnsi"/>
          <w:sz w:val="22"/>
        </w:rPr>
        <w:lastRenderedPageBreak/>
        <w:t>includes quantity and quality payments for a defined package of maternal and child health and nutrition services will be used.</w:t>
      </w:r>
    </w:p>
    <w:p w14:paraId="2E8829B6" w14:textId="77777777" w:rsidR="00C138CF" w:rsidRPr="00C138CF" w:rsidRDefault="00C138CF" w:rsidP="00C138CF">
      <w:pPr>
        <w:jc w:val="both"/>
        <w:rPr>
          <w:rFonts w:asciiTheme="minorHAnsi" w:hAnsiTheme="minorHAnsi"/>
          <w:sz w:val="22"/>
        </w:rPr>
      </w:pPr>
    </w:p>
    <w:p w14:paraId="38B5075B" w14:textId="77777777" w:rsidR="00C138CF" w:rsidRPr="00C138CF" w:rsidRDefault="00C138CF" w:rsidP="00C138CF">
      <w:pPr>
        <w:jc w:val="both"/>
        <w:rPr>
          <w:rFonts w:asciiTheme="minorHAnsi" w:hAnsiTheme="minorHAnsi"/>
          <w:sz w:val="22"/>
        </w:rPr>
      </w:pPr>
      <w:r w:rsidRPr="00C138CF">
        <w:rPr>
          <w:rFonts w:asciiTheme="minorHAnsi" w:hAnsiTheme="minorHAnsi"/>
          <w:sz w:val="22"/>
        </w:rPr>
        <w:t xml:space="preserve">The overall approach for the evaluation is a randomized phased in 2 x 2 design (Figure 1).  The preliminary plan for the supply-side foresees facilities in the three target regions to be enrolled in the project in two phases. In discussion with the Project Implementation Committee (PIC), it was decided that each phase for the supply-side roll-out will last 18 months which should provide a sufficiently long time window to allow the impact evaluation team to observe behavioral change.  In total, 24 facilities will be enrolled:  12 selected facilities will be enrolled in Phase I (including the 3 facilities already enrolled), and 12 facilities will be enrolled in Phase II. </w:t>
      </w:r>
    </w:p>
    <w:p w14:paraId="13E7F88A" w14:textId="77777777" w:rsidR="00C138CF" w:rsidRPr="00C138CF" w:rsidRDefault="00C138CF" w:rsidP="00C138CF">
      <w:pPr>
        <w:rPr>
          <w:rFonts w:asciiTheme="minorHAnsi" w:hAnsiTheme="minorHAnsi"/>
          <w:b/>
          <w:sz w:val="22"/>
        </w:rPr>
      </w:pPr>
    </w:p>
    <w:p w14:paraId="45368EBD" w14:textId="77777777" w:rsidR="00C138CF" w:rsidRPr="00C138CF" w:rsidRDefault="00C138CF" w:rsidP="00C138CF">
      <w:pPr>
        <w:rPr>
          <w:rFonts w:asciiTheme="minorHAnsi" w:hAnsiTheme="minorHAnsi"/>
          <w:b/>
          <w:sz w:val="22"/>
        </w:rPr>
      </w:pPr>
      <w:r w:rsidRPr="00C138CF">
        <w:rPr>
          <w:rFonts w:asciiTheme="minorHAnsi" w:hAnsiTheme="minorHAnsi"/>
          <w:b/>
          <w:sz w:val="22"/>
        </w:rPr>
        <w:t>Figure 1.  Study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40"/>
        <w:gridCol w:w="1620"/>
        <w:gridCol w:w="1620"/>
      </w:tblGrid>
      <w:tr w:rsidR="00C138CF" w:rsidRPr="00C138CF" w14:paraId="76C6CE1D" w14:textId="77777777" w:rsidTr="00C138CF">
        <w:tc>
          <w:tcPr>
            <w:tcW w:w="2268" w:type="dxa"/>
          </w:tcPr>
          <w:p w14:paraId="590EC2DF" w14:textId="77777777" w:rsidR="00C138CF" w:rsidRPr="00C138CF" w:rsidRDefault="00C138CF">
            <w:pPr>
              <w:jc w:val="both"/>
              <w:rPr>
                <w:rFonts w:asciiTheme="minorHAnsi" w:hAnsiTheme="minorHAnsi"/>
                <w:b/>
                <w:sz w:val="22"/>
                <w:szCs w:val="22"/>
              </w:rPr>
            </w:pPr>
          </w:p>
        </w:tc>
        <w:tc>
          <w:tcPr>
            <w:tcW w:w="1440" w:type="dxa"/>
          </w:tcPr>
          <w:p w14:paraId="2656D987" w14:textId="77777777" w:rsidR="00C138CF" w:rsidRPr="00C138CF" w:rsidRDefault="00C138CF">
            <w:pPr>
              <w:jc w:val="both"/>
              <w:rPr>
                <w:rFonts w:asciiTheme="minorHAnsi" w:hAnsiTheme="minorHAnsi"/>
                <w:sz w:val="22"/>
                <w:szCs w:val="22"/>
              </w:rPr>
            </w:pPr>
          </w:p>
        </w:tc>
        <w:tc>
          <w:tcPr>
            <w:tcW w:w="3240" w:type="dxa"/>
            <w:gridSpan w:val="2"/>
            <w:tcBorders>
              <w:top w:val="nil"/>
              <w:left w:val="nil"/>
              <w:bottom w:val="single" w:sz="12" w:space="0" w:color="auto"/>
              <w:right w:val="nil"/>
            </w:tcBorders>
            <w:vAlign w:val="center"/>
            <w:hideMark/>
          </w:tcPr>
          <w:p w14:paraId="6CE3D4D3" w14:textId="77777777" w:rsidR="00C138CF" w:rsidRPr="00C138CF" w:rsidRDefault="00C138CF">
            <w:pPr>
              <w:jc w:val="center"/>
              <w:rPr>
                <w:rFonts w:asciiTheme="minorHAnsi" w:hAnsiTheme="minorHAnsi" w:cstheme="minorBidi"/>
                <w:b/>
                <w:sz w:val="22"/>
              </w:rPr>
            </w:pPr>
            <w:r w:rsidRPr="00C138CF">
              <w:rPr>
                <w:rFonts w:asciiTheme="minorHAnsi" w:hAnsiTheme="minorHAnsi"/>
                <w:b/>
                <w:sz w:val="22"/>
              </w:rPr>
              <w:t>Supply-side RBF:</w:t>
            </w:r>
          </w:p>
          <w:p w14:paraId="7B68991C" w14:textId="77777777" w:rsidR="00C138CF" w:rsidRPr="00C138CF" w:rsidRDefault="00C138CF">
            <w:pPr>
              <w:jc w:val="center"/>
              <w:rPr>
                <w:rFonts w:asciiTheme="minorHAnsi" w:hAnsiTheme="minorHAnsi"/>
                <w:b/>
                <w:sz w:val="22"/>
                <w:szCs w:val="22"/>
              </w:rPr>
            </w:pPr>
            <w:r w:rsidRPr="00C138CF">
              <w:rPr>
                <w:rFonts w:asciiTheme="minorHAnsi" w:hAnsiTheme="minorHAnsi"/>
                <w:b/>
                <w:sz w:val="22"/>
              </w:rPr>
              <w:t>Health Facility</w:t>
            </w:r>
          </w:p>
        </w:tc>
      </w:tr>
      <w:tr w:rsidR="00C138CF" w:rsidRPr="00C138CF" w14:paraId="2EEDB608" w14:textId="77777777" w:rsidTr="00C138CF">
        <w:tc>
          <w:tcPr>
            <w:tcW w:w="2268" w:type="dxa"/>
          </w:tcPr>
          <w:p w14:paraId="43DE33FC" w14:textId="77777777" w:rsidR="00C138CF" w:rsidRPr="00C138CF" w:rsidRDefault="00C138CF">
            <w:pPr>
              <w:jc w:val="both"/>
              <w:rPr>
                <w:rFonts w:asciiTheme="minorHAnsi" w:hAnsiTheme="minorHAnsi"/>
                <w:sz w:val="22"/>
                <w:szCs w:val="22"/>
              </w:rPr>
            </w:pPr>
          </w:p>
        </w:tc>
        <w:tc>
          <w:tcPr>
            <w:tcW w:w="1440" w:type="dxa"/>
          </w:tcPr>
          <w:p w14:paraId="3E7D115B" w14:textId="77777777" w:rsidR="00C138CF" w:rsidRPr="00C138CF" w:rsidRDefault="00C138CF">
            <w:pPr>
              <w:jc w:val="both"/>
              <w:rPr>
                <w:rFonts w:asciiTheme="minorHAnsi" w:hAnsiTheme="minorHAnsi"/>
                <w:sz w:val="22"/>
                <w:szCs w:val="22"/>
              </w:rPr>
            </w:pPr>
          </w:p>
        </w:tc>
        <w:tc>
          <w:tcPr>
            <w:tcW w:w="1620" w:type="dxa"/>
            <w:tcBorders>
              <w:top w:val="single" w:sz="12" w:space="0" w:color="auto"/>
              <w:left w:val="nil"/>
              <w:bottom w:val="single" w:sz="4" w:space="0" w:color="auto"/>
              <w:right w:val="single" w:sz="4" w:space="0" w:color="auto"/>
            </w:tcBorders>
            <w:hideMark/>
          </w:tcPr>
          <w:p w14:paraId="5F0F9C7C" w14:textId="77777777" w:rsidR="00C138CF" w:rsidRPr="00C138CF" w:rsidRDefault="00C138CF">
            <w:pPr>
              <w:jc w:val="both"/>
              <w:rPr>
                <w:rFonts w:asciiTheme="minorHAnsi" w:hAnsiTheme="minorHAnsi"/>
                <w:sz w:val="22"/>
                <w:szCs w:val="22"/>
              </w:rPr>
            </w:pPr>
            <w:r w:rsidRPr="00C138CF">
              <w:rPr>
                <w:rFonts w:asciiTheme="minorHAnsi" w:hAnsiTheme="minorHAnsi"/>
                <w:sz w:val="22"/>
              </w:rPr>
              <w:t>Comparison</w:t>
            </w:r>
          </w:p>
        </w:tc>
        <w:tc>
          <w:tcPr>
            <w:tcW w:w="1620" w:type="dxa"/>
            <w:tcBorders>
              <w:top w:val="single" w:sz="12" w:space="0" w:color="auto"/>
              <w:left w:val="single" w:sz="4" w:space="0" w:color="auto"/>
              <w:bottom w:val="single" w:sz="4" w:space="0" w:color="auto"/>
              <w:right w:val="nil"/>
            </w:tcBorders>
            <w:hideMark/>
          </w:tcPr>
          <w:p w14:paraId="74F3255F" w14:textId="77777777" w:rsidR="00C138CF" w:rsidRPr="00C138CF" w:rsidRDefault="00C138CF">
            <w:pPr>
              <w:jc w:val="both"/>
              <w:rPr>
                <w:rFonts w:asciiTheme="minorHAnsi" w:hAnsiTheme="minorHAnsi"/>
                <w:sz w:val="22"/>
                <w:szCs w:val="22"/>
              </w:rPr>
            </w:pPr>
            <w:r w:rsidRPr="00C138CF">
              <w:rPr>
                <w:rFonts w:asciiTheme="minorHAnsi" w:hAnsiTheme="minorHAnsi"/>
                <w:sz w:val="22"/>
              </w:rPr>
              <w:t>Treatment</w:t>
            </w:r>
          </w:p>
        </w:tc>
      </w:tr>
      <w:tr w:rsidR="00C138CF" w:rsidRPr="00C138CF" w14:paraId="327FB0B5" w14:textId="77777777" w:rsidTr="00C138CF">
        <w:trPr>
          <w:trHeight w:val="409"/>
        </w:trPr>
        <w:tc>
          <w:tcPr>
            <w:tcW w:w="2268" w:type="dxa"/>
            <w:vMerge w:val="restart"/>
            <w:tcBorders>
              <w:top w:val="nil"/>
              <w:left w:val="nil"/>
              <w:bottom w:val="nil"/>
              <w:right w:val="single" w:sz="12" w:space="0" w:color="auto"/>
            </w:tcBorders>
            <w:vAlign w:val="center"/>
            <w:hideMark/>
          </w:tcPr>
          <w:p w14:paraId="706D28F2" w14:textId="77777777" w:rsidR="00C138CF" w:rsidRPr="00C138CF" w:rsidRDefault="00C138CF">
            <w:pPr>
              <w:rPr>
                <w:rFonts w:asciiTheme="minorHAnsi" w:hAnsiTheme="minorHAnsi"/>
                <w:b/>
                <w:sz w:val="22"/>
                <w:szCs w:val="22"/>
              </w:rPr>
            </w:pPr>
            <w:r w:rsidRPr="00C138CF">
              <w:rPr>
                <w:rFonts w:asciiTheme="minorHAnsi" w:hAnsiTheme="minorHAnsi"/>
                <w:b/>
                <w:sz w:val="22"/>
              </w:rPr>
              <w:t>Demand-side RBF: Community</w:t>
            </w:r>
          </w:p>
        </w:tc>
        <w:tc>
          <w:tcPr>
            <w:tcW w:w="1440" w:type="dxa"/>
            <w:tcBorders>
              <w:top w:val="nil"/>
              <w:left w:val="single" w:sz="12" w:space="0" w:color="auto"/>
              <w:bottom w:val="single" w:sz="4" w:space="0" w:color="auto"/>
              <w:right w:val="single" w:sz="4" w:space="0" w:color="auto"/>
            </w:tcBorders>
            <w:vAlign w:val="center"/>
            <w:hideMark/>
          </w:tcPr>
          <w:p w14:paraId="26C8B62A" w14:textId="77777777" w:rsidR="00C138CF" w:rsidRPr="00C138CF" w:rsidRDefault="00C138CF">
            <w:pPr>
              <w:rPr>
                <w:rFonts w:asciiTheme="minorHAnsi" w:hAnsiTheme="minorHAnsi"/>
                <w:sz w:val="22"/>
                <w:szCs w:val="22"/>
              </w:rPr>
            </w:pPr>
            <w:r w:rsidRPr="00C138CF">
              <w:rPr>
                <w:rFonts w:asciiTheme="minorHAnsi" w:hAnsiTheme="minorHAnsi"/>
                <w:sz w:val="22"/>
              </w:rPr>
              <w:t>Comparison</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D01329C" w14:textId="77777777" w:rsidR="00C138CF" w:rsidRPr="00C138CF" w:rsidRDefault="00C138CF">
            <w:pPr>
              <w:jc w:val="center"/>
              <w:rPr>
                <w:rFonts w:asciiTheme="minorHAnsi" w:hAnsiTheme="minorHAnsi"/>
                <w:sz w:val="22"/>
                <w:szCs w:val="22"/>
              </w:rPr>
            </w:pPr>
            <w:r w:rsidRPr="00C138CF">
              <w:rPr>
                <w:rFonts w:asciiTheme="minorHAnsi" w:hAnsiTheme="minorHAnsi"/>
                <w:sz w:val="22"/>
              </w:rPr>
              <w:t>A</w:t>
            </w:r>
          </w:p>
        </w:tc>
        <w:tc>
          <w:tcPr>
            <w:tcW w:w="1620" w:type="dxa"/>
            <w:tcBorders>
              <w:top w:val="single" w:sz="4" w:space="0" w:color="auto"/>
              <w:left w:val="single" w:sz="4" w:space="0" w:color="auto"/>
              <w:bottom w:val="single" w:sz="4" w:space="0" w:color="auto"/>
              <w:right w:val="nil"/>
            </w:tcBorders>
            <w:vAlign w:val="center"/>
            <w:hideMark/>
          </w:tcPr>
          <w:p w14:paraId="31FF8435" w14:textId="77777777" w:rsidR="00C138CF" w:rsidRPr="00C138CF" w:rsidRDefault="00C138CF">
            <w:pPr>
              <w:jc w:val="center"/>
              <w:rPr>
                <w:rFonts w:asciiTheme="minorHAnsi" w:hAnsiTheme="minorHAnsi"/>
                <w:sz w:val="22"/>
                <w:szCs w:val="22"/>
              </w:rPr>
            </w:pPr>
            <w:r w:rsidRPr="00C138CF">
              <w:rPr>
                <w:rFonts w:asciiTheme="minorHAnsi" w:hAnsiTheme="minorHAnsi"/>
                <w:sz w:val="22"/>
              </w:rPr>
              <w:t>C</w:t>
            </w:r>
          </w:p>
        </w:tc>
      </w:tr>
      <w:tr w:rsidR="00C138CF" w:rsidRPr="00C138CF" w14:paraId="1B935030" w14:textId="77777777" w:rsidTr="00C138CF">
        <w:trPr>
          <w:trHeight w:val="409"/>
        </w:trPr>
        <w:tc>
          <w:tcPr>
            <w:tcW w:w="0" w:type="auto"/>
            <w:vMerge/>
            <w:tcBorders>
              <w:top w:val="nil"/>
              <w:left w:val="nil"/>
              <w:bottom w:val="nil"/>
              <w:right w:val="single" w:sz="12" w:space="0" w:color="auto"/>
            </w:tcBorders>
            <w:vAlign w:val="center"/>
            <w:hideMark/>
          </w:tcPr>
          <w:p w14:paraId="67AAE638" w14:textId="77777777" w:rsidR="00C138CF" w:rsidRPr="00C138CF" w:rsidRDefault="00C138CF">
            <w:pPr>
              <w:rPr>
                <w:rFonts w:asciiTheme="minorHAnsi" w:hAnsiTheme="minorHAnsi"/>
                <w:b/>
                <w:sz w:val="22"/>
                <w:szCs w:val="22"/>
                <w:lang w:val="fr-FR"/>
              </w:rPr>
            </w:pPr>
          </w:p>
        </w:tc>
        <w:tc>
          <w:tcPr>
            <w:tcW w:w="1440" w:type="dxa"/>
            <w:tcBorders>
              <w:top w:val="single" w:sz="4" w:space="0" w:color="auto"/>
              <w:left w:val="single" w:sz="12" w:space="0" w:color="auto"/>
              <w:bottom w:val="nil"/>
              <w:right w:val="single" w:sz="4" w:space="0" w:color="auto"/>
            </w:tcBorders>
            <w:vAlign w:val="center"/>
            <w:hideMark/>
          </w:tcPr>
          <w:p w14:paraId="224EE3B6" w14:textId="77777777" w:rsidR="00C138CF" w:rsidRPr="00C138CF" w:rsidRDefault="00C138CF">
            <w:pPr>
              <w:rPr>
                <w:rFonts w:asciiTheme="minorHAnsi" w:hAnsiTheme="minorHAnsi"/>
                <w:sz w:val="22"/>
                <w:szCs w:val="22"/>
              </w:rPr>
            </w:pPr>
            <w:r w:rsidRPr="00C138CF">
              <w:rPr>
                <w:rFonts w:asciiTheme="minorHAnsi" w:hAnsiTheme="minorHAnsi"/>
                <w:sz w:val="22"/>
              </w:rPr>
              <w:t>Treatment</w:t>
            </w:r>
          </w:p>
        </w:tc>
        <w:tc>
          <w:tcPr>
            <w:tcW w:w="1620" w:type="dxa"/>
            <w:tcBorders>
              <w:top w:val="single" w:sz="4" w:space="0" w:color="auto"/>
              <w:left w:val="single" w:sz="4" w:space="0" w:color="auto"/>
              <w:bottom w:val="nil"/>
              <w:right w:val="single" w:sz="4" w:space="0" w:color="auto"/>
            </w:tcBorders>
            <w:vAlign w:val="center"/>
            <w:hideMark/>
          </w:tcPr>
          <w:p w14:paraId="47829023" w14:textId="77777777" w:rsidR="00C138CF" w:rsidRPr="00C138CF" w:rsidRDefault="00C138CF">
            <w:pPr>
              <w:jc w:val="center"/>
              <w:rPr>
                <w:rFonts w:asciiTheme="minorHAnsi" w:hAnsiTheme="minorHAnsi"/>
                <w:sz w:val="22"/>
                <w:szCs w:val="22"/>
              </w:rPr>
            </w:pPr>
            <w:r w:rsidRPr="00C138CF">
              <w:rPr>
                <w:rFonts w:asciiTheme="minorHAnsi" w:hAnsiTheme="minorHAnsi"/>
                <w:sz w:val="22"/>
              </w:rPr>
              <w:t>B</w:t>
            </w:r>
          </w:p>
        </w:tc>
        <w:tc>
          <w:tcPr>
            <w:tcW w:w="1620" w:type="dxa"/>
            <w:tcBorders>
              <w:top w:val="single" w:sz="4" w:space="0" w:color="auto"/>
              <w:left w:val="single" w:sz="4" w:space="0" w:color="auto"/>
              <w:bottom w:val="nil"/>
              <w:right w:val="nil"/>
            </w:tcBorders>
            <w:vAlign w:val="center"/>
            <w:hideMark/>
          </w:tcPr>
          <w:p w14:paraId="76E07271" w14:textId="77777777" w:rsidR="00C138CF" w:rsidRPr="00C138CF" w:rsidRDefault="00C138CF">
            <w:pPr>
              <w:jc w:val="center"/>
              <w:rPr>
                <w:rFonts w:asciiTheme="minorHAnsi" w:hAnsiTheme="minorHAnsi"/>
                <w:sz w:val="22"/>
                <w:szCs w:val="22"/>
              </w:rPr>
            </w:pPr>
            <w:r w:rsidRPr="00C138CF">
              <w:rPr>
                <w:rFonts w:asciiTheme="minorHAnsi" w:hAnsiTheme="minorHAnsi"/>
                <w:sz w:val="22"/>
              </w:rPr>
              <w:t>D</w:t>
            </w:r>
          </w:p>
        </w:tc>
      </w:tr>
    </w:tbl>
    <w:p w14:paraId="7D781414" w14:textId="77777777" w:rsidR="00C138CF" w:rsidRPr="00C138CF" w:rsidRDefault="00C138CF" w:rsidP="00C138CF">
      <w:pPr>
        <w:jc w:val="both"/>
        <w:rPr>
          <w:rFonts w:asciiTheme="minorHAnsi" w:hAnsiTheme="minorHAnsi" w:cstheme="minorBidi"/>
          <w:sz w:val="22"/>
          <w:szCs w:val="22"/>
        </w:rPr>
      </w:pPr>
      <w:r w:rsidRPr="00C138CF">
        <w:rPr>
          <w:rFonts w:asciiTheme="minorHAnsi" w:hAnsiTheme="minorHAnsi"/>
          <w:i/>
          <w:sz w:val="22"/>
        </w:rPr>
        <w:t>Group A:</w:t>
      </w:r>
      <w:r w:rsidRPr="00C138CF">
        <w:rPr>
          <w:rFonts w:asciiTheme="minorHAnsi" w:hAnsiTheme="minorHAnsi"/>
          <w:sz w:val="22"/>
        </w:rPr>
        <w:t xml:space="preserve"> control group – receives neither the supply-side health facility nor the demand-side </w:t>
      </w:r>
    </w:p>
    <w:p w14:paraId="02A750E2" w14:textId="77777777" w:rsidR="00C138CF" w:rsidRPr="00C138CF" w:rsidRDefault="00C138CF" w:rsidP="00C138CF">
      <w:pPr>
        <w:ind w:firstLine="720"/>
        <w:jc w:val="both"/>
        <w:rPr>
          <w:rFonts w:asciiTheme="minorHAnsi" w:hAnsiTheme="minorHAnsi"/>
          <w:sz w:val="22"/>
        </w:rPr>
      </w:pPr>
      <w:r w:rsidRPr="00C138CF">
        <w:rPr>
          <w:rFonts w:asciiTheme="minorHAnsi" w:hAnsiTheme="minorHAnsi"/>
          <w:sz w:val="22"/>
        </w:rPr>
        <w:t xml:space="preserve">    community RBF interventions</w:t>
      </w:r>
    </w:p>
    <w:p w14:paraId="67D6AD44" w14:textId="77777777" w:rsidR="00C138CF" w:rsidRPr="00C138CF" w:rsidRDefault="00C138CF" w:rsidP="00C138CF">
      <w:pPr>
        <w:jc w:val="both"/>
        <w:rPr>
          <w:rFonts w:asciiTheme="minorHAnsi" w:hAnsiTheme="minorHAnsi"/>
          <w:sz w:val="22"/>
        </w:rPr>
      </w:pPr>
      <w:r w:rsidRPr="00C138CF">
        <w:rPr>
          <w:rFonts w:asciiTheme="minorHAnsi" w:hAnsiTheme="minorHAnsi"/>
          <w:i/>
          <w:sz w:val="22"/>
        </w:rPr>
        <w:t>Group B:</w:t>
      </w:r>
      <w:r w:rsidRPr="00C138CF">
        <w:rPr>
          <w:rFonts w:asciiTheme="minorHAnsi" w:hAnsiTheme="minorHAnsi"/>
          <w:sz w:val="22"/>
        </w:rPr>
        <w:t xml:space="preserve"> intervention group – receives the demand-side community RBF only</w:t>
      </w:r>
    </w:p>
    <w:p w14:paraId="31C1E844" w14:textId="77777777" w:rsidR="00C138CF" w:rsidRPr="00C138CF" w:rsidRDefault="00C138CF" w:rsidP="00C138CF">
      <w:pPr>
        <w:jc w:val="both"/>
        <w:rPr>
          <w:rFonts w:asciiTheme="minorHAnsi" w:hAnsiTheme="minorHAnsi"/>
          <w:sz w:val="22"/>
        </w:rPr>
      </w:pPr>
      <w:r w:rsidRPr="00C138CF">
        <w:rPr>
          <w:rFonts w:asciiTheme="minorHAnsi" w:hAnsiTheme="minorHAnsi"/>
          <w:i/>
          <w:sz w:val="22"/>
        </w:rPr>
        <w:t>Group C:</w:t>
      </w:r>
      <w:r w:rsidRPr="00C138CF">
        <w:rPr>
          <w:rFonts w:asciiTheme="minorHAnsi" w:hAnsiTheme="minorHAnsi"/>
          <w:sz w:val="22"/>
        </w:rPr>
        <w:t xml:space="preserve"> intervention group – receives the supply-side health facility RBF only</w:t>
      </w:r>
    </w:p>
    <w:p w14:paraId="76F84C05" w14:textId="77777777" w:rsidR="00C138CF" w:rsidRPr="00C138CF" w:rsidRDefault="00C138CF" w:rsidP="00C138CF">
      <w:pPr>
        <w:jc w:val="both"/>
        <w:rPr>
          <w:rFonts w:asciiTheme="minorHAnsi" w:hAnsiTheme="minorHAnsi"/>
          <w:sz w:val="22"/>
        </w:rPr>
      </w:pPr>
      <w:r w:rsidRPr="00C138CF">
        <w:rPr>
          <w:rFonts w:asciiTheme="minorHAnsi" w:hAnsiTheme="minorHAnsi"/>
          <w:i/>
          <w:sz w:val="22"/>
        </w:rPr>
        <w:t>Group D:</w:t>
      </w:r>
      <w:r w:rsidRPr="00C138CF">
        <w:rPr>
          <w:rFonts w:asciiTheme="minorHAnsi" w:hAnsiTheme="minorHAnsi"/>
          <w:sz w:val="22"/>
        </w:rPr>
        <w:t xml:space="preserve"> intervention group – receives both supply-side health facility and demand-side </w:t>
      </w:r>
    </w:p>
    <w:p w14:paraId="2E895B6C" w14:textId="77777777" w:rsidR="00C138CF" w:rsidRPr="00C138CF" w:rsidRDefault="00C138CF" w:rsidP="00C138CF">
      <w:pPr>
        <w:ind w:firstLine="720"/>
        <w:jc w:val="both"/>
        <w:rPr>
          <w:rFonts w:asciiTheme="minorHAnsi" w:hAnsiTheme="minorHAnsi"/>
          <w:sz w:val="22"/>
        </w:rPr>
      </w:pPr>
      <w:r w:rsidRPr="00C138CF">
        <w:rPr>
          <w:rFonts w:asciiTheme="minorHAnsi" w:hAnsiTheme="minorHAnsi"/>
          <w:sz w:val="22"/>
        </w:rPr>
        <w:t xml:space="preserve">     community RBF interventions</w:t>
      </w:r>
    </w:p>
    <w:p w14:paraId="6684FE99" w14:textId="77777777" w:rsidR="00C138CF" w:rsidRPr="00C138CF" w:rsidRDefault="00C138CF" w:rsidP="00C138CF">
      <w:pPr>
        <w:jc w:val="both"/>
        <w:rPr>
          <w:rFonts w:asciiTheme="minorHAnsi" w:hAnsiTheme="minorHAnsi"/>
          <w:sz w:val="22"/>
        </w:rPr>
      </w:pPr>
    </w:p>
    <w:p w14:paraId="17280E8C" w14:textId="77777777" w:rsidR="00C138CF" w:rsidRPr="00C138CF" w:rsidRDefault="00C138CF" w:rsidP="00C138CF">
      <w:pPr>
        <w:jc w:val="both"/>
        <w:rPr>
          <w:rFonts w:asciiTheme="minorHAnsi" w:hAnsiTheme="minorHAnsi"/>
          <w:sz w:val="22"/>
        </w:rPr>
      </w:pPr>
      <w:r w:rsidRPr="00C138CF">
        <w:rPr>
          <w:rFonts w:asciiTheme="minorHAnsi" w:hAnsiTheme="minorHAnsi"/>
          <w:sz w:val="22"/>
        </w:rPr>
        <w:t>In addition to the supply-side interventions, some communities in the target regions will be enrolled in a community-based demand-side component, for which each phase will last 12 months. With an estimated target population of approximately 567,000 people we expect the demand-side RBF intervention to work only with selected communities in each health center catchment area. There are more than 800 communities in the target areas overall; at the beginning of the project, a meeting with community leaders will be held, during which two communities will be selected for the demand-side RBF in each facility catchment area (yielding a total of 48 communities).   The rollout of the community incentive intervention will be spread out over 3 years; in year 1, a total of 48 communities will be targeted (2 per facility) for the impact evaluation; in each of years 2 and 3, an additional 48 communities will be included. During the first year of the intervention, communities will work towards and receive payments against a given set of objectives. Objectives will be monitored (through LQAS) and rewarded on a quarterly basis in the first year.  In the second year, communities will be asked to maintain the achieved targets; if they achieve this objective, a final payment is made at the end of the second year, when communities graduate from the intervention. It is important to note that the monitoring efforts will increase over time: in the first year of the intervention, a total of 48 communities will need to be monitored on a quarterly basis; in the second year, 48 communities will need to be monitored on a quarterly basis, while 48 additional communities (those enrolled in year 1) will need to monitored once at the end of their second year.</w:t>
      </w:r>
    </w:p>
    <w:p w14:paraId="76C2D7F7" w14:textId="77777777" w:rsidR="00C138CF" w:rsidRPr="00C138CF" w:rsidRDefault="00C138CF" w:rsidP="00C138CF">
      <w:pPr>
        <w:jc w:val="both"/>
        <w:rPr>
          <w:rFonts w:asciiTheme="minorHAnsi" w:hAnsiTheme="minorHAnsi"/>
          <w:sz w:val="22"/>
        </w:rPr>
      </w:pPr>
    </w:p>
    <w:p w14:paraId="2BE40708" w14:textId="4F78F664" w:rsidR="00C138CF" w:rsidRPr="00C138CF" w:rsidRDefault="00C138CF" w:rsidP="00C138CF">
      <w:pPr>
        <w:jc w:val="both"/>
        <w:rPr>
          <w:rFonts w:asciiTheme="minorHAnsi" w:eastAsia="Calibri" w:hAnsiTheme="minorHAnsi"/>
          <w:b/>
          <w:sz w:val="22"/>
        </w:rPr>
      </w:pPr>
      <w:r w:rsidRPr="00C138CF">
        <w:rPr>
          <w:rFonts w:asciiTheme="minorHAnsi" w:hAnsiTheme="minorHAnsi"/>
          <w:sz w:val="22"/>
        </w:rPr>
        <w:t xml:space="preserve">To measure the community-level impact of the project, three main surveys will be conducted: a baseline survey </w:t>
      </w:r>
      <w:r w:rsidR="00892009">
        <w:rPr>
          <w:rFonts w:asciiTheme="minorHAnsi" w:hAnsiTheme="minorHAnsi"/>
          <w:sz w:val="22"/>
        </w:rPr>
        <w:t>was</w:t>
      </w:r>
      <w:r w:rsidRPr="00C138CF">
        <w:rPr>
          <w:rFonts w:asciiTheme="minorHAnsi" w:hAnsiTheme="minorHAnsi"/>
          <w:sz w:val="22"/>
        </w:rPr>
        <w:t xml:space="preserve"> conducted at the beginning of the project; a midline survey </w:t>
      </w:r>
      <w:r w:rsidR="00892009">
        <w:rPr>
          <w:rFonts w:asciiTheme="minorHAnsi" w:hAnsiTheme="minorHAnsi"/>
          <w:sz w:val="22"/>
        </w:rPr>
        <w:t xml:space="preserve">will be conducted </w:t>
      </w:r>
      <w:r w:rsidRPr="00C138CF">
        <w:rPr>
          <w:rFonts w:asciiTheme="minorHAnsi" w:hAnsiTheme="minorHAnsi"/>
          <w:sz w:val="22"/>
        </w:rPr>
        <w:t xml:space="preserve">approximately 18 months after project launch, and an endline survey after approximately 36 months of the project. Figure 2 summarizes the time line of the survey monitoring plan.  </w:t>
      </w:r>
      <w:r w:rsidRPr="00C138CF">
        <w:rPr>
          <w:rFonts w:asciiTheme="minorHAnsi" w:eastAsia="Calibri" w:hAnsiTheme="minorHAnsi"/>
          <w:sz w:val="22"/>
        </w:rPr>
        <w:t>We have a mixed-method</w:t>
      </w:r>
      <w:r>
        <w:rPr>
          <w:rFonts w:asciiTheme="minorHAnsi" w:eastAsia="Calibri" w:hAnsiTheme="minorHAnsi"/>
          <w:sz w:val="22"/>
        </w:rPr>
        <w:t>s</w:t>
      </w:r>
      <w:r w:rsidRPr="00C138CF">
        <w:rPr>
          <w:rFonts w:asciiTheme="minorHAnsi" w:eastAsia="Calibri" w:hAnsiTheme="minorHAnsi"/>
          <w:sz w:val="22"/>
        </w:rPr>
        <w:t xml:space="preserve"> </w:t>
      </w:r>
      <w:r w:rsidRPr="00C138CF">
        <w:rPr>
          <w:rFonts w:asciiTheme="minorHAnsi" w:eastAsia="Calibri" w:hAnsiTheme="minorHAnsi"/>
          <w:sz w:val="22"/>
        </w:rPr>
        <w:lastRenderedPageBreak/>
        <w:t xml:space="preserve">explanatory design with an embedded process evaluation to explore pathways of impact according to the conceptual framework outlined above.  </w:t>
      </w:r>
    </w:p>
    <w:p w14:paraId="65EE91C0" w14:textId="77777777" w:rsidR="00C138CF" w:rsidRPr="00C138CF" w:rsidRDefault="00C138CF" w:rsidP="00C138CF">
      <w:pPr>
        <w:jc w:val="both"/>
        <w:rPr>
          <w:rFonts w:asciiTheme="minorHAnsi" w:eastAsia="Calibri" w:hAnsiTheme="minorHAnsi"/>
          <w:b/>
          <w:sz w:val="22"/>
        </w:rPr>
      </w:pPr>
    </w:p>
    <w:p w14:paraId="0C5A5668" w14:textId="77777777" w:rsidR="00C138CF" w:rsidRPr="00C138CF" w:rsidRDefault="00C138CF" w:rsidP="00C138CF">
      <w:pPr>
        <w:rPr>
          <w:rFonts w:asciiTheme="minorHAnsi" w:eastAsia="Calibri" w:hAnsiTheme="minorHAnsi"/>
          <w:b/>
          <w:sz w:val="22"/>
        </w:rPr>
      </w:pPr>
      <w:r w:rsidRPr="00C138CF">
        <w:rPr>
          <w:rFonts w:asciiTheme="minorHAnsi" w:eastAsia="Calibri" w:hAnsiTheme="minorHAnsi"/>
          <w:b/>
          <w:sz w:val="22"/>
        </w:rPr>
        <w:t>Figure 2</w:t>
      </w:r>
      <w:r w:rsidRPr="00C138CF">
        <w:rPr>
          <w:rFonts w:asciiTheme="minorHAnsi" w:eastAsia="Calibri" w:hAnsiTheme="minorHAnsi"/>
          <w:b/>
          <w:sz w:val="22"/>
        </w:rPr>
        <w:tab/>
      </w:r>
      <w:r w:rsidRPr="00C138CF">
        <w:rPr>
          <w:rFonts w:asciiTheme="minorHAnsi" w:hAnsiTheme="minorHAnsi"/>
          <w:b/>
          <w:sz w:val="22"/>
        </w:rPr>
        <w:t>Timeline for household and facility surveys</w:t>
      </w:r>
    </w:p>
    <w:p w14:paraId="00B19D97" w14:textId="77777777" w:rsidR="00C138CF" w:rsidRDefault="00C138CF" w:rsidP="00C138CF">
      <w:pPr>
        <w:jc w:val="both"/>
        <w:rPr>
          <w:rFonts w:eastAsia="Calibri"/>
          <w:b/>
        </w:rPr>
      </w:pPr>
      <w:r>
        <w:rPr>
          <w:rFonts w:eastAsia="Calibri"/>
          <w:b/>
          <w:noProof/>
        </w:rPr>
        <w:drawing>
          <wp:inline distT="0" distB="0" distL="0" distR="0" wp14:anchorId="418F05A3" wp14:editId="26D81D60">
            <wp:extent cx="47339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067050"/>
                    </a:xfrm>
                    <a:prstGeom prst="rect">
                      <a:avLst/>
                    </a:prstGeom>
                    <a:noFill/>
                    <a:ln>
                      <a:noFill/>
                    </a:ln>
                  </pic:spPr>
                </pic:pic>
              </a:graphicData>
            </a:graphic>
          </wp:inline>
        </w:drawing>
      </w:r>
    </w:p>
    <w:p w14:paraId="38F75A1C" w14:textId="77777777" w:rsidR="00EE3846" w:rsidRPr="00C37424" w:rsidRDefault="00EE3846" w:rsidP="00EE3846">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Pr>
          <w:rFonts w:asciiTheme="minorHAnsi" w:hAnsiTheme="minorHAnsi" w:cs="Times New Roman"/>
          <w:color w:val="4F81BD" w:themeColor="accent1"/>
          <w:sz w:val="24"/>
        </w:rPr>
        <w:t>SCOPE OF WORK</w:t>
      </w:r>
    </w:p>
    <w:p w14:paraId="0448BD1E" w14:textId="6FEC681B" w:rsidR="00EE3846" w:rsidRDefault="00EE3846" w:rsidP="00EE3846">
      <w:pPr>
        <w:spacing w:line="276" w:lineRule="auto"/>
        <w:jc w:val="both"/>
        <w:rPr>
          <w:rFonts w:asciiTheme="minorHAnsi" w:hAnsiTheme="minorHAnsi"/>
          <w:sz w:val="22"/>
          <w:szCs w:val="22"/>
        </w:rPr>
      </w:pPr>
      <w:r w:rsidRPr="00BC42F4">
        <w:rPr>
          <w:rFonts w:asciiTheme="minorHAnsi" w:hAnsiTheme="minorHAnsi"/>
          <w:sz w:val="22"/>
          <w:szCs w:val="22"/>
        </w:rPr>
        <w:t xml:space="preserve">The objective of this consultancy is to provide technical assistance and IT services for the deployment of a survey management system that employs Android tablets and ODK technology during the </w:t>
      </w:r>
      <w:r w:rsidRPr="00BC42F4">
        <w:rPr>
          <w:rFonts w:asciiTheme="minorHAnsi" w:hAnsiTheme="minorHAnsi"/>
          <w:sz w:val="22"/>
          <w:szCs w:val="22"/>
          <w:u w:val="single"/>
        </w:rPr>
        <w:t xml:space="preserve">implementation of a </w:t>
      </w:r>
      <w:r w:rsidR="00892009">
        <w:rPr>
          <w:rFonts w:asciiTheme="minorHAnsi" w:hAnsiTheme="minorHAnsi"/>
          <w:sz w:val="22"/>
          <w:szCs w:val="22"/>
          <w:u w:val="single"/>
        </w:rPr>
        <w:t>midline</w:t>
      </w:r>
      <w:r w:rsidR="00892009" w:rsidRPr="00BC42F4">
        <w:rPr>
          <w:rFonts w:asciiTheme="minorHAnsi" w:hAnsiTheme="minorHAnsi"/>
          <w:sz w:val="22"/>
          <w:szCs w:val="22"/>
          <w:u w:val="single"/>
        </w:rPr>
        <w:t xml:space="preserve"> </w:t>
      </w:r>
      <w:r w:rsidRPr="00BC42F4">
        <w:rPr>
          <w:rFonts w:asciiTheme="minorHAnsi" w:hAnsiTheme="minorHAnsi"/>
          <w:sz w:val="22"/>
          <w:szCs w:val="22"/>
          <w:u w:val="single"/>
        </w:rPr>
        <w:t>survey</w:t>
      </w:r>
      <w:r w:rsidRPr="00BC42F4">
        <w:rPr>
          <w:rFonts w:asciiTheme="minorHAnsi" w:hAnsiTheme="minorHAnsi"/>
          <w:sz w:val="22"/>
          <w:szCs w:val="22"/>
        </w:rPr>
        <w:t xml:space="preserve"> that includes household, health facility, and community surveys.    </w:t>
      </w:r>
      <w:r w:rsidRPr="00803FE2">
        <w:rPr>
          <w:rFonts w:asciiTheme="minorHAnsi" w:eastAsia="Calibri" w:hAnsiTheme="minorHAnsi"/>
          <w:color w:val="000000"/>
          <w:sz w:val="22"/>
          <w:szCs w:val="22"/>
        </w:rPr>
        <w:t>The surveys will be conducted in three regions in The Gambia: North Bank West, Upper River and Central River Regions.  In total, there are 24 Major and Minor health facilities in these three regions which will all be surveyed.  In addition, household and community surveys will be administered within the catchment areas of the 24 health facilities.</w:t>
      </w:r>
      <w:r w:rsidRPr="00BC42F4">
        <w:rPr>
          <w:rFonts w:asciiTheme="minorHAnsi" w:eastAsia="Calibri" w:hAnsiTheme="minorHAnsi"/>
          <w:color w:val="000000"/>
          <w:sz w:val="22"/>
          <w:szCs w:val="22"/>
        </w:rPr>
        <w:t xml:space="preserve">   </w:t>
      </w:r>
      <w:r w:rsidRPr="00BC42F4">
        <w:rPr>
          <w:rFonts w:asciiTheme="minorHAnsi" w:hAnsiTheme="minorHAnsi"/>
          <w:sz w:val="22"/>
          <w:szCs w:val="22"/>
        </w:rPr>
        <w:t xml:space="preserve">It is anticipated that data collection for the </w:t>
      </w:r>
      <w:r w:rsidR="00892009">
        <w:rPr>
          <w:rFonts w:asciiTheme="minorHAnsi" w:hAnsiTheme="minorHAnsi"/>
          <w:sz w:val="22"/>
          <w:szCs w:val="22"/>
        </w:rPr>
        <w:t>midline</w:t>
      </w:r>
      <w:r w:rsidR="00892009" w:rsidRPr="00BC42F4">
        <w:rPr>
          <w:rFonts w:asciiTheme="minorHAnsi" w:hAnsiTheme="minorHAnsi"/>
          <w:sz w:val="22"/>
          <w:szCs w:val="22"/>
        </w:rPr>
        <w:t xml:space="preserve"> </w:t>
      </w:r>
      <w:r w:rsidRPr="00BC42F4">
        <w:rPr>
          <w:rFonts w:asciiTheme="minorHAnsi" w:hAnsiTheme="minorHAnsi"/>
          <w:sz w:val="22"/>
          <w:szCs w:val="22"/>
        </w:rPr>
        <w:t xml:space="preserve">study will be implemented between </w:t>
      </w:r>
      <w:r w:rsidR="00892009">
        <w:rPr>
          <w:rFonts w:asciiTheme="minorHAnsi" w:hAnsiTheme="minorHAnsi"/>
          <w:sz w:val="22"/>
          <w:szCs w:val="22"/>
        </w:rPr>
        <w:t>July and August 2016</w:t>
      </w:r>
      <w:r w:rsidRPr="00BC42F4">
        <w:rPr>
          <w:rFonts w:asciiTheme="minorHAnsi" w:hAnsiTheme="minorHAnsi"/>
          <w:sz w:val="22"/>
          <w:szCs w:val="22"/>
        </w:rPr>
        <w:t xml:space="preserve">. The below describes the data that will be collected for the </w:t>
      </w:r>
      <w:r w:rsidR="00892009">
        <w:rPr>
          <w:rFonts w:asciiTheme="minorHAnsi" w:hAnsiTheme="minorHAnsi"/>
          <w:sz w:val="22"/>
          <w:szCs w:val="22"/>
        </w:rPr>
        <w:t>midline</w:t>
      </w:r>
      <w:r w:rsidR="00892009" w:rsidRPr="00BC42F4">
        <w:rPr>
          <w:rFonts w:asciiTheme="minorHAnsi" w:hAnsiTheme="minorHAnsi"/>
          <w:sz w:val="22"/>
          <w:szCs w:val="22"/>
        </w:rPr>
        <w:t xml:space="preserve"> </w:t>
      </w:r>
      <w:r w:rsidRPr="00BC42F4">
        <w:rPr>
          <w:rFonts w:asciiTheme="minorHAnsi" w:hAnsiTheme="minorHAnsi"/>
          <w:sz w:val="22"/>
          <w:szCs w:val="22"/>
        </w:rPr>
        <w:t>survey:</w:t>
      </w:r>
    </w:p>
    <w:p w14:paraId="758BD7C6" w14:textId="77777777" w:rsidR="00BC42F4" w:rsidRPr="00BC42F4" w:rsidRDefault="00BC42F4" w:rsidP="00EE3846">
      <w:pPr>
        <w:spacing w:line="276" w:lineRule="auto"/>
        <w:jc w:val="both"/>
        <w:rPr>
          <w:rFonts w:asciiTheme="minorHAnsi" w:hAnsiTheme="minorHAnsi"/>
          <w:sz w:val="22"/>
          <w:szCs w:val="22"/>
        </w:rPr>
      </w:pPr>
    </w:p>
    <w:tbl>
      <w:tblPr>
        <w:tblStyle w:val="TableGrid"/>
        <w:tblW w:w="9812" w:type="dxa"/>
        <w:jc w:val="center"/>
        <w:tblLook w:val="04A0" w:firstRow="1" w:lastRow="0" w:firstColumn="1" w:lastColumn="0" w:noHBand="0" w:noVBand="1"/>
      </w:tblPr>
      <w:tblGrid>
        <w:gridCol w:w="1282"/>
        <w:gridCol w:w="1352"/>
        <w:gridCol w:w="1165"/>
        <w:gridCol w:w="1482"/>
        <w:gridCol w:w="885"/>
        <w:gridCol w:w="1620"/>
        <w:gridCol w:w="2026"/>
      </w:tblGrid>
      <w:tr w:rsidR="0058024B" w:rsidRPr="0025553E" w14:paraId="253725D0" w14:textId="77777777" w:rsidTr="0058024B">
        <w:trPr>
          <w:tblHeader/>
          <w:jc w:val="center"/>
        </w:trPr>
        <w:tc>
          <w:tcPr>
            <w:tcW w:w="1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1C9C2"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Data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05D0A6"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Who</w:t>
            </w:r>
          </w:p>
        </w:tc>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223A7D"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Level</w:t>
            </w:r>
          </w:p>
        </w:tc>
        <w:tc>
          <w:tcPr>
            <w:tcW w:w="1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2A7A25"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Type</w:t>
            </w:r>
          </w:p>
        </w:tc>
        <w:tc>
          <w:tcPr>
            <w:tcW w:w="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9CA1C6"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Source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F71BF2"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Survey Instrument</w:t>
            </w:r>
          </w:p>
        </w:tc>
        <w:tc>
          <w:tcPr>
            <w:tcW w:w="20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F7E5C9" w14:textId="77777777" w:rsidR="00745320" w:rsidRPr="0025553E" w:rsidRDefault="00745320">
            <w:pPr>
              <w:spacing w:line="260" w:lineRule="atLeast"/>
              <w:jc w:val="both"/>
              <w:rPr>
                <w:rFonts w:asciiTheme="minorHAnsi" w:hAnsiTheme="minorHAnsi"/>
                <w:b/>
                <w:sz w:val="20"/>
                <w:szCs w:val="20"/>
                <w:lang w:val="nl-NL" w:eastAsia="nl-NL"/>
              </w:rPr>
            </w:pPr>
            <w:r w:rsidRPr="0025553E">
              <w:rPr>
                <w:rFonts w:asciiTheme="minorHAnsi" w:hAnsiTheme="minorHAnsi"/>
                <w:b/>
                <w:sz w:val="20"/>
                <w:szCs w:val="20"/>
              </w:rPr>
              <w:t>Description of Data</w:t>
            </w:r>
          </w:p>
        </w:tc>
      </w:tr>
      <w:tr w:rsidR="0058024B" w:rsidRPr="0025553E" w14:paraId="37FF436D"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4FB27594"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 xml:space="preserve">Household survey </w:t>
            </w:r>
          </w:p>
        </w:tc>
        <w:tc>
          <w:tcPr>
            <w:tcW w:w="1352" w:type="dxa"/>
            <w:tcBorders>
              <w:top w:val="single" w:sz="4" w:space="0" w:color="auto"/>
              <w:left w:val="single" w:sz="4" w:space="0" w:color="auto"/>
              <w:bottom w:val="single" w:sz="4" w:space="0" w:color="auto"/>
              <w:right w:val="single" w:sz="4" w:space="0" w:color="auto"/>
            </w:tcBorders>
            <w:vAlign w:val="center"/>
            <w:hideMark/>
          </w:tcPr>
          <w:p w14:paraId="0C558084" w14:textId="5D78E145" w:rsidR="00745320" w:rsidRPr="0025553E" w:rsidRDefault="00892009">
            <w:pPr>
              <w:rPr>
                <w:rFonts w:asciiTheme="minorHAnsi" w:hAnsiTheme="minorHAnsi"/>
                <w:sz w:val="20"/>
                <w:szCs w:val="20"/>
                <w:lang w:eastAsia="nl-NL"/>
              </w:rPr>
            </w:pPr>
            <w:r>
              <w:rPr>
                <w:rFonts w:asciiTheme="minorHAnsi" w:hAnsiTheme="minorHAnsi"/>
                <w:sz w:val="20"/>
                <w:szCs w:val="20"/>
              </w:rPr>
              <w:t>Mother of the youngest</w:t>
            </w:r>
            <w:r w:rsidR="00745320" w:rsidRPr="0025553E">
              <w:rPr>
                <w:rFonts w:asciiTheme="minorHAnsi" w:hAnsiTheme="minorHAnsi"/>
                <w:sz w:val="20"/>
                <w:szCs w:val="20"/>
              </w:rPr>
              <w:t xml:space="preserve"> child </w:t>
            </w:r>
            <w:r>
              <w:rPr>
                <w:rFonts w:asciiTheme="minorHAnsi" w:hAnsiTheme="minorHAnsi"/>
                <w:sz w:val="20"/>
                <w:szCs w:val="20"/>
              </w:rPr>
              <w:t>under</w:t>
            </w:r>
            <w:r w:rsidR="00745320" w:rsidRPr="0025553E">
              <w:rPr>
                <w:rFonts w:asciiTheme="minorHAnsi" w:hAnsiTheme="minorHAnsi"/>
                <w:sz w:val="20"/>
                <w:szCs w:val="20"/>
              </w:rPr>
              <w:t xml:space="preserve"> </w:t>
            </w:r>
            <w:r>
              <w:rPr>
                <w:rFonts w:asciiTheme="minorHAnsi" w:hAnsiTheme="minorHAnsi"/>
                <w:sz w:val="20"/>
                <w:szCs w:val="20"/>
              </w:rPr>
              <w:t>5</w:t>
            </w:r>
            <w:r w:rsidRPr="0025553E">
              <w:rPr>
                <w:rFonts w:asciiTheme="minorHAnsi" w:hAnsiTheme="minorHAnsi"/>
                <w:sz w:val="20"/>
                <w:szCs w:val="20"/>
              </w:rPr>
              <w:t xml:space="preserve"> </w:t>
            </w:r>
            <w:r w:rsidR="00745320" w:rsidRPr="0025553E">
              <w:rPr>
                <w:rFonts w:asciiTheme="minorHAnsi" w:hAnsiTheme="minorHAnsi"/>
                <w:sz w:val="20"/>
                <w:szCs w:val="20"/>
              </w:rPr>
              <w:t xml:space="preserve">years </w:t>
            </w:r>
            <w:r>
              <w:rPr>
                <w:rFonts w:asciiTheme="minorHAnsi" w:hAnsiTheme="minorHAnsi"/>
                <w:sz w:val="20"/>
                <w:szCs w:val="20"/>
              </w:rPr>
              <w:t>in the household</w:t>
            </w:r>
            <w:r w:rsidR="00745320" w:rsidRPr="0025553E">
              <w:rPr>
                <w:rFonts w:asciiTheme="minorHAnsi" w:hAnsiTheme="minorHAnsi"/>
                <w:sz w:val="20"/>
                <w:szCs w:val="20"/>
              </w:rPr>
              <w:t xml:space="preserve"> </w:t>
            </w:r>
          </w:p>
          <w:p w14:paraId="473001F3"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n=2,400</w:t>
            </w:r>
          </w:p>
        </w:tc>
        <w:tc>
          <w:tcPr>
            <w:tcW w:w="1165" w:type="dxa"/>
            <w:tcBorders>
              <w:top w:val="single" w:sz="4" w:space="0" w:color="auto"/>
              <w:left w:val="single" w:sz="4" w:space="0" w:color="auto"/>
              <w:bottom w:val="single" w:sz="4" w:space="0" w:color="auto"/>
              <w:right w:val="single" w:sz="4" w:space="0" w:color="auto"/>
            </w:tcBorders>
            <w:vAlign w:val="center"/>
            <w:hideMark/>
          </w:tcPr>
          <w:p w14:paraId="17C79162"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Household</w:t>
            </w:r>
          </w:p>
        </w:tc>
        <w:tc>
          <w:tcPr>
            <w:tcW w:w="1482" w:type="dxa"/>
            <w:tcBorders>
              <w:top w:val="single" w:sz="4" w:space="0" w:color="auto"/>
              <w:left w:val="single" w:sz="4" w:space="0" w:color="auto"/>
              <w:bottom w:val="single" w:sz="4" w:space="0" w:color="auto"/>
              <w:right w:val="single" w:sz="4" w:space="0" w:color="auto"/>
            </w:tcBorders>
            <w:vAlign w:val="center"/>
            <w:hideMark/>
          </w:tcPr>
          <w:p w14:paraId="5E2128BA"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Quantitative</w:t>
            </w:r>
          </w:p>
        </w:tc>
        <w:tc>
          <w:tcPr>
            <w:tcW w:w="885" w:type="dxa"/>
            <w:tcBorders>
              <w:top w:val="single" w:sz="4" w:space="0" w:color="auto"/>
              <w:left w:val="single" w:sz="4" w:space="0" w:color="auto"/>
              <w:bottom w:val="single" w:sz="4" w:space="0" w:color="auto"/>
              <w:right w:val="single" w:sz="4" w:space="0" w:color="auto"/>
            </w:tcBorders>
            <w:vAlign w:val="center"/>
            <w:hideMark/>
          </w:tcPr>
          <w:p w14:paraId="39245664"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213069B" w14:textId="0166F195" w:rsidR="00745320" w:rsidRPr="0025553E" w:rsidRDefault="00745320" w:rsidP="00892009">
            <w:pPr>
              <w:spacing w:line="260" w:lineRule="atLeast"/>
              <w:rPr>
                <w:rFonts w:asciiTheme="minorHAnsi" w:hAnsiTheme="minorHAnsi"/>
                <w:sz w:val="20"/>
                <w:szCs w:val="20"/>
                <w:lang w:eastAsia="nl-NL"/>
              </w:rPr>
            </w:pPr>
            <w:r w:rsidRPr="0025553E">
              <w:rPr>
                <w:rFonts w:asciiTheme="minorHAnsi" w:hAnsiTheme="minorHAnsi"/>
                <w:sz w:val="20"/>
                <w:szCs w:val="20"/>
              </w:rPr>
              <w:t xml:space="preserve">Adapted Household Survey Instrument </w:t>
            </w:r>
            <w:r w:rsidR="00892009">
              <w:rPr>
                <w:rFonts w:asciiTheme="minorHAnsi" w:hAnsiTheme="minorHAnsi"/>
                <w:sz w:val="20"/>
                <w:szCs w:val="20"/>
              </w:rPr>
              <w:t>from the baseline survey</w:t>
            </w:r>
          </w:p>
        </w:tc>
        <w:tc>
          <w:tcPr>
            <w:tcW w:w="2026" w:type="dxa"/>
            <w:tcBorders>
              <w:top w:val="single" w:sz="4" w:space="0" w:color="auto"/>
              <w:left w:val="single" w:sz="4" w:space="0" w:color="auto"/>
              <w:bottom w:val="single" w:sz="4" w:space="0" w:color="auto"/>
              <w:right w:val="single" w:sz="4" w:space="0" w:color="auto"/>
            </w:tcBorders>
            <w:vAlign w:val="center"/>
            <w:hideMark/>
          </w:tcPr>
          <w:p w14:paraId="6EF13EB3" w14:textId="77777777" w:rsidR="00745320" w:rsidRPr="0025553E" w:rsidRDefault="00745320">
            <w:pPr>
              <w:spacing w:line="260" w:lineRule="atLeast"/>
              <w:rPr>
                <w:rFonts w:asciiTheme="minorHAnsi" w:hAnsiTheme="minorHAnsi"/>
                <w:sz w:val="20"/>
                <w:szCs w:val="20"/>
                <w:lang w:eastAsia="nl-NL"/>
              </w:rPr>
            </w:pPr>
            <w:r w:rsidRPr="0025553E">
              <w:rPr>
                <w:rFonts w:asciiTheme="minorHAnsi" w:hAnsiTheme="minorHAnsi"/>
                <w:sz w:val="20"/>
                <w:szCs w:val="20"/>
              </w:rPr>
              <w:t>Health service use, health care seeking  behaviors and barriers to use for MCH services, health expenditures, perceptions of health service quality</w:t>
            </w:r>
          </w:p>
        </w:tc>
      </w:tr>
      <w:tr w:rsidR="0058024B" w:rsidRPr="0025553E" w14:paraId="44B78024"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56CA83BD"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 xml:space="preserve">Household </w:t>
            </w:r>
            <w:r w:rsidRPr="0025553E">
              <w:rPr>
                <w:rFonts w:asciiTheme="minorHAnsi" w:hAnsiTheme="minorHAnsi"/>
                <w:sz w:val="20"/>
                <w:szCs w:val="20"/>
              </w:rPr>
              <w:lastRenderedPageBreak/>
              <w:t xml:space="preserve">survey </w:t>
            </w:r>
          </w:p>
        </w:tc>
        <w:tc>
          <w:tcPr>
            <w:tcW w:w="1352" w:type="dxa"/>
            <w:tcBorders>
              <w:top w:val="single" w:sz="4" w:space="0" w:color="auto"/>
              <w:left w:val="single" w:sz="4" w:space="0" w:color="auto"/>
              <w:bottom w:val="single" w:sz="4" w:space="0" w:color="auto"/>
              <w:right w:val="single" w:sz="4" w:space="0" w:color="auto"/>
            </w:tcBorders>
            <w:vAlign w:val="center"/>
            <w:hideMark/>
          </w:tcPr>
          <w:p w14:paraId="322CCD04" w14:textId="77777777" w:rsidR="00745320" w:rsidRPr="0025553E" w:rsidRDefault="00745320">
            <w:pPr>
              <w:rPr>
                <w:rFonts w:asciiTheme="minorHAnsi" w:hAnsiTheme="minorHAnsi"/>
                <w:sz w:val="20"/>
                <w:szCs w:val="20"/>
                <w:lang w:eastAsia="nl-NL"/>
              </w:rPr>
            </w:pPr>
            <w:r w:rsidRPr="0025553E">
              <w:rPr>
                <w:rFonts w:asciiTheme="minorHAnsi" w:hAnsiTheme="minorHAnsi"/>
                <w:sz w:val="20"/>
                <w:szCs w:val="20"/>
              </w:rPr>
              <w:lastRenderedPageBreak/>
              <w:t xml:space="preserve">Children </w:t>
            </w:r>
            <w:r w:rsidRPr="0025553E">
              <w:rPr>
                <w:rFonts w:asciiTheme="minorHAnsi" w:hAnsiTheme="minorHAnsi"/>
                <w:sz w:val="20"/>
                <w:szCs w:val="20"/>
              </w:rPr>
              <w:lastRenderedPageBreak/>
              <w:t>under five</w:t>
            </w:r>
          </w:p>
          <w:p w14:paraId="7BC1E6BE"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n=2,400</w:t>
            </w:r>
          </w:p>
        </w:tc>
        <w:tc>
          <w:tcPr>
            <w:tcW w:w="1165" w:type="dxa"/>
            <w:tcBorders>
              <w:top w:val="single" w:sz="4" w:space="0" w:color="auto"/>
              <w:left w:val="single" w:sz="4" w:space="0" w:color="auto"/>
              <w:bottom w:val="single" w:sz="4" w:space="0" w:color="auto"/>
              <w:right w:val="single" w:sz="4" w:space="0" w:color="auto"/>
            </w:tcBorders>
            <w:vAlign w:val="center"/>
            <w:hideMark/>
          </w:tcPr>
          <w:p w14:paraId="58BE147D"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lastRenderedPageBreak/>
              <w:t>Household</w:t>
            </w:r>
          </w:p>
        </w:tc>
        <w:tc>
          <w:tcPr>
            <w:tcW w:w="1482" w:type="dxa"/>
            <w:tcBorders>
              <w:top w:val="single" w:sz="4" w:space="0" w:color="auto"/>
              <w:left w:val="single" w:sz="4" w:space="0" w:color="auto"/>
              <w:bottom w:val="single" w:sz="4" w:space="0" w:color="auto"/>
              <w:right w:val="single" w:sz="4" w:space="0" w:color="auto"/>
            </w:tcBorders>
            <w:vAlign w:val="center"/>
            <w:hideMark/>
          </w:tcPr>
          <w:p w14:paraId="0F24D6DB"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 xml:space="preserve">Anthropometry </w:t>
            </w:r>
          </w:p>
        </w:tc>
        <w:tc>
          <w:tcPr>
            <w:tcW w:w="885" w:type="dxa"/>
            <w:tcBorders>
              <w:top w:val="single" w:sz="4" w:space="0" w:color="auto"/>
              <w:left w:val="single" w:sz="4" w:space="0" w:color="auto"/>
              <w:bottom w:val="single" w:sz="4" w:space="0" w:color="auto"/>
              <w:right w:val="single" w:sz="4" w:space="0" w:color="auto"/>
            </w:tcBorders>
            <w:vAlign w:val="center"/>
            <w:hideMark/>
          </w:tcPr>
          <w:p w14:paraId="13534210"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C1A239F"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Not applicable</w:t>
            </w:r>
          </w:p>
        </w:tc>
        <w:tc>
          <w:tcPr>
            <w:tcW w:w="2026" w:type="dxa"/>
            <w:tcBorders>
              <w:top w:val="single" w:sz="4" w:space="0" w:color="auto"/>
              <w:left w:val="single" w:sz="4" w:space="0" w:color="auto"/>
              <w:bottom w:val="single" w:sz="4" w:space="0" w:color="auto"/>
              <w:right w:val="single" w:sz="4" w:space="0" w:color="auto"/>
            </w:tcBorders>
            <w:vAlign w:val="center"/>
            <w:hideMark/>
          </w:tcPr>
          <w:p w14:paraId="11D5735D" w14:textId="77777777" w:rsidR="00745320" w:rsidRPr="0025553E" w:rsidRDefault="00745320">
            <w:pPr>
              <w:spacing w:line="260" w:lineRule="atLeast"/>
              <w:rPr>
                <w:rFonts w:asciiTheme="minorHAnsi" w:hAnsiTheme="minorHAnsi"/>
                <w:sz w:val="20"/>
                <w:szCs w:val="20"/>
                <w:lang w:eastAsia="nl-NL"/>
              </w:rPr>
            </w:pPr>
            <w:r w:rsidRPr="0025553E">
              <w:rPr>
                <w:rFonts w:asciiTheme="minorHAnsi" w:hAnsiTheme="minorHAnsi"/>
                <w:sz w:val="20"/>
                <w:szCs w:val="20"/>
              </w:rPr>
              <w:t xml:space="preserve">Height and weight </w:t>
            </w:r>
            <w:r w:rsidRPr="0025553E">
              <w:rPr>
                <w:rFonts w:asciiTheme="minorHAnsi" w:hAnsiTheme="minorHAnsi"/>
                <w:sz w:val="20"/>
                <w:szCs w:val="20"/>
              </w:rPr>
              <w:lastRenderedPageBreak/>
              <w:t xml:space="preserve">measurements </w:t>
            </w:r>
          </w:p>
        </w:tc>
      </w:tr>
      <w:tr w:rsidR="00745320" w:rsidRPr="0025553E" w14:paraId="2819A22A"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tcPr>
          <w:p w14:paraId="4EBBB83F" w14:textId="77777777" w:rsidR="00745320" w:rsidRPr="0025553E" w:rsidRDefault="00745320">
            <w:pPr>
              <w:spacing w:line="260" w:lineRule="atLeast"/>
              <w:rPr>
                <w:rFonts w:asciiTheme="minorHAnsi" w:hAnsiTheme="minorHAnsi"/>
                <w:sz w:val="20"/>
                <w:szCs w:val="20"/>
              </w:rPr>
            </w:pPr>
            <w:r w:rsidRPr="0025553E">
              <w:rPr>
                <w:rFonts w:asciiTheme="minorHAnsi" w:hAnsiTheme="minorHAnsi"/>
                <w:sz w:val="20"/>
                <w:szCs w:val="20"/>
              </w:rPr>
              <w:lastRenderedPageBreak/>
              <w:t>Community survey</w:t>
            </w:r>
          </w:p>
        </w:tc>
        <w:tc>
          <w:tcPr>
            <w:tcW w:w="1352" w:type="dxa"/>
            <w:tcBorders>
              <w:top w:val="single" w:sz="4" w:space="0" w:color="auto"/>
              <w:left w:val="single" w:sz="4" w:space="0" w:color="auto"/>
              <w:bottom w:val="single" w:sz="4" w:space="0" w:color="auto"/>
              <w:right w:val="single" w:sz="4" w:space="0" w:color="auto"/>
            </w:tcBorders>
            <w:vAlign w:val="center"/>
          </w:tcPr>
          <w:p w14:paraId="12983A8E" w14:textId="77777777" w:rsidR="00745320" w:rsidRPr="0025553E" w:rsidRDefault="00745320">
            <w:pPr>
              <w:rPr>
                <w:rFonts w:asciiTheme="minorHAnsi" w:hAnsiTheme="minorHAnsi"/>
                <w:sz w:val="20"/>
                <w:szCs w:val="20"/>
              </w:rPr>
            </w:pPr>
            <w:r w:rsidRPr="0025553E">
              <w:rPr>
                <w:rFonts w:asciiTheme="minorHAnsi" w:hAnsiTheme="minorHAnsi"/>
                <w:sz w:val="20"/>
                <w:szCs w:val="20"/>
              </w:rPr>
              <w:t>VDC and VSG members</w:t>
            </w:r>
          </w:p>
          <w:p w14:paraId="750B221D" w14:textId="77777777" w:rsidR="0025553E" w:rsidRPr="0025553E" w:rsidRDefault="0025553E">
            <w:pPr>
              <w:rPr>
                <w:rFonts w:asciiTheme="minorHAnsi" w:hAnsiTheme="minorHAnsi"/>
                <w:sz w:val="20"/>
                <w:szCs w:val="20"/>
              </w:rPr>
            </w:pPr>
          </w:p>
          <w:p w14:paraId="4728AC25" w14:textId="77777777" w:rsidR="0025553E" w:rsidRPr="0025553E" w:rsidRDefault="0025553E">
            <w:pPr>
              <w:rPr>
                <w:rFonts w:asciiTheme="minorHAnsi" w:hAnsiTheme="minorHAnsi"/>
                <w:sz w:val="20"/>
                <w:szCs w:val="20"/>
              </w:rPr>
            </w:pPr>
            <w:r w:rsidRPr="0025553E">
              <w:rPr>
                <w:rFonts w:asciiTheme="minorHAnsi" w:hAnsiTheme="minorHAnsi"/>
                <w:sz w:val="20"/>
                <w:szCs w:val="20"/>
              </w:rPr>
              <w:t>n=120</w:t>
            </w:r>
          </w:p>
        </w:tc>
        <w:tc>
          <w:tcPr>
            <w:tcW w:w="1165" w:type="dxa"/>
            <w:tcBorders>
              <w:top w:val="single" w:sz="4" w:space="0" w:color="auto"/>
              <w:left w:val="single" w:sz="4" w:space="0" w:color="auto"/>
              <w:bottom w:val="single" w:sz="4" w:space="0" w:color="auto"/>
              <w:right w:val="single" w:sz="4" w:space="0" w:color="auto"/>
            </w:tcBorders>
            <w:vAlign w:val="center"/>
          </w:tcPr>
          <w:p w14:paraId="7E60D9C9" w14:textId="77777777" w:rsidR="00745320" w:rsidRPr="0025553E" w:rsidRDefault="00745320">
            <w:pPr>
              <w:spacing w:line="260" w:lineRule="atLeast"/>
              <w:rPr>
                <w:rFonts w:asciiTheme="minorHAnsi" w:hAnsiTheme="minorHAnsi"/>
                <w:sz w:val="20"/>
                <w:szCs w:val="20"/>
              </w:rPr>
            </w:pPr>
            <w:r w:rsidRPr="0025553E">
              <w:rPr>
                <w:rFonts w:asciiTheme="minorHAnsi" w:hAnsiTheme="minorHAnsi"/>
                <w:sz w:val="20"/>
                <w:szCs w:val="20"/>
              </w:rPr>
              <w:t>Community</w:t>
            </w:r>
          </w:p>
        </w:tc>
        <w:tc>
          <w:tcPr>
            <w:tcW w:w="1482" w:type="dxa"/>
            <w:tcBorders>
              <w:top w:val="single" w:sz="4" w:space="0" w:color="auto"/>
              <w:left w:val="single" w:sz="4" w:space="0" w:color="auto"/>
              <w:bottom w:val="single" w:sz="4" w:space="0" w:color="auto"/>
              <w:right w:val="single" w:sz="4" w:space="0" w:color="auto"/>
            </w:tcBorders>
            <w:vAlign w:val="center"/>
          </w:tcPr>
          <w:p w14:paraId="648FE5C2" w14:textId="77777777" w:rsidR="00745320" w:rsidRPr="0025553E" w:rsidRDefault="00745320">
            <w:pPr>
              <w:spacing w:line="260" w:lineRule="atLeast"/>
              <w:rPr>
                <w:rFonts w:asciiTheme="minorHAnsi" w:hAnsiTheme="minorHAnsi"/>
                <w:sz w:val="20"/>
                <w:szCs w:val="20"/>
              </w:rPr>
            </w:pPr>
            <w:r w:rsidRPr="0025553E">
              <w:rPr>
                <w:rFonts w:asciiTheme="minorHAnsi" w:hAnsiTheme="minorHAnsi"/>
                <w:sz w:val="20"/>
                <w:szCs w:val="20"/>
              </w:rPr>
              <w:t>Quantitative</w:t>
            </w:r>
          </w:p>
        </w:tc>
        <w:tc>
          <w:tcPr>
            <w:tcW w:w="885" w:type="dxa"/>
            <w:tcBorders>
              <w:top w:val="single" w:sz="4" w:space="0" w:color="auto"/>
              <w:left w:val="single" w:sz="4" w:space="0" w:color="auto"/>
              <w:bottom w:val="single" w:sz="4" w:space="0" w:color="auto"/>
              <w:right w:val="single" w:sz="4" w:space="0" w:color="auto"/>
            </w:tcBorders>
            <w:vAlign w:val="center"/>
          </w:tcPr>
          <w:p w14:paraId="7F6E397C" w14:textId="77777777" w:rsidR="00745320" w:rsidRPr="0025553E" w:rsidRDefault="00745320">
            <w:pPr>
              <w:spacing w:line="260" w:lineRule="atLeast"/>
              <w:rPr>
                <w:rFonts w:asciiTheme="minorHAnsi" w:hAnsiTheme="minorHAnsi"/>
                <w:sz w:val="20"/>
                <w:szCs w:val="20"/>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tcPr>
          <w:p w14:paraId="42A04D79" w14:textId="0B92B97C" w:rsidR="00745320" w:rsidRPr="0025553E" w:rsidRDefault="00745320">
            <w:pPr>
              <w:spacing w:line="260" w:lineRule="atLeast"/>
              <w:rPr>
                <w:rFonts w:asciiTheme="minorHAnsi" w:hAnsiTheme="minorHAnsi"/>
                <w:sz w:val="20"/>
                <w:szCs w:val="20"/>
              </w:rPr>
            </w:pPr>
            <w:r w:rsidRPr="0025553E">
              <w:rPr>
                <w:rFonts w:asciiTheme="minorHAnsi" w:hAnsiTheme="minorHAnsi"/>
                <w:sz w:val="20"/>
                <w:szCs w:val="20"/>
              </w:rPr>
              <w:t>Community questionnaire</w:t>
            </w:r>
            <w:r w:rsidR="00892009">
              <w:rPr>
                <w:rFonts w:asciiTheme="minorHAnsi" w:hAnsiTheme="minorHAnsi"/>
                <w:sz w:val="20"/>
                <w:szCs w:val="20"/>
              </w:rPr>
              <w:t xml:space="preserve"> (adapted from baseline survey)</w:t>
            </w:r>
          </w:p>
        </w:tc>
        <w:tc>
          <w:tcPr>
            <w:tcW w:w="2026" w:type="dxa"/>
            <w:tcBorders>
              <w:top w:val="single" w:sz="4" w:space="0" w:color="auto"/>
              <w:left w:val="single" w:sz="4" w:space="0" w:color="auto"/>
              <w:bottom w:val="single" w:sz="4" w:space="0" w:color="auto"/>
              <w:right w:val="single" w:sz="4" w:space="0" w:color="auto"/>
            </w:tcBorders>
            <w:vAlign w:val="center"/>
          </w:tcPr>
          <w:p w14:paraId="1AC8E583" w14:textId="77777777" w:rsidR="00745320" w:rsidRPr="0025553E" w:rsidRDefault="00745320" w:rsidP="0025553E">
            <w:pPr>
              <w:spacing w:after="200" w:line="276" w:lineRule="auto"/>
              <w:rPr>
                <w:rFonts w:asciiTheme="minorHAnsi" w:hAnsiTheme="minorHAnsi"/>
                <w:sz w:val="20"/>
                <w:szCs w:val="20"/>
              </w:rPr>
            </w:pPr>
            <w:r w:rsidRPr="0025553E">
              <w:rPr>
                <w:rFonts w:asciiTheme="minorHAnsi" w:hAnsiTheme="minorHAnsi"/>
                <w:sz w:val="20"/>
                <w:szCs w:val="20"/>
              </w:rPr>
              <w:t xml:space="preserve">Knowledge, perceptions, traditional beliefs, frequency and mode of activities, </w:t>
            </w:r>
            <w:r w:rsidR="0025553E" w:rsidRPr="0025553E">
              <w:rPr>
                <w:rFonts w:asciiTheme="minorHAnsi" w:hAnsiTheme="minorHAnsi"/>
                <w:sz w:val="20"/>
                <w:szCs w:val="20"/>
              </w:rPr>
              <w:t>c</w:t>
            </w:r>
            <w:r w:rsidRPr="0025553E">
              <w:rPr>
                <w:rFonts w:asciiTheme="minorHAnsi" w:hAnsiTheme="minorHAnsi"/>
                <w:sz w:val="20"/>
                <w:szCs w:val="20"/>
              </w:rPr>
              <w:t>ommunity ownership</w:t>
            </w:r>
          </w:p>
        </w:tc>
      </w:tr>
      <w:tr w:rsidR="0058024B" w:rsidRPr="0025553E" w14:paraId="36ACCC1D"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7A6EFB59"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Facility assessment</w:t>
            </w:r>
          </w:p>
        </w:tc>
        <w:tc>
          <w:tcPr>
            <w:tcW w:w="1352" w:type="dxa"/>
            <w:tcBorders>
              <w:top w:val="single" w:sz="4" w:space="0" w:color="auto"/>
              <w:left w:val="single" w:sz="4" w:space="0" w:color="auto"/>
              <w:bottom w:val="single" w:sz="4" w:space="0" w:color="auto"/>
              <w:right w:val="single" w:sz="4" w:space="0" w:color="auto"/>
            </w:tcBorders>
            <w:vAlign w:val="center"/>
          </w:tcPr>
          <w:p w14:paraId="0EAD7A39" w14:textId="77777777" w:rsidR="00745320" w:rsidRPr="0025553E" w:rsidRDefault="00745320">
            <w:pPr>
              <w:rPr>
                <w:rFonts w:asciiTheme="minorHAnsi" w:hAnsiTheme="minorHAnsi"/>
                <w:sz w:val="20"/>
                <w:szCs w:val="20"/>
                <w:lang w:val="nl-NL" w:eastAsia="nl-NL"/>
              </w:rPr>
            </w:pPr>
            <w:r w:rsidRPr="0025553E">
              <w:rPr>
                <w:rFonts w:asciiTheme="minorHAnsi" w:hAnsiTheme="minorHAnsi"/>
                <w:sz w:val="20"/>
                <w:szCs w:val="20"/>
              </w:rPr>
              <w:t>Facility in-charge</w:t>
            </w:r>
          </w:p>
          <w:p w14:paraId="30369DF9" w14:textId="77777777" w:rsidR="00745320" w:rsidRPr="0025553E" w:rsidRDefault="00745320">
            <w:pPr>
              <w:rPr>
                <w:rFonts w:asciiTheme="minorHAnsi" w:hAnsiTheme="minorHAnsi"/>
                <w:sz w:val="20"/>
                <w:szCs w:val="20"/>
              </w:rPr>
            </w:pPr>
          </w:p>
          <w:p w14:paraId="3A5714F3"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n=24</w:t>
            </w:r>
          </w:p>
        </w:tc>
        <w:tc>
          <w:tcPr>
            <w:tcW w:w="1165" w:type="dxa"/>
            <w:tcBorders>
              <w:top w:val="single" w:sz="4" w:space="0" w:color="auto"/>
              <w:left w:val="single" w:sz="4" w:space="0" w:color="auto"/>
              <w:bottom w:val="single" w:sz="4" w:space="0" w:color="auto"/>
              <w:right w:val="single" w:sz="4" w:space="0" w:color="auto"/>
            </w:tcBorders>
            <w:vAlign w:val="center"/>
            <w:hideMark/>
          </w:tcPr>
          <w:p w14:paraId="39CB90A9"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Facility</w:t>
            </w:r>
          </w:p>
        </w:tc>
        <w:tc>
          <w:tcPr>
            <w:tcW w:w="1482" w:type="dxa"/>
            <w:tcBorders>
              <w:top w:val="single" w:sz="4" w:space="0" w:color="auto"/>
              <w:left w:val="single" w:sz="4" w:space="0" w:color="auto"/>
              <w:bottom w:val="single" w:sz="4" w:space="0" w:color="auto"/>
              <w:right w:val="single" w:sz="4" w:space="0" w:color="auto"/>
            </w:tcBorders>
            <w:vAlign w:val="center"/>
            <w:hideMark/>
          </w:tcPr>
          <w:p w14:paraId="517969D4"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Quantitative</w:t>
            </w:r>
          </w:p>
        </w:tc>
        <w:tc>
          <w:tcPr>
            <w:tcW w:w="885" w:type="dxa"/>
            <w:tcBorders>
              <w:top w:val="single" w:sz="4" w:space="0" w:color="auto"/>
              <w:left w:val="single" w:sz="4" w:space="0" w:color="auto"/>
              <w:bottom w:val="single" w:sz="4" w:space="0" w:color="auto"/>
              <w:right w:val="single" w:sz="4" w:space="0" w:color="auto"/>
            </w:tcBorders>
            <w:vAlign w:val="center"/>
            <w:hideMark/>
          </w:tcPr>
          <w:p w14:paraId="39DDB9F7"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A340B4E" w14:textId="654E889D" w:rsidR="00745320" w:rsidRPr="0025553E" w:rsidRDefault="00745320" w:rsidP="00892009">
            <w:pPr>
              <w:spacing w:line="260" w:lineRule="atLeast"/>
              <w:rPr>
                <w:rFonts w:asciiTheme="minorHAnsi" w:hAnsiTheme="minorHAnsi"/>
                <w:sz w:val="20"/>
                <w:szCs w:val="20"/>
                <w:lang w:eastAsia="nl-NL"/>
              </w:rPr>
            </w:pPr>
            <w:r w:rsidRPr="0025553E">
              <w:rPr>
                <w:rFonts w:asciiTheme="minorHAnsi" w:hAnsiTheme="minorHAnsi"/>
                <w:sz w:val="20"/>
                <w:szCs w:val="20"/>
              </w:rPr>
              <w:t>Adapted health facility questionnaire</w:t>
            </w:r>
            <w:r w:rsidR="00892009">
              <w:rPr>
                <w:rFonts w:asciiTheme="minorHAnsi" w:hAnsiTheme="minorHAnsi"/>
                <w:sz w:val="20"/>
                <w:szCs w:val="20"/>
              </w:rPr>
              <w:t xml:space="preserve"> from baseline survey</w:t>
            </w:r>
          </w:p>
        </w:tc>
        <w:tc>
          <w:tcPr>
            <w:tcW w:w="2026" w:type="dxa"/>
            <w:tcBorders>
              <w:top w:val="single" w:sz="4" w:space="0" w:color="auto"/>
              <w:left w:val="single" w:sz="4" w:space="0" w:color="auto"/>
              <w:bottom w:val="single" w:sz="4" w:space="0" w:color="auto"/>
              <w:right w:val="single" w:sz="4" w:space="0" w:color="auto"/>
            </w:tcBorders>
            <w:vAlign w:val="center"/>
            <w:hideMark/>
          </w:tcPr>
          <w:p w14:paraId="09A26942" w14:textId="77777777" w:rsidR="00745320" w:rsidRPr="0025553E" w:rsidRDefault="00745320">
            <w:pPr>
              <w:spacing w:line="260" w:lineRule="atLeast"/>
              <w:rPr>
                <w:rFonts w:asciiTheme="minorHAnsi" w:hAnsiTheme="minorHAnsi"/>
                <w:sz w:val="20"/>
                <w:szCs w:val="20"/>
                <w:lang w:eastAsia="nl-NL"/>
              </w:rPr>
            </w:pPr>
            <w:r w:rsidRPr="0025553E">
              <w:rPr>
                <w:rFonts w:asciiTheme="minorHAnsi" w:hAnsiTheme="minorHAnsi"/>
                <w:sz w:val="20"/>
                <w:szCs w:val="20"/>
              </w:rPr>
              <w:t>Facility staffing, infrastructure, drugs supply, equipment, supervision, HMIS reporting and management, user charges, facility revenue</w:t>
            </w:r>
          </w:p>
        </w:tc>
      </w:tr>
      <w:tr w:rsidR="0058024B" w:rsidRPr="0025553E" w14:paraId="18C2FD1B"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1E1F44C9"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Health worker interviews</w:t>
            </w:r>
          </w:p>
        </w:tc>
        <w:tc>
          <w:tcPr>
            <w:tcW w:w="1352" w:type="dxa"/>
            <w:tcBorders>
              <w:top w:val="single" w:sz="4" w:space="0" w:color="auto"/>
              <w:left w:val="single" w:sz="4" w:space="0" w:color="auto"/>
              <w:bottom w:val="single" w:sz="4" w:space="0" w:color="auto"/>
              <w:right w:val="single" w:sz="4" w:space="0" w:color="auto"/>
            </w:tcBorders>
            <w:vAlign w:val="center"/>
          </w:tcPr>
          <w:p w14:paraId="309E9B1A" w14:textId="77777777" w:rsidR="00745320" w:rsidRPr="0025553E" w:rsidRDefault="00745320">
            <w:pPr>
              <w:rPr>
                <w:rFonts w:asciiTheme="minorHAnsi" w:hAnsiTheme="minorHAnsi"/>
                <w:sz w:val="20"/>
                <w:szCs w:val="20"/>
                <w:lang w:val="nl-NL" w:eastAsia="nl-NL"/>
              </w:rPr>
            </w:pPr>
            <w:r w:rsidRPr="0025553E">
              <w:rPr>
                <w:rFonts w:asciiTheme="minorHAnsi" w:hAnsiTheme="minorHAnsi"/>
                <w:sz w:val="20"/>
                <w:szCs w:val="20"/>
              </w:rPr>
              <w:t>Health care workers</w:t>
            </w:r>
          </w:p>
          <w:p w14:paraId="4FB1043E" w14:textId="77777777" w:rsidR="00745320" w:rsidRPr="0025553E" w:rsidRDefault="00745320">
            <w:pPr>
              <w:rPr>
                <w:rFonts w:asciiTheme="minorHAnsi" w:hAnsiTheme="minorHAnsi"/>
                <w:sz w:val="20"/>
                <w:szCs w:val="20"/>
              </w:rPr>
            </w:pPr>
          </w:p>
          <w:p w14:paraId="54FCA985"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n=96</w:t>
            </w:r>
          </w:p>
        </w:tc>
        <w:tc>
          <w:tcPr>
            <w:tcW w:w="1165" w:type="dxa"/>
            <w:tcBorders>
              <w:top w:val="single" w:sz="4" w:space="0" w:color="auto"/>
              <w:left w:val="single" w:sz="4" w:space="0" w:color="auto"/>
              <w:bottom w:val="single" w:sz="4" w:space="0" w:color="auto"/>
              <w:right w:val="single" w:sz="4" w:space="0" w:color="auto"/>
            </w:tcBorders>
            <w:vAlign w:val="center"/>
            <w:hideMark/>
          </w:tcPr>
          <w:p w14:paraId="7C003BD7"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Facility</w:t>
            </w:r>
          </w:p>
        </w:tc>
        <w:tc>
          <w:tcPr>
            <w:tcW w:w="1482" w:type="dxa"/>
            <w:tcBorders>
              <w:top w:val="single" w:sz="4" w:space="0" w:color="auto"/>
              <w:left w:val="single" w:sz="4" w:space="0" w:color="auto"/>
              <w:bottom w:val="single" w:sz="4" w:space="0" w:color="auto"/>
              <w:right w:val="single" w:sz="4" w:space="0" w:color="auto"/>
            </w:tcBorders>
            <w:vAlign w:val="center"/>
            <w:hideMark/>
          </w:tcPr>
          <w:p w14:paraId="30048FDB"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Quantitative</w:t>
            </w:r>
          </w:p>
        </w:tc>
        <w:tc>
          <w:tcPr>
            <w:tcW w:w="885" w:type="dxa"/>
            <w:tcBorders>
              <w:top w:val="single" w:sz="4" w:space="0" w:color="auto"/>
              <w:left w:val="single" w:sz="4" w:space="0" w:color="auto"/>
              <w:bottom w:val="single" w:sz="4" w:space="0" w:color="auto"/>
              <w:right w:val="single" w:sz="4" w:space="0" w:color="auto"/>
            </w:tcBorders>
            <w:vAlign w:val="center"/>
            <w:hideMark/>
          </w:tcPr>
          <w:p w14:paraId="3A0F9C00"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3E084DE" w14:textId="5EE08688" w:rsidR="00745320" w:rsidRPr="0025553E" w:rsidRDefault="00745320" w:rsidP="00892009">
            <w:pPr>
              <w:spacing w:line="260" w:lineRule="atLeast"/>
              <w:rPr>
                <w:rFonts w:asciiTheme="minorHAnsi" w:hAnsiTheme="minorHAnsi"/>
                <w:sz w:val="20"/>
                <w:szCs w:val="20"/>
                <w:lang w:eastAsia="nl-NL"/>
              </w:rPr>
            </w:pPr>
            <w:r w:rsidRPr="0025553E">
              <w:rPr>
                <w:rFonts w:asciiTheme="minorHAnsi" w:hAnsiTheme="minorHAnsi"/>
                <w:sz w:val="20"/>
                <w:szCs w:val="20"/>
              </w:rPr>
              <w:t xml:space="preserve">Adapted Health </w:t>
            </w:r>
            <w:r w:rsidR="00892009">
              <w:rPr>
                <w:rFonts w:asciiTheme="minorHAnsi" w:hAnsiTheme="minorHAnsi"/>
                <w:sz w:val="20"/>
                <w:szCs w:val="20"/>
              </w:rPr>
              <w:t>worker</w:t>
            </w:r>
            <w:r w:rsidR="00892009" w:rsidRPr="0025553E">
              <w:rPr>
                <w:rFonts w:asciiTheme="minorHAnsi" w:hAnsiTheme="minorHAnsi"/>
                <w:sz w:val="20"/>
                <w:szCs w:val="20"/>
              </w:rPr>
              <w:t xml:space="preserve"> </w:t>
            </w:r>
            <w:r w:rsidRPr="0025553E">
              <w:rPr>
                <w:rFonts w:asciiTheme="minorHAnsi" w:hAnsiTheme="minorHAnsi"/>
                <w:sz w:val="20"/>
                <w:szCs w:val="20"/>
              </w:rPr>
              <w:t>Questionnaire</w:t>
            </w:r>
            <w:r w:rsidR="00892009">
              <w:rPr>
                <w:rFonts w:asciiTheme="minorHAnsi" w:hAnsiTheme="minorHAnsi"/>
                <w:sz w:val="20"/>
                <w:szCs w:val="20"/>
              </w:rPr>
              <w:t xml:space="preserve"> from baseline survey</w:t>
            </w:r>
          </w:p>
        </w:tc>
        <w:tc>
          <w:tcPr>
            <w:tcW w:w="2026" w:type="dxa"/>
            <w:tcBorders>
              <w:top w:val="single" w:sz="4" w:space="0" w:color="auto"/>
              <w:left w:val="single" w:sz="4" w:space="0" w:color="auto"/>
              <w:bottom w:val="single" w:sz="4" w:space="0" w:color="auto"/>
              <w:right w:val="single" w:sz="4" w:space="0" w:color="auto"/>
            </w:tcBorders>
            <w:vAlign w:val="center"/>
            <w:hideMark/>
          </w:tcPr>
          <w:p w14:paraId="5755FC75" w14:textId="77777777" w:rsidR="00745320" w:rsidRPr="0025553E" w:rsidRDefault="00745320">
            <w:pPr>
              <w:spacing w:line="260" w:lineRule="atLeast"/>
              <w:rPr>
                <w:rFonts w:asciiTheme="minorHAnsi" w:hAnsiTheme="minorHAnsi"/>
                <w:sz w:val="20"/>
                <w:szCs w:val="20"/>
                <w:lang w:eastAsia="nl-NL"/>
              </w:rPr>
            </w:pPr>
            <w:r w:rsidRPr="0025553E">
              <w:rPr>
                <w:rFonts w:asciiTheme="minorHAnsi" w:hAnsiTheme="minorHAnsi"/>
                <w:sz w:val="20"/>
                <w:szCs w:val="20"/>
              </w:rPr>
              <w:t>Staff work load, compensation, motivation, satisfaction and knowledge</w:t>
            </w:r>
          </w:p>
        </w:tc>
      </w:tr>
      <w:tr w:rsidR="0058024B" w:rsidRPr="0025553E" w14:paraId="2A30B38C" w14:textId="77777777" w:rsidTr="0058024B">
        <w:trPr>
          <w:jc w:val="center"/>
        </w:trPr>
        <w:tc>
          <w:tcPr>
            <w:tcW w:w="1282" w:type="dxa"/>
            <w:tcBorders>
              <w:top w:val="single" w:sz="4" w:space="0" w:color="auto"/>
              <w:left w:val="single" w:sz="4" w:space="0" w:color="auto"/>
              <w:bottom w:val="single" w:sz="4" w:space="0" w:color="auto"/>
              <w:right w:val="single" w:sz="4" w:space="0" w:color="auto"/>
            </w:tcBorders>
            <w:vAlign w:val="center"/>
            <w:hideMark/>
          </w:tcPr>
          <w:p w14:paraId="0B74BE2B"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 xml:space="preserve">Patient exit interviews </w:t>
            </w:r>
          </w:p>
        </w:tc>
        <w:tc>
          <w:tcPr>
            <w:tcW w:w="1352" w:type="dxa"/>
            <w:tcBorders>
              <w:top w:val="single" w:sz="4" w:space="0" w:color="auto"/>
              <w:left w:val="single" w:sz="4" w:space="0" w:color="auto"/>
              <w:bottom w:val="single" w:sz="4" w:space="0" w:color="auto"/>
              <w:right w:val="single" w:sz="4" w:space="0" w:color="auto"/>
            </w:tcBorders>
            <w:vAlign w:val="center"/>
          </w:tcPr>
          <w:p w14:paraId="18B0246E" w14:textId="77777777" w:rsidR="00745320" w:rsidRPr="0025553E" w:rsidRDefault="00745320" w:rsidP="00745320">
            <w:pPr>
              <w:rPr>
                <w:rFonts w:asciiTheme="minorHAnsi" w:hAnsiTheme="minorHAnsi"/>
                <w:sz w:val="20"/>
                <w:szCs w:val="20"/>
              </w:rPr>
            </w:pPr>
            <w:r w:rsidRPr="0025553E">
              <w:rPr>
                <w:rFonts w:asciiTheme="minorHAnsi" w:hAnsiTheme="minorHAnsi"/>
                <w:sz w:val="20"/>
                <w:szCs w:val="20"/>
              </w:rPr>
              <w:t xml:space="preserve">Reproductive, maternal and child health and nutrition patients </w:t>
            </w:r>
          </w:p>
          <w:p w14:paraId="38725B44" w14:textId="77777777" w:rsidR="00745320" w:rsidRPr="0025553E" w:rsidRDefault="00745320" w:rsidP="00745320">
            <w:pPr>
              <w:rPr>
                <w:rFonts w:asciiTheme="minorHAnsi" w:hAnsiTheme="minorHAnsi"/>
                <w:sz w:val="20"/>
                <w:szCs w:val="20"/>
              </w:rPr>
            </w:pPr>
          </w:p>
          <w:p w14:paraId="1624083D" w14:textId="77777777" w:rsidR="00745320" w:rsidRPr="0025553E" w:rsidRDefault="00745320" w:rsidP="00745320">
            <w:pPr>
              <w:rPr>
                <w:rFonts w:asciiTheme="minorHAnsi" w:hAnsiTheme="minorHAnsi"/>
                <w:sz w:val="20"/>
                <w:szCs w:val="20"/>
              </w:rPr>
            </w:pPr>
            <w:r w:rsidRPr="0025553E">
              <w:rPr>
                <w:rFonts w:asciiTheme="minorHAnsi" w:hAnsiTheme="minorHAnsi"/>
                <w:sz w:val="20"/>
                <w:szCs w:val="20"/>
              </w:rPr>
              <w:t>n=192-288</w:t>
            </w:r>
          </w:p>
        </w:tc>
        <w:tc>
          <w:tcPr>
            <w:tcW w:w="1165" w:type="dxa"/>
            <w:tcBorders>
              <w:top w:val="single" w:sz="4" w:space="0" w:color="auto"/>
              <w:left w:val="single" w:sz="4" w:space="0" w:color="auto"/>
              <w:bottom w:val="single" w:sz="4" w:space="0" w:color="auto"/>
              <w:right w:val="single" w:sz="4" w:space="0" w:color="auto"/>
            </w:tcBorders>
            <w:vAlign w:val="center"/>
            <w:hideMark/>
          </w:tcPr>
          <w:p w14:paraId="7F5CB90A"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Facility</w:t>
            </w:r>
          </w:p>
        </w:tc>
        <w:tc>
          <w:tcPr>
            <w:tcW w:w="1482" w:type="dxa"/>
            <w:tcBorders>
              <w:top w:val="single" w:sz="4" w:space="0" w:color="auto"/>
              <w:left w:val="single" w:sz="4" w:space="0" w:color="auto"/>
              <w:bottom w:val="single" w:sz="4" w:space="0" w:color="auto"/>
              <w:right w:val="single" w:sz="4" w:space="0" w:color="auto"/>
            </w:tcBorders>
            <w:vAlign w:val="center"/>
            <w:hideMark/>
          </w:tcPr>
          <w:p w14:paraId="2333AD45"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Quantitative</w:t>
            </w:r>
          </w:p>
        </w:tc>
        <w:tc>
          <w:tcPr>
            <w:tcW w:w="885" w:type="dxa"/>
            <w:tcBorders>
              <w:top w:val="single" w:sz="4" w:space="0" w:color="auto"/>
              <w:left w:val="single" w:sz="4" w:space="0" w:color="auto"/>
              <w:bottom w:val="single" w:sz="4" w:space="0" w:color="auto"/>
              <w:right w:val="single" w:sz="4" w:space="0" w:color="auto"/>
            </w:tcBorders>
            <w:vAlign w:val="center"/>
            <w:hideMark/>
          </w:tcPr>
          <w:p w14:paraId="108AF4A1" w14:textId="77777777" w:rsidR="00745320" w:rsidRPr="0025553E" w:rsidRDefault="00745320">
            <w:pPr>
              <w:spacing w:line="260" w:lineRule="atLeast"/>
              <w:rPr>
                <w:rFonts w:asciiTheme="minorHAnsi" w:hAnsiTheme="minorHAnsi"/>
                <w:sz w:val="20"/>
                <w:szCs w:val="20"/>
                <w:lang w:val="nl-NL" w:eastAsia="nl-NL"/>
              </w:rPr>
            </w:pPr>
            <w:r w:rsidRPr="0025553E">
              <w:rPr>
                <w:rFonts w:asciiTheme="minorHAnsi" w:hAnsiTheme="minorHAnsi"/>
                <w:sz w:val="20"/>
                <w:szCs w:val="20"/>
              </w:rPr>
              <w:t>Primary</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D77FAF" w14:textId="6695E665" w:rsidR="00745320" w:rsidRPr="0025553E" w:rsidRDefault="00745320" w:rsidP="00E20CEE">
            <w:pPr>
              <w:spacing w:line="260" w:lineRule="atLeast"/>
              <w:rPr>
                <w:rFonts w:asciiTheme="minorHAnsi" w:hAnsiTheme="minorHAnsi"/>
                <w:sz w:val="20"/>
                <w:szCs w:val="20"/>
                <w:lang w:eastAsia="nl-NL"/>
              </w:rPr>
            </w:pPr>
            <w:r w:rsidRPr="0025553E">
              <w:rPr>
                <w:rFonts w:asciiTheme="minorHAnsi" w:hAnsiTheme="minorHAnsi"/>
                <w:sz w:val="20"/>
                <w:szCs w:val="20"/>
              </w:rPr>
              <w:t xml:space="preserve">Adapted </w:t>
            </w:r>
            <w:r w:rsidR="00E20CEE">
              <w:rPr>
                <w:rFonts w:asciiTheme="minorHAnsi" w:hAnsiTheme="minorHAnsi"/>
                <w:sz w:val="20"/>
                <w:szCs w:val="20"/>
              </w:rPr>
              <w:t>Exit Interview</w:t>
            </w:r>
            <w:r w:rsidRPr="0025553E">
              <w:rPr>
                <w:rFonts w:asciiTheme="minorHAnsi" w:hAnsiTheme="minorHAnsi"/>
                <w:sz w:val="20"/>
                <w:szCs w:val="20"/>
              </w:rPr>
              <w:t xml:space="preserve"> Questionnaire</w:t>
            </w:r>
            <w:r w:rsidR="00E20CEE">
              <w:rPr>
                <w:rFonts w:asciiTheme="minorHAnsi" w:hAnsiTheme="minorHAnsi"/>
                <w:sz w:val="20"/>
                <w:szCs w:val="20"/>
              </w:rPr>
              <w:t>s from baseline survey</w:t>
            </w:r>
          </w:p>
        </w:tc>
        <w:tc>
          <w:tcPr>
            <w:tcW w:w="2026" w:type="dxa"/>
            <w:tcBorders>
              <w:top w:val="single" w:sz="4" w:space="0" w:color="auto"/>
              <w:left w:val="single" w:sz="4" w:space="0" w:color="auto"/>
              <w:bottom w:val="single" w:sz="4" w:space="0" w:color="auto"/>
              <w:right w:val="single" w:sz="4" w:space="0" w:color="auto"/>
            </w:tcBorders>
            <w:vAlign w:val="center"/>
            <w:hideMark/>
          </w:tcPr>
          <w:p w14:paraId="0F4A2316" w14:textId="77777777" w:rsidR="00745320" w:rsidRPr="0025553E" w:rsidRDefault="00745320">
            <w:pPr>
              <w:spacing w:line="260" w:lineRule="atLeast"/>
              <w:rPr>
                <w:rFonts w:asciiTheme="minorHAnsi" w:hAnsiTheme="minorHAnsi"/>
                <w:sz w:val="20"/>
                <w:szCs w:val="20"/>
                <w:lang w:eastAsia="nl-NL"/>
              </w:rPr>
            </w:pPr>
            <w:r w:rsidRPr="0025553E">
              <w:rPr>
                <w:rFonts w:asciiTheme="minorHAnsi" w:hAnsiTheme="minorHAnsi"/>
                <w:sz w:val="20"/>
                <w:szCs w:val="20"/>
              </w:rPr>
              <w:t>Patient’s (or caretaker’s) perception of quality of care and satisfaction</w:t>
            </w:r>
          </w:p>
        </w:tc>
      </w:tr>
    </w:tbl>
    <w:p w14:paraId="2964D050" w14:textId="77777777" w:rsidR="00BC42F4" w:rsidRPr="00BC42F4" w:rsidRDefault="00BC42F4" w:rsidP="00BC42F4">
      <w:pPr>
        <w:jc w:val="both"/>
        <w:rPr>
          <w:rFonts w:asciiTheme="minorHAnsi" w:hAnsiTheme="minorHAnsi"/>
          <w:sz w:val="22"/>
          <w:szCs w:val="22"/>
        </w:rPr>
      </w:pPr>
    </w:p>
    <w:p w14:paraId="1B98475C" w14:textId="77777777" w:rsidR="0025553E" w:rsidRPr="00C37424" w:rsidRDefault="0025553E" w:rsidP="0025553E">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Pr>
          <w:rFonts w:asciiTheme="minorHAnsi" w:hAnsiTheme="minorHAnsi" w:cs="Times New Roman"/>
          <w:color w:val="4F81BD" w:themeColor="accent1"/>
          <w:sz w:val="24"/>
        </w:rPr>
        <w:t>TASKS AND DELIVERABLES</w:t>
      </w:r>
    </w:p>
    <w:p w14:paraId="7402BF46" w14:textId="2AED1A21" w:rsidR="0025553E" w:rsidRPr="0025553E" w:rsidRDefault="0025553E" w:rsidP="0025553E">
      <w:pPr>
        <w:spacing w:line="276" w:lineRule="auto"/>
        <w:jc w:val="both"/>
        <w:rPr>
          <w:rFonts w:asciiTheme="minorHAnsi" w:hAnsiTheme="minorHAnsi"/>
          <w:sz w:val="22"/>
          <w:szCs w:val="22"/>
        </w:rPr>
      </w:pPr>
      <w:r w:rsidRPr="0025553E">
        <w:rPr>
          <w:rFonts w:asciiTheme="minorHAnsi" w:hAnsiTheme="minorHAnsi"/>
          <w:sz w:val="22"/>
          <w:szCs w:val="22"/>
        </w:rPr>
        <w:t xml:space="preserve">The overall objective of the </w:t>
      </w:r>
      <w:r w:rsidR="00803FE2">
        <w:rPr>
          <w:rFonts w:asciiTheme="minorHAnsi" w:hAnsiTheme="minorHAnsi"/>
          <w:sz w:val="22"/>
          <w:szCs w:val="22"/>
        </w:rPr>
        <w:t>consultancy</w:t>
      </w:r>
      <w:r w:rsidR="00803FE2" w:rsidRPr="0025553E">
        <w:rPr>
          <w:rFonts w:asciiTheme="minorHAnsi" w:hAnsiTheme="minorHAnsi"/>
          <w:sz w:val="22"/>
          <w:szCs w:val="22"/>
        </w:rPr>
        <w:t xml:space="preserve"> </w:t>
      </w:r>
      <w:r w:rsidRPr="0025553E">
        <w:rPr>
          <w:rFonts w:asciiTheme="minorHAnsi" w:hAnsiTheme="minorHAnsi"/>
          <w:sz w:val="22"/>
          <w:szCs w:val="22"/>
        </w:rPr>
        <w:t>is to provide technical assistance in the deployment and use of a survey management technology for use of tablets and ODK (Open Data Kit) for data co</w:t>
      </w:r>
      <w:r>
        <w:rPr>
          <w:rFonts w:asciiTheme="minorHAnsi" w:hAnsiTheme="minorHAnsi"/>
          <w:sz w:val="22"/>
          <w:szCs w:val="22"/>
        </w:rPr>
        <w:t xml:space="preserve">llection and management for The Gambia MCNHRP </w:t>
      </w:r>
      <w:r w:rsidRPr="0025553E">
        <w:rPr>
          <w:rFonts w:asciiTheme="minorHAnsi" w:hAnsiTheme="minorHAnsi"/>
          <w:sz w:val="22"/>
          <w:szCs w:val="22"/>
        </w:rPr>
        <w:t xml:space="preserve">IE </w:t>
      </w:r>
      <w:r w:rsidR="00B550D5">
        <w:rPr>
          <w:rFonts w:asciiTheme="minorHAnsi" w:hAnsiTheme="minorHAnsi"/>
          <w:sz w:val="22"/>
          <w:szCs w:val="22"/>
        </w:rPr>
        <w:t>midline</w:t>
      </w:r>
      <w:r w:rsidR="00B550D5" w:rsidRPr="0025553E">
        <w:rPr>
          <w:rFonts w:asciiTheme="minorHAnsi" w:hAnsiTheme="minorHAnsi"/>
          <w:sz w:val="22"/>
          <w:szCs w:val="22"/>
        </w:rPr>
        <w:t xml:space="preserve"> </w:t>
      </w:r>
      <w:r w:rsidRPr="0025553E">
        <w:rPr>
          <w:rFonts w:asciiTheme="minorHAnsi" w:hAnsiTheme="minorHAnsi"/>
          <w:sz w:val="22"/>
          <w:szCs w:val="22"/>
        </w:rPr>
        <w:t>survey. The service has to support the following features:</w:t>
      </w:r>
    </w:p>
    <w:p w14:paraId="2870D0C0" w14:textId="77777777" w:rsidR="0025553E" w:rsidRPr="0025553E" w:rsidRDefault="0025553E" w:rsidP="0025553E">
      <w:pPr>
        <w:pStyle w:val="ListParagraph"/>
        <w:numPr>
          <w:ilvl w:val="0"/>
          <w:numId w:val="38"/>
        </w:numPr>
        <w:spacing w:before="120" w:after="120"/>
        <w:rPr>
          <w:rFonts w:asciiTheme="minorHAnsi" w:hAnsiTheme="minorHAnsi"/>
        </w:rPr>
      </w:pPr>
      <w:r w:rsidRPr="0025553E">
        <w:rPr>
          <w:rFonts w:asciiTheme="minorHAnsi" w:hAnsiTheme="minorHAnsi"/>
        </w:rPr>
        <w:t>Real-Time and All-time communication between Base and Field</w:t>
      </w:r>
    </w:p>
    <w:p w14:paraId="0B051405" w14:textId="77777777" w:rsidR="0025553E" w:rsidRPr="0025553E" w:rsidRDefault="0025553E" w:rsidP="0025553E">
      <w:pPr>
        <w:pStyle w:val="ListParagraph"/>
        <w:numPr>
          <w:ilvl w:val="0"/>
          <w:numId w:val="38"/>
        </w:numPr>
        <w:spacing w:before="120" w:after="120"/>
        <w:rPr>
          <w:rFonts w:asciiTheme="minorHAnsi" w:hAnsiTheme="minorHAnsi"/>
        </w:rPr>
      </w:pPr>
      <w:r w:rsidRPr="0025553E">
        <w:rPr>
          <w:rFonts w:asciiTheme="minorHAnsi" w:hAnsiTheme="minorHAnsi"/>
        </w:rPr>
        <w:t xml:space="preserve">Forms update support: both minor changes (unstructural) and major changes (structural). </w:t>
      </w:r>
    </w:p>
    <w:p w14:paraId="5CDDB51E" w14:textId="77777777" w:rsidR="0025553E" w:rsidRPr="0025553E" w:rsidRDefault="0025553E" w:rsidP="0025553E">
      <w:pPr>
        <w:pStyle w:val="ListParagraph"/>
        <w:numPr>
          <w:ilvl w:val="0"/>
          <w:numId w:val="38"/>
        </w:numPr>
        <w:spacing w:before="120" w:after="120"/>
        <w:rPr>
          <w:rFonts w:asciiTheme="minorHAnsi" w:hAnsiTheme="minorHAnsi"/>
        </w:rPr>
      </w:pPr>
      <w:r w:rsidRPr="0025553E">
        <w:rPr>
          <w:rFonts w:asciiTheme="minorHAnsi" w:hAnsiTheme="minorHAnsi"/>
        </w:rPr>
        <w:t>Push notification from Base to any specific tablet</w:t>
      </w:r>
    </w:p>
    <w:p w14:paraId="407A2DAB" w14:textId="77777777" w:rsidR="0025553E" w:rsidRPr="0025553E" w:rsidRDefault="0025553E" w:rsidP="0025553E">
      <w:pPr>
        <w:pStyle w:val="ListParagraph"/>
        <w:numPr>
          <w:ilvl w:val="0"/>
          <w:numId w:val="38"/>
        </w:numPr>
        <w:spacing w:before="120" w:after="120"/>
        <w:rPr>
          <w:rFonts w:asciiTheme="minorHAnsi" w:hAnsiTheme="minorHAnsi"/>
        </w:rPr>
      </w:pPr>
      <w:r w:rsidRPr="0025553E">
        <w:rPr>
          <w:rFonts w:asciiTheme="minorHAnsi" w:hAnsiTheme="minorHAnsi"/>
        </w:rPr>
        <w:t>Real-time data entry update (as long as an Internet connection is available) from tablets to Base. This feature allows Base to receive data in real-time, before enumerators submit the data so that error reports can be pushed to their devices and it is very easy to correct errors</w:t>
      </w:r>
    </w:p>
    <w:p w14:paraId="2A36D6EF" w14:textId="77777777" w:rsidR="0025553E" w:rsidRDefault="0025553E" w:rsidP="0025553E">
      <w:pPr>
        <w:pStyle w:val="ListParagraph"/>
        <w:numPr>
          <w:ilvl w:val="0"/>
          <w:numId w:val="38"/>
        </w:numPr>
        <w:spacing w:before="120" w:after="120"/>
        <w:rPr>
          <w:rFonts w:asciiTheme="minorHAnsi" w:hAnsiTheme="minorHAnsi"/>
        </w:rPr>
      </w:pPr>
      <w:r w:rsidRPr="0025553E">
        <w:rPr>
          <w:rFonts w:asciiTheme="minorHAnsi" w:hAnsiTheme="minorHAnsi"/>
        </w:rPr>
        <w:lastRenderedPageBreak/>
        <w:t>Real-Time monitoring of device status: battery level, 3G status, Wifi status, Bluetooth status, Charging status (whether the device is charging or not). Base can push notifications to device to remind enumerators to prepare the tablet for the coming interviews</w:t>
      </w:r>
    </w:p>
    <w:p w14:paraId="2FD1A955" w14:textId="49383158" w:rsidR="006B501E" w:rsidRDefault="006B501E" w:rsidP="0025553E">
      <w:pPr>
        <w:pStyle w:val="ListParagraph"/>
        <w:numPr>
          <w:ilvl w:val="0"/>
          <w:numId w:val="38"/>
        </w:numPr>
        <w:spacing w:before="120" w:after="120"/>
        <w:rPr>
          <w:rFonts w:asciiTheme="minorHAnsi" w:hAnsiTheme="minorHAnsi"/>
        </w:rPr>
      </w:pPr>
      <w:r>
        <w:rPr>
          <w:rFonts w:asciiTheme="minorHAnsi" w:hAnsiTheme="minorHAnsi"/>
        </w:rPr>
        <w:t>Supporting 3-layer management model including: Enumerators, Field Supervisors and Survey Managers</w:t>
      </w:r>
    </w:p>
    <w:p w14:paraId="2C72BFE3" w14:textId="5CA9A61C" w:rsidR="006B501E" w:rsidRDefault="006B501E" w:rsidP="0064342A">
      <w:pPr>
        <w:pStyle w:val="ListParagraph"/>
        <w:numPr>
          <w:ilvl w:val="0"/>
          <w:numId w:val="38"/>
        </w:numPr>
        <w:spacing w:before="120" w:after="120"/>
        <w:rPr>
          <w:rFonts w:asciiTheme="minorHAnsi" w:hAnsiTheme="minorHAnsi"/>
        </w:rPr>
      </w:pPr>
      <w:r>
        <w:rPr>
          <w:rFonts w:asciiTheme="minorHAnsi" w:hAnsiTheme="minorHAnsi"/>
        </w:rPr>
        <w:t xml:space="preserve">Supporting 2-layer Quality Assurance protocol: </w:t>
      </w:r>
      <w:r w:rsidR="003B7284">
        <w:rPr>
          <w:rFonts w:asciiTheme="minorHAnsi" w:hAnsiTheme="minorHAnsi"/>
        </w:rPr>
        <w:t>first layer implemented into the forms in the forms of hard constraints and soft alerts; second layer implemented on the server or supervisors’ tablets via R scripts</w:t>
      </w:r>
    </w:p>
    <w:p w14:paraId="73566FF6" w14:textId="2F68D3AA" w:rsidR="003B7284" w:rsidRDefault="003B7284" w:rsidP="0064342A">
      <w:pPr>
        <w:pStyle w:val="ListParagraph"/>
        <w:numPr>
          <w:ilvl w:val="0"/>
          <w:numId w:val="38"/>
        </w:numPr>
        <w:spacing w:before="120" w:after="120"/>
        <w:rPr>
          <w:rFonts w:asciiTheme="minorHAnsi" w:hAnsiTheme="minorHAnsi"/>
        </w:rPr>
      </w:pPr>
      <w:r>
        <w:rPr>
          <w:rFonts w:asciiTheme="minorHAnsi" w:hAnsiTheme="minorHAnsi"/>
        </w:rPr>
        <w:t>Ability to transfer data from enumerators’ tablets to Field Supervisor’s tablet without an Internet connection</w:t>
      </w:r>
    </w:p>
    <w:p w14:paraId="25BBC45C" w14:textId="708C321C" w:rsidR="003B7284" w:rsidRDefault="003B7284" w:rsidP="0064342A">
      <w:pPr>
        <w:pStyle w:val="ListParagraph"/>
        <w:numPr>
          <w:ilvl w:val="0"/>
          <w:numId w:val="38"/>
        </w:numPr>
        <w:spacing w:before="120" w:after="120"/>
        <w:rPr>
          <w:rFonts w:asciiTheme="minorHAnsi" w:hAnsiTheme="minorHAnsi"/>
        </w:rPr>
      </w:pPr>
      <w:r>
        <w:rPr>
          <w:rFonts w:asciiTheme="minorHAnsi" w:hAnsiTheme="minorHAnsi"/>
        </w:rPr>
        <w:t>Ab</w:t>
      </w:r>
      <w:r w:rsidR="003C13D3">
        <w:rPr>
          <w:rFonts w:asciiTheme="minorHAnsi" w:hAnsiTheme="minorHAnsi"/>
        </w:rPr>
        <w:t>ility to allow Field Supervisors to submit data on behalf of enumerators</w:t>
      </w:r>
    </w:p>
    <w:p w14:paraId="3954429C" w14:textId="2A9E4261" w:rsidR="003C13D3" w:rsidRDefault="003C13D3" w:rsidP="0064342A">
      <w:pPr>
        <w:pStyle w:val="ListParagraph"/>
        <w:numPr>
          <w:ilvl w:val="0"/>
          <w:numId w:val="38"/>
        </w:numPr>
        <w:spacing w:before="120" w:after="120"/>
        <w:rPr>
          <w:rFonts w:asciiTheme="minorHAnsi" w:hAnsiTheme="minorHAnsi"/>
        </w:rPr>
      </w:pPr>
      <w:r>
        <w:rPr>
          <w:rFonts w:asciiTheme="minorHAnsi" w:hAnsiTheme="minorHAnsi"/>
        </w:rPr>
        <w:t>Ability to review interview instances that have been sent or finalized</w:t>
      </w:r>
    </w:p>
    <w:p w14:paraId="4D6B5B66" w14:textId="4CAA1070" w:rsidR="003C13D3" w:rsidRDefault="006F0FDA" w:rsidP="0064342A">
      <w:pPr>
        <w:pStyle w:val="ListParagraph"/>
        <w:numPr>
          <w:ilvl w:val="0"/>
          <w:numId w:val="38"/>
        </w:numPr>
        <w:spacing w:before="120" w:after="120"/>
        <w:rPr>
          <w:rFonts w:asciiTheme="minorHAnsi" w:hAnsiTheme="minorHAnsi"/>
        </w:rPr>
      </w:pPr>
      <w:r>
        <w:rPr>
          <w:rFonts w:asciiTheme="minorHAnsi" w:hAnsiTheme="minorHAnsi"/>
        </w:rPr>
        <w:t>Allowing Field Supervisor to review data collected by enumerators with preset probabilities</w:t>
      </w:r>
    </w:p>
    <w:p w14:paraId="6E938DCA" w14:textId="41858195" w:rsidR="00D27620" w:rsidRPr="0025553E" w:rsidRDefault="00D27620" w:rsidP="0064342A">
      <w:pPr>
        <w:pStyle w:val="ListParagraph"/>
        <w:numPr>
          <w:ilvl w:val="0"/>
          <w:numId w:val="38"/>
        </w:numPr>
        <w:spacing w:before="120" w:after="120"/>
        <w:rPr>
          <w:rFonts w:asciiTheme="minorHAnsi" w:hAnsiTheme="minorHAnsi"/>
        </w:rPr>
      </w:pPr>
      <w:r>
        <w:rPr>
          <w:rFonts w:asciiTheme="minorHAnsi" w:hAnsiTheme="minorHAnsi"/>
        </w:rPr>
        <w:t xml:space="preserve">Ability to </w:t>
      </w:r>
      <w:r w:rsidR="007E74DF">
        <w:rPr>
          <w:rFonts w:asciiTheme="minorHAnsi" w:hAnsiTheme="minorHAnsi"/>
        </w:rPr>
        <w:t>view monitoring &amp; analytical reports of interview data in real-time</w:t>
      </w:r>
    </w:p>
    <w:p w14:paraId="14E05230" w14:textId="77777777" w:rsidR="0025553E" w:rsidRPr="0025553E" w:rsidRDefault="0025553E" w:rsidP="0025553E">
      <w:pPr>
        <w:spacing w:line="276" w:lineRule="auto"/>
        <w:jc w:val="both"/>
        <w:rPr>
          <w:rFonts w:asciiTheme="minorHAnsi" w:hAnsiTheme="minorHAnsi"/>
          <w:sz w:val="22"/>
          <w:szCs w:val="22"/>
        </w:rPr>
      </w:pPr>
    </w:p>
    <w:p w14:paraId="7CBDBA39" w14:textId="77777777" w:rsidR="0025553E" w:rsidRPr="0058024B" w:rsidRDefault="0025553E" w:rsidP="0025553E">
      <w:pPr>
        <w:spacing w:line="276" w:lineRule="auto"/>
        <w:jc w:val="both"/>
        <w:rPr>
          <w:rFonts w:asciiTheme="minorHAnsi" w:hAnsiTheme="minorHAnsi"/>
          <w:sz w:val="22"/>
          <w:szCs w:val="22"/>
        </w:rPr>
      </w:pPr>
      <w:r w:rsidRPr="0025553E">
        <w:rPr>
          <w:rFonts w:asciiTheme="minorHAnsi" w:hAnsiTheme="minorHAnsi"/>
          <w:sz w:val="22"/>
          <w:szCs w:val="22"/>
        </w:rPr>
        <w:t>The firm will be expected to complete the following activities associated with this consultancy:</w:t>
      </w:r>
    </w:p>
    <w:p w14:paraId="159E2528" w14:textId="77777777" w:rsidR="0025553E" w:rsidRPr="0025553E" w:rsidRDefault="0025553E" w:rsidP="0025553E">
      <w:pPr>
        <w:pStyle w:val="Heading2"/>
        <w:spacing w:line="276" w:lineRule="auto"/>
        <w:jc w:val="both"/>
        <w:rPr>
          <w:rFonts w:asciiTheme="minorHAnsi" w:hAnsiTheme="minorHAnsi"/>
          <w:sz w:val="22"/>
          <w:szCs w:val="22"/>
          <w:u w:val="single"/>
        </w:rPr>
      </w:pPr>
      <w:r w:rsidRPr="0025553E">
        <w:rPr>
          <w:rFonts w:asciiTheme="minorHAnsi" w:hAnsiTheme="minorHAnsi"/>
          <w:sz w:val="22"/>
          <w:szCs w:val="22"/>
          <w:u w:val="single"/>
        </w:rPr>
        <w:t>ACTIVITY 1: Technical support for deployment of tablet-based survey instruments and survey logistics</w:t>
      </w:r>
    </w:p>
    <w:p w14:paraId="6F041A2A" w14:textId="772D4D4F" w:rsidR="0025553E" w:rsidRPr="0025553E" w:rsidRDefault="0025553E" w:rsidP="0025553E">
      <w:pPr>
        <w:spacing w:line="276" w:lineRule="auto"/>
        <w:jc w:val="both"/>
        <w:rPr>
          <w:rFonts w:asciiTheme="minorHAnsi" w:hAnsiTheme="minorHAnsi"/>
          <w:sz w:val="22"/>
          <w:szCs w:val="22"/>
        </w:rPr>
      </w:pPr>
      <w:r w:rsidRPr="0025553E">
        <w:rPr>
          <w:rFonts w:asciiTheme="minorHAnsi" w:hAnsiTheme="minorHAnsi"/>
          <w:sz w:val="22"/>
          <w:szCs w:val="22"/>
        </w:rPr>
        <w:t xml:space="preserve">The Survey Firm will provide the impact evaluation </w:t>
      </w:r>
      <w:r w:rsidR="00226EA3">
        <w:rPr>
          <w:rFonts w:asciiTheme="minorHAnsi" w:hAnsiTheme="minorHAnsi"/>
          <w:sz w:val="22"/>
          <w:szCs w:val="22"/>
        </w:rPr>
        <w:t>midline</w:t>
      </w:r>
      <w:r w:rsidR="00226EA3" w:rsidRPr="0025553E">
        <w:rPr>
          <w:rFonts w:asciiTheme="minorHAnsi" w:hAnsiTheme="minorHAnsi"/>
          <w:sz w:val="22"/>
          <w:szCs w:val="22"/>
        </w:rPr>
        <w:t xml:space="preserve"> </w:t>
      </w:r>
      <w:r w:rsidRPr="0025553E">
        <w:rPr>
          <w:rFonts w:asciiTheme="minorHAnsi" w:hAnsiTheme="minorHAnsi"/>
          <w:sz w:val="22"/>
          <w:szCs w:val="22"/>
        </w:rPr>
        <w:t xml:space="preserve">survey team technical training and support for the design, testing and finalization of all </w:t>
      </w:r>
      <w:r w:rsidR="00226EA3">
        <w:rPr>
          <w:rFonts w:asciiTheme="minorHAnsi" w:hAnsiTheme="minorHAnsi"/>
          <w:sz w:val="22"/>
          <w:szCs w:val="22"/>
        </w:rPr>
        <w:t>of the</w:t>
      </w:r>
      <w:r w:rsidR="00226EA3" w:rsidRPr="0025553E">
        <w:rPr>
          <w:rFonts w:asciiTheme="minorHAnsi" w:hAnsiTheme="minorHAnsi"/>
          <w:sz w:val="22"/>
          <w:szCs w:val="22"/>
        </w:rPr>
        <w:t xml:space="preserve"> </w:t>
      </w:r>
      <w:r w:rsidR="00226EA3">
        <w:rPr>
          <w:rFonts w:asciiTheme="minorHAnsi" w:hAnsiTheme="minorHAnsi"/>
          <w:sz w:val="22"/>
          <w:szCs w:val="22"/>
        </w:rPr>
        <w:t>midline</w:t>
      </w:r>
      <w:r w:rsidR="00226EA3" w:rsidRPr="0025553E">
        <w:rPr>
          <w:rFonts w:asciiTheme="minorHAnsi" w:hAnsiTheme="minorHAnsi"/>
          <w:sz w:val="22"/>
          <w:szCs w:val="22"/>
        </w:rPr>
        <w:t xml:space="preserve"> </w:t>
      </w:r>
      <w:r w:rsidRPr="0025553E">
        <w:rPr>
          <w:rFonts w:asciiTheme="minorHAnsi" w:hAnsiTheme="minorHAnsi"/>
          <w:sz w:val="22"/>
          <w:szCs w:val="22"/>
        </w:rPr>
        <w:t xml:space="preserve">survey questionnaires, and provide access to a remote server for testing uploading and downloading of questionnaires. </w:t>
      </w:r>
      <w:r w:rsidR="00A24B5C">
        <w:rPr>
          <w:rFonts w:asciiTheme="minorHAnsi" w:hAnsiTheme="minorHAnsi"/>
          <w:sz w:val="22"/>
          <w:szCs w:val="22"/>
        </w:rPr>
        <w:t xml:space="preserve">This will include the procurement of all devices and associated equipment.   </w:t>
      </w:r>
    </w:p>
    <w:p w14:paraId="0B6CA4AA" w14:textId="77777777" w:rsidR="0025553E" w:rsidRPr="0025553E" w:rsidRDefault="0025553E" w:rsidP="0025553E">
      <w:pPr>
        <w:spacing w:line="276" w:lineRule="auto"/>
        <w:jc w:val="both"/>
        <w:rPr>
          <w:rFonts w:asciiTheme="minorHAnsi" w:hAnsiTheme="minorHAnsi"/>
          <w:sz w:val="22"/>
          <w:szCs w:val="22"/>
        </w:rPr>
      </w:pPr>
    </w:p>
    <w:p w14:paraId="61F5B458" w14:textId="7A8B4DA1" w:rsidR="0025553E" w:rsidRDefault="0025553E" w:rsidP="0025553E">
      <w:pPr>
        <w:spacing w:line="276" w:lineRule="auto"/>
        <w:jc w:val="both"/>
        <w:rPr>
          <w:rFonts w:asciiTheme="minorHAnsi" w:hAnsiTheme="minorHAnsi"/>
          <w:b/>
          <w:i/>
          <w:sz w:val="22"/>
          <w:szCs w:val="22"/>
        </w:rPr>
      </w:pPr>
      <w:r w:rsidRPr="0025553E">
        <w:rPr>
          <w:rFonts w:asciiTheme="minorHAnsi" w:hAnsiTheme="minorHAnsi"/>
          <w:b/>
          <w:i/>
          <w:sz w:val="22"/>
          <w:szCs w:val="22"/>
        </w:rPr>
        <w:t xml:space="preserve">DELIVERABLES (1):  The deliverables for this component are the 1) </w:t>
      </w:r>
      <w:r w:rsidR="00A24B5C">
        <w:rPr>
          <w:rFonts w:asciiTheme="minorHAnsi" w:hAnsiTheme="minorHAnsi"/>
          <w:b/>
          <w:i/>
          <w:sz w:val="22"/>
          <w:szCs w:val="22"/>
        </w:rPr>
        <w:t>procured and programmed tablets</w:t>
      </w:r>
      <w:r w:rsidR="00CC397B">
        <w:rPr>
          <w:rFonts w:asciiTheme="minorHAnsi" w:hAnsiTheme="minorHAnsi"/>
          <w:b/>
          <w:i/>
          <w:sz w:val="22"/>
          <w:szCs w:val="22"/>
        </w:rPr>
        <w:t xml:space="preserve"> (and chargers)</w:t>
      </w:r>
      <w:r w:rsidR="00A24B5C">
        <w:rPr>
          <w:rFonts w:asciiTheme="minorHAnsi" w:hAnsiTheme="minorHAnsi"/>
          <w:b/>
          <w:i/>
          <w:sz w:val="22"/>
          <w:szCs w:val="22"/>
        </w:rPr>
        <w:t xml:space="preserve">; 2) </w:t>
      </w:r>
      <w:r w:rsidRPr="0025553E">
        <w:rPr>
          <w:rFonts w:asciiTheme="minorHAnsi" w:hAnsiTheme="minorHAnsi"/>
          <w:b/>
          <w:i/>
          <w:sz w:val="22"/>
          <w:szCs w:val="22"/>
        </w:rPr>
        <w:t>survey agenda and tools</w:t>
      </w:r>
      <w:r w:rsidR="00A24B5C">
        <w:rPr>
          <w:rFonts w:asciiTheme="minorHAnsi" w:hAnsiTheme="minorHAnsi"/>
          <w:b/>
          <w:i/>
          <w:sz w:val="22"/>
          <w:szCs w:val="22"/>
        </w:rPr>
        <w:t>;</w:t>
      </w:r>
      <w:r w:rsidRPr="0025553E">
        <w:rPr>
          <w:rFonts w:asciiTheme="minorHAnsi" w:hAnsiTheme="minorHAnsi"/>
          <w:b/>
          <w:i/>
          <w:sz w:val="22"/>
          <w:szCs w:val="22"/>
        </w:rPr>
        <w:t xml:space="preserve"> and </w:t>
      </w:r>
      <w:r w:rsidR="00A24B5C">
        <w:rPr>
          <w:rFonts w:asciiTheme="minorHAnsi" w:hAnsiTheme="minorHAnsi"/>
          <w:b/>
          <w:i/>
          <w:sz w:val="22"/>
          <w:szCs w:val="22"/>
        </w:rPr>
        <w:t>3</w:t>
      </w:r>
      <w:r w:rsidRPr="0025553E">
        <w:rPr>
          <w:rFonts w:asciiTheme="minorHAnsi" w:hAnsiTheme="minorHAnsi"/>
          <w:b/>
          <w:i/>
          <w:sz w:val="22"/>
          <w:szCs w:val="22"/>
        </w:rPr>
        <w:t>) the pre-training version of the survey instruments (produced by the IE team but under the support of the firm).</w:t>
      </w:r>
    </w:p>
    <w:p w14:paraId="2A1482B7" w14:textId="77777777" w:rsidR="00566D4B" w:rsidRDefault="00566D4B" w:rsidP="0025553E">
      <w:pPr>
        <w:spacing w:line="276" w:lineRule="auto"/>
        <w:jc w:val="both"/>
        <w:rPr>
          <w:rFonts w:asciiTheme="minorHAnsi" w:hAnsiTheme="minorHAnsi"/>
          <w:b/>
          <w:i/>
          <w:sz w:val="22"/>
          <w:szCs w:val="22"/>
        </w:rPr>
      </w:pPr>
    </w:p>
    <w:p w14:paraId="6FE76BC9" w14:textId="77777777" w:rsidR="0025553E" w:rsidRPr="0025553E" w:rsidRDefault="0025553E" w:rsidP="0025553E">
      <w:pPr>
        <w:pStyle w:val="Heading2"/>
        <w:spacing w:line="276" w:lineRule="auto"/>
        <w:jc w:val="both"/>
        <w:rPr>
          <w:rFonts w:asciiTheme="minorHAnsi" w:hAnsiTheme="minorHAnsi"/>
          <w:sz w:val="22"/>
          <w:szCs w:val="22"/>
          <w:u w:val="single"/>
        </w:rPr>
      </w:pPr>
      <w:r w:rsidRPr="0025553E">
        <w:rPr>
          <w:rFonts w:asciiTheme="minorHAnsi" w:hAnsiTheme="minorHAnsi"/>
          <w:sz w:val="22"/>
          <w:szCs w:val="22"/>
          <w:u w:val="single"/>
        </w:rPr>
        <w:t>ACTIVITY 2: Training for use of the Survey System software</w:t>
      </w:r>
    </w:p>
    <w:p w14:paraId="1C1EFEE6" w14:textId="1FFBB5E7" w:rsidR="0025553E" w:rsidRPr="0025553E" w:rsidRDefault="0025553E" w:rsidP="0025553E">
      <w:pPr>
        <w:spacing w:line="276" w:lineRule="auto"/>
        <w:jc w:val="both"/>
        <w:rPr>
          <w:rFonts w:asciiTheme="minorHAnsi" w:hAnsiTheme="minorHAnsi"/>
          <w:sz w:val="22"/>
          <w:szCs w:val="22"/>
        </w:rPr>
      </w:pPr>
      <w:r w:rsidRPr="0025553E">
        <w:rPr>
          <w:rFonts w:asciiTheme="minorHAnsi" w:hAnsiTheme="minorHAnsi"/>
          <w:sz w:val="22"/>
          <w:szCs w:val="22"/>
        </w:rPr>
        <w:t xml:space="preserve">The Survey Firm will provide the impact evaluation </w:t>
      </w:r>
      <w:r w:rsidR="00E741E7">
        <w:rPr>
          <w:rFonts w:asciiTheme="minorHAnsi" w:hAnsiTheme="minorHAnsi"/>
          <w:sz w:val="22"/>
          <w:szCs w:val="22"/>
        </w:rPr>
        <w:t>midline</w:t>
      </w:r>
      <w:r w:rsidR="00E741E7" w:rsidRPr="0025553E">
        <w:rPr>
          <w:rFonts w:asciiTheme="minorHAnsi" w:hAnsiTheme="minorHAnsi"/>
          <w:sz w:val="22"/>
          <w:szCs w:val="22"/>
        </w:rPr>
        <w:t xml:space="preserve"> </w:t>
      </w:r>
      <w:r w:rsidRPr="0025553E">
        <w:rPr>
          <w:rFonts w:asciiTheme="minorHAnsi" w:hAnsiTheme="minorHAnsi"/>
          <w:sz w:val="22"/>
          <w:szCs w:val="22"/>
        </w:rPr>
        <w:t>survey team technical training and support for us</w:t>
      </w:r>
      <w:r>
        <w:rPr>
          <w:rFonts w:asciiTheme="minorHAnsi" w:hAnsiTheme="minorHAnsi"/>
          <w:sz w:val="22"/>
          <w:szCs w:val="22"/>
        </w:rPr>
        <w:t>e</w:t>
      </w:r>
      <w:r w:rsidRPr="0025553E">
        <w:rPr>
          <w:rFonts w:asciiTheme="minorHAnsi" w:hAnsiTheme="minorHAnsi"/>
          <w:sz w:val="22"/>
          <w:szCs w:val="22"/>
        </w:rPr>
        <w:t xml:space="preserve"> of the Survey System platform for real-time tracking of interviews and data collection teams. </w:t>
      </w:r>
    </w:p>
    <w:p w14:paraId="6C258136" w14:textId="77777777" w:rsidR="0025553E" w:rsidRPr="0025553E" w:rsidRDefault="0025553E" w:rsidP="0025553E">
      <w:pPr>
        <w:spacing w:line="276" w:lineRule="auto"/>
        <w:jc w:val="both"/>
        <w:rPr>
          <w:rFonts w:asciiTheme="minorHAnsi" w:hAnsiTheme="minorHAnsi"/>
          <w:sz w:val="22"/>
          <w:szCs w:val="22"/>
        </w:rPr>
      </w:pPr>
    </w:p>
    <w:p w14:paraId="75DAF5A4" w14:textId="77777777" w:rsidR="0025553E" w:rsidRPr="0058024B" w:rsidRDefault="0025553E" w:rsidP="0058024B">
      <w:pPr>
        <w:spacing w:line="276" w:lineRule="auto"/>
        <w:jc w:val="both"/>
        <w:rPr>
          <w:rFonts w:asciiTheme="minorHAnsi" w:hAnsiTheme="minorHAnsi"/>
          <w:b/>
          <w:i/>
          <w:sz w:val="22"/>
          <w:szCs w:val="22"/>
        </w:rPr>
      </w:pPr>
      <w:r w:rsidRPr="0025553E">
        <w:rPr>
          <w:rFonts w:asciiTheme="minorHAnsi" w:hAnsiTheme="minorHAnsi"/>
          <w:b/>
          <w:i/>
          <w:sz w:val="22"/>
          <w:szCs w:val="22"/>
        </w:rPr>
        <w:t xml:space="preserve">DELIVERABLES (2):  The deliverables for this component are 1) training materials for the use of the Survey System and 2) ready-to-use Survey System with preliminary programming for </w:t>
      </w:r>
      <w:r>
        <w:rPr>
          <w:rFonts w:asciiTheme="minorHAnsi" w:hAnsiTheme="minorHAnsi"/>
          <w:b/>
          <w:i/>
          <w:sz w:val="22"/>
          <w:szCs w:val="22"/>
        </w:rPr>
        <w:t xml:space="preserve">The Gambia </w:t>
      </w:r>
      <w:r w:rsidRPr="0025553E">
        <w:rPr>
          <w:rFonts w:asciiTheme="minorHAnsi" w:hAnsiTheme="minorHAnsi"/>
          <w:b/>
          <w:i/>
          <w:sz w:val="22"/>
          <w:szCs w:val="22"/>
        </w:rPr>
        <w:t>survey.</w:t>
      </w:r>
    </w:p>
    <w:p w14:paraId="6C0E8CB0" w14:textId="167E2F78" w:rsidR="0025553E" w:rsidRPr="0025553E" w:rsidRDefault="0025553E" w:rsidP="0025553E">
      <w:pPr>
        <w:pStyle w:val="Heading2"/>
        <w:spacing w:line="276" w:lineRule="auto"/>
        <w:jc w:val="both"/>
        <w:rPr>
          <w:rFonts w:asciiTheme="minorHAnsi" w:hAnsiTheme="minorHAnsi"/>
          <w:sz w:val="22"/>
          <w:szCs w:val="22"/>
          <w:u w:val="single"/>
        </w:rPr>
      </w:pPr>
      <w:r w:rsidRPr="0025553E">
        <w:rPr>
          <w:rFonts w:asciiTheme="minorHAnsi" w:hAnsiTheme="minorHAnsi"/>
          <w:sz w:val="22"/>
          <w:szCs w:val="22"/>
          <w:u w:val="single"/>
        </w:rPr>
        <w:t xml:space="preserve">ACTIVITY 3: </w:t>
      </w:r>
      <w:r w:rsidR="00226EA3">
        <w:rPr>
          <w:rFonts w:asciiTheme="minorHAnsi" w:hAnsiTheme="minorHAnsi"/>
          <w:sz w:val="22"/>
          <w:szCs w:val="22"/>
          <w:u w:val="single"/>
        </w:rPr>
        <w:t>I</w:t>
      </w:r>
      <w:r w:rsidRPr="0025553E">
        <w:rPr>
          <w:rFonts w:asciiTheme="minorHAnsi" w:hAnsiTheme="minorHAnsi"/>
          <w:sz w:val="22"/>
          <w:szCs w:val="22"/>
          <w:u w:val="single"/>
        </w:rPr>
        <w:t>nterviewer manual, training and pilot test phases</w:t>
      </w:r>
    </w:p>
    <w:p w14:paraId="05381C60" w14:textId="3A820B0A" w:rsidR="0025553E" w:rsidRPr="0025553E" w:rsidRDefault="0025553E" w:rsidP="0025553E">
      <w:pPr>
        <w:spacing w:line="276" w:lineRule="auto"/>
        <w:jc w:val="both"/>
        <w:rPr>
          <w:rFonts w:asciiTheme="minorHAnsi" w:hAnsiTheme="minorHAnsi"/>
          <w:sz w:val="22"/>
          <w:szCs w:val="22"/>
        </w:rPr>
      </w:pPr>
      <w:r w:rsidRPr="0025553E">
        <w:rPr>
          <w:rFonts w:asciiTheme="minorHAnsi" w:hAnsiTheme="minorHAnsi"/>
          <w:sz w:val="22"/>
          <w:szCs w:val="22"/>
        </w:rPr>
        <w:t xml:space="preserve">The Survey Firm is responsible for providing technical support and oversight for the preparation and execution of the interviewer training and pilot survey, including finalization of the interviewer manual. This includes support for development of training content; </w:t>
      </w:r>
      <w:r w:rsidR="00226EA3">
        <w:rPr>
          <w:rFonts w:asciiTheme="minorHAnsi" w:hAnsiTheme="minorHAnsi"/>
          <w:sz w:val="22"/>
          <w:szCs w:val="22"/>
        </w:rPr>
        <w:t>training of the data collection team in The Gambia</w:t>
      </w:r>
      <w:r w:rsidR="00803FE2">
        <w:rPr>
          <w:rFonts w:asciiTheme="minorHAnsi" w:hAnsiTheme="minorHAnsi"/>
          <w:sz w:val="22"/>
          <w:szCs w:val="22"/>
        </w:rPr>
        <w:t xml:space="preserve"> (2 weeks: 1 week of training prior to data collection + 1 week of support during early data collection to troubleshoot)</w:t>
      </w:r>
      <w:r w:rsidR="00226EA3">
        <w:rPr>
          <w:rFonts w:asciiTheme="minorHAnsi" w:hAnsiTheme="minorHAnsi"/>
          <w:sz w:val="22"/>
          <w:szCs w:val="22"/>
        </w:rPr>
        <w:t xml:space="preserve">; </w:t>
      </w:r>
      <w:r w:rsidRPr="0025553E">
        <w:rPr>
          <w:rFonts w:asciiTheme="minorHAnsi" w:hAnsiTheme="minorHAnsi"/>
          <w:sz w:val="22"/>
          <w:szCs w:val="22"/>
        </w:rPr>
        <w:t xml:space="preserve">availability of servers for data collection practice during training and the pilot study; data cleaning of the pilot survey data; and technical feedback to the survey coordinators on </w:t>
      </w:r>
      <w:r w:rsidRPr="0025553E">
        <w:rPr>
          <w:rFonts w:asciiTheme="minorHAnsi" w:hAnsiTheme="minorHAnsi"/>
          <w:sz w:val="22"/>
          <w:szCs w:val="22"/>
        </w:rPr>
        <w:lastRenderedPageBreak/>
        <w:t>the quality of the pilot test version of the survey instruments, logistics for the pilot survey data collection and data transferred to the server. The Survey System will also be used during the pilot survey.</w:t>
      </w:r>
    </w:p>
    <w:p w14:paraId="54A539A8" w14:textId="77777777" w:rsidR="0025553E" w:rsidRPr="0025553E" w:rsidRDefault="0025553E" w:rsidP="0025553E">
      <w:pPr>
        <w:spacing w:line="276" w:lineRule="auto"/>
        <w:jc w:val="both"/>
        <w:rPr>
          <w:rFonts w:asciiTheme="minorHAnsi" w:hAnsiTheme="minorHAnsi"/>
          <w:b/>
          <w:i/>
          <w:sz w:val="22"/>
          <w:szCs w:val="22"/>
        </w:rPr>
      </w:pPr>
    </w:p>
    <w:p w14:paraId="61A1D75E" w14:textId="77777777" w:rsidR="0025553E" w:rsidRPr="0025553E" w:rsidRDefault="0025553E" w:rsidP="0025553E">
      <w:pPr>
        <w:spacing w:line="276" w:lineRule="auto"/>
        <w:jc w:val="both"/>
        <w:rPr>
          <w:rFonts w:asciiTheme="minorHAnsi" w:hAnsiTheme="minorHAnsi"/>
          <w:b/>
          <w:i/>
          <w:sz w:val="22"/>
          <w:szCs w:val="22"/>
        </w:rPr>
      </w:pPr>
      <w:r w:rsidRPr="0025553E">
        <w:rPr>
          <w:rFonts w:asciiTheme="minorHAnsi" w:hAnsiTheme="minorHAnsi"/>
          <w:b/>
          <w:i/>
          <w:sz w:val="22"/>
          <w:szCs w:val="22"/>
        </w:rPr>
        <w:t>DELIVERABLES (3):  The deliverables for this component are 1) finalized training materials and agenda; 2) finalized interviewer manual; 3) pilot survey data (cleaned); and 4) technical feedback on pilot survey.</w:t>
      </w:r>
    </w:p>
    <w:p w14:paraId="18D01C39" w14:textId="77777777" w:rsidR="0025553E" w:rsidRPr="0025553E" w:rsidRDefault="0025553E" w:rsidP="0025553E">
      <w:pPr>
        <w:spacing w:line="276" w:lineRule="auto"/>
        <w:jc w:val="both"/>
        <w:rPr>
          <w:rFonts w:asciiTheme="minorHAnsi" w:hAnsiTheme="minorHAnsi"/>
          <w:b/>
          <w:i/>
          <w:sz w:val="22"/>
          <w:szCs w:val="22"/>
        </w:rPr>
      </w:pPr>
    </w:p>
    <w:p w14:paraId="02D77FD7" w14:textId="01EFCC30" w:rsidR="0025553E" w:rsidRPr="0025553E" w:rsidRDefault="0025553E" w:rsidP="0025553E">
      <w:pPr>
        <w:pStyle w:val="Heading2"/>
        <w:spacing w:line="276" w:lineRule="auto"/>
        <w:jc w:val="both"/>
        <w:rPr>
          <w:rFonts w:asciiTheme="minorHAnsi" w:hAnsiTheme="minorHAnsi"/>
          <w:i w:val="0"/>
          <w:sz w:val="22"/>
          <w:szCs w:val="22"/>
          <w:u w:val="single"/>
        </w:rPr>
      </w:pPr>
      <w:r w:rsidRPr="0025553E">
        <w:rPr>
          <w:rFonts w:asciiTheme="minorHAnsi" w:hAnsiTheme="minorHAnsi"/>
          <w:sz w:val="22"/>
          <w:szCs w:val="22"/>
          <w:u w:val="single"/>
        </w:rPr>
        <w:t xml:space="preserve">ACTIVITY 4: Technical support implementation of the </w:t>
      </w:r>
      <w:r w:rsidR="00CC397B">
        <w:rPr>
          <w:rFonts w:asciiTheme="minorHAnsi" w:hAnsiTheme="minorHAnsi"/>
          <w:sz w:val="22"/>
          <w:szCs w:val="22"/>
          <w:u w:val="single"/>
        </w:rPr>
        <w:t>midline</w:t>
      </w:r>
      <w:r w:rsidR="00CC397B" w:rsidRPr="0025553E">
        <w:rPr>
          <w:rFonts w:asciiTheme="minorHAnsi" w:hAnsiTheme="minorHAnsi"/>
          <w:sz w:val="22"/>
          <w:szCs w:val="22"/>
          <w:u w:val="single"/>
        </w:rPr>
        <w:t xml:space="preserve"> </w:t>
      </w:r>
      <w:r w:rsidRPr="0025553E">
        <w:rPr>
          <w:rFonts w:asciiTheme="minorHAnsi" w:hAnsiTheme="minorHAnsi"/>
          <w:sz w:val="22"/>
          <w:szCs w:val="22"/>
          <w:u w:val="single"/>
        </w:rPr>
        <w:t xml:space="preserve">survey data collection </w:t>
      </w:r>
    </w:p>
    <w:p w14:paraId="20501960" w14:textId="77777777" w:rsidR="0025553E" w:rsidRPr="0025553E" w:rsidRDefault="0025553E" w:rsidP="0025553E">
      <w:pPr>
        <w:spacing w:line="276" w:lineRule="auto"/>
        <w:contextualSpacing/>
        <w:jc w:val="both"/>
        <w:rPr>
          <w:rFonts w:asciiTheme="minorHAnsi" w:hAnsiTheme="minorHAnsi"/>
          <w:sz w:val="22"/>
          <w:szCs w:val="22"/>
        </w:rPr>
      </w:pPr>
      <w:r w:rsidRPr="0025553E">
        <w:rPr>
          <w:rFonts w:asciiTheme="minorHAnsi" w:hAnsiTheme="minorHAnsi"/>
          <w:sz w:val="22"/>
          <w:szCs w:val="22"/>
        </w:rPr>
        <w:t xml:space="preserve">Throughout data collection, the firm will provide the IE team with the IT framework for data collection, including servers to host survey instruments and data, application of the Survey System, real-time monitoring and tracking of interviews in the field; provision of feedback to interviewers; cleaning of data and production of data sets on a regular basis; and overall support to the IE team. </w:t>
      </w:r>
    </w:p>
    <w:p w14:paraId="3BEA292E" w14:textId="77777777" w:rsidR="0025553E" w:rsidRPr="0025553E" w:rsidRDefault="0025553E" w:rsidP="0025553E">
      <w:pPr>
        <w:spacing w:line="276" w:lineRule="auto"/>
        <w:jc w:val="both"/>
        <w:rPr>
          <w:rFonts w:asciiTheme="minorHAnsi" w:hAnsiTheme="minorHAnsi"/>
          <w:b/>
          <w:i/>
          <w:sz w:val="22"/>
          <w:szCs w:val="22"/>
        </w:rPr>
      </w:pPr>
    </w:p>
    <w:p w14:paraId="213AA81F" w14:textId="2E75AD30" w:rsidR="0025553E" w:rsidRPr="0025553E" w:rsidRDefault="0025553E" w:rsidP="0025553E">
      <w:pPr>
        <w:spacing w:line="276" w:lineRule="auto"/>
        <w:jc w:val="both"/>
        <w:rPr>
          <w:rFonts w:asciiTheme="minorHAnsi" w:hAnsiTheme="minorHAnsi"/>
          <w:b/>
          <w:i/>
          <w:sz w:val="22"/>
          <w:szCs w:val="22"/>
        </w:rPr>
      </w:pPr>
      <w:r w:rsidRPr="0025553E">
        <w:rPr>
          <w:rFonts w:asciiTheme="minorHAnsi" w:hAnsiTheme="minorHAnsi"/>
          <w:b/>
          <w:i/>
          <w:sz w:val="22"/>
          <w:szCs w:val="22"/>
        </w:rPr>
        <w:t>DELIVERABLES (4):  The deliverable</w:t>
      </w:r>
      <w:r w:rsidR="00CC397B">
        <w:rPr>
          <w:rFonts w:asciiTheme="minorHAnsi" w:hAnsiTheme="minorHAnsi"/>
          <w:b/>
          <w:i/>
          <w:sz w:val="22"/>
          <w:szCs w:val="22"/>
        </w:rPr>
        <w:t>s</w:t>
      </w:r>
      <w:r w:rsidRPr="0025553E">
        <w:rPr>
          <w:rFonts w:asciiTheme="minorHAnsi" w:hAnsiTheme="minorHAnsi"/>
          <w:b/>
          <w:i/>
          <w:sz w:val="22"/>
          <w:szCs w:val="22"/>
        </w:rPr>
        <w:t xml:space="preserve"> for this component </w:t>
      </w:r>
      <w:r w:rsidR="00CC397B">
        <w:rPr>
          <w:rFonts w:asciiTheme="minorHAnsi" w:hAnsiTheme="minorHAnsi"/>
          <w:b/>
          <w:i/>
          <w:sz w:val="22"/>
          <w:szCs w:val="22"/>
        </w:rPr>
        <w:t>are</w:t>
      </w:r>
      <w:r w:rsidR="00CC397B" w:rsidRPr="0025553E">
        <w:rPr>
          <w:rFonts w:asciiTheme="minorHAnsi" w:hAnsiTheme="minorHAnsi"/>
          <w:b/>
          <w:i/>
          <w:sz w:val="22"/>
          <w:szCs w:val="22"/>
        </w:rPr>
        <w:t xml:space="preserve"> </w:t>
      </w:r>
      <w:r w:rsidRPr="0025553E">
        <w:rPr>
          <w:rFonts w:asciiTheme="minorHAnsi" w:hAnsiTheme="minorHAnsi"/>
          <w:b/>
          <w:i/>
          <w:sz w:val="22"/>
          <w:szCs w:val="22"/>
        </w:rPr>
        <w:t>1) finalized survey instruments</w:t>
      </w:r>
      <w:r w:rsidR="00593C02">
        <w:rPr>
          <w:rFonts w:asciiTheme="minorHAnsi" w:hAnsiTheme="minorHAnsi"/>
          <w:b/>
          <w:i/>
          <w:sz w:val="22"/>
          <w:szCs w:val="22"/>
        </w:rPr>
        <w:t>, 2) Finalized set of quality checks (R-scripts), 3) Finalized set of monitoring reports that are available in real-time on the server as well as on the tablets of Enumerators and Field Supervisors</w:t>
      </w:r>
      <w:r w:rsidR="00CC397B">
        <w:rPr>
          <w:rFonts w:asciiTheme="minorHAnsi" w:hAnsiTheme="minorHAnsi"/>
          <w:b/>
          <w:i/>
          <w:sz w:val="22"/>
          <w:szCs w:val="22"/>
        </w:rPr>
        <w:t>.</w:t>
      </w:r>
    </w:p>
    <w:p w14:paraId="62508201" w14:textId="77777777" w:rsidR="0025553E" w:rsidRPr="0025553E" w:rsidRDefault="0025553E" w:rsidP="0025553E">
      <w:pPr>
        <w:spacing w:line="276" w:lineRule="auto"/>
        <w:jc w:val="both"/>
        <w:rPr>
          <w:rFonts w:asciiTheme="minorHAnsi" w:hAnsiTheme="minorHAnsi"/>
          <w:b/>
          <w:i/>
          <w:sz w:val="22"/>
          <w:szCs w:val="22"/>
        </w:rPr>
      </w:pPr>
    </w:p>
    <w:p w14:paraId="45984AE9" w14:textId="77777777" w:rsidR="0025553E" w:rsidRPr="0025553E" w:rsidRDefault="0025553E" w:rsidP="0025553E">
      <w:pPr>
        <w:spacing w:line="276" w:lineRule="auto"/>
        <w:jc w:val="both"/>
        <w:rPr>
          <w:rFonts w:asciiTheme="minorHAnsi" w:hAnsiTheme="minorHAnsi"/>
          <w:b/>
          <w:i/>
          <w:sz w:val="22"/>
          <w:szCs w:val="22"/>
        </w:rPr>
      </w:pPr>
      <w:r>
        <w:rPr>
          <w:rFonts w:asciiTheme="minorHAnsi" w:hAnsiTheme="minorHAnsi"/>
          <w:b/>
          <w:i/>
          <w:sz w:val="22"/>
          <w:szCs w:val="22"/>
          <w:u w:val="single"/>
        </w:rPr>
        <w:t>ACTIVITY 5</w:t>
      </w:r>
      <w:r w:rsidRPr="0025553E">
        <w:rPr>
          <w:rFonts w:asciiTheme="minorHAnsi" w:hAnsiTheme="minorHAnsi"/>
          <w:b/>
          <w:i/>
          <w:sz w:val="22"/>
          <w:szCs w:val="22"/>
          <w:u w:val="single"/>
        </w:rPr>
        <w:t>: Finalization of data set</w:t>
      </w:r>
    </w:p>
    <w:p w14:paraId="7E7EB1B8" w14:textId="398E7854" w:rsidR="0025553E" w:rsidRPr="0025553E" w:rsidRDefault="0025553E" w:rsidP="0025553E">
      <w:pPr>
        <w:pStyle w:val="Heading2"/>
        <w:spacing w:before="0" w:after="0" w:line="276" w:lineRule="auto"/>
        <w:jc w:val="both"/>
        <w:rPr>
          <w:rFonts w:asciiTheme="minorHAnsi" w:hAnsiTheme="minorHAnsi"/>
          <w:b w:val="0"/>
          <w:i w:val="0"/>
          <w:sz w:val="22"/>
          <w:szCs w:val="22"/>
        </w:rPr>
      </w:pPr>
      <w:r w:rsidRPr="0025553E">
        <w:rPr>
          <w:rFonts w:asciiTheme="minorHAnsi" w:hAnsiTheme="minorHAnsi"/>
          <w:b w:val="0"/>
          <w:i w:val="0"/>
          <w:sz w:val="22"/>
          <w:szCs w:val="22"/>
        </w:rPr>
        <w:t xml:space="preserve">At completion of data collection, the firm will provide technical support to the IE team for data cleaning and finalization of the </w:t>
      </w:r>
      <w:r w:rsidR="00074309">
        <w:rPr>
          <w:rFonts w:asciiTheme="minorHAnsi" w:hAnsiTheme="minorHAnsi"/>
          <w:b w:val="0"/>
          <w:i w:val="0"/>
          <w:sz w:val="22"/>
          <w:szCs w:val="22"/>
        </w:rPr>
        <w:t>midline</w:t>
      </w:r>
      <w:r w:rsidR="00074309" w:rsidRPr="0025553E">
        <w:rPr>
          <w:rFonts w:asciiTheme="minorHAnsi" w:hAnsiTheme="minorHAnsi"/>
          <w:b w:val="0"/>
          <w:i w:val="0"/>
          <w:sz w:val="22"/>
          <w:szCs w:val="22"/>
        </w:rPr>
        <w:t xml:space="preserve"> </w:t>
      </w:r>
      <w:r w:rsidRPr="0025553E">
        <w:rPr>
          <w:rFonts w:asciiTheme="minorHAnsi" w:hAnsiTheme="minorHAnsi"/>
          <w:b w:val="0"/>
          <w:i w:val="0"/>
          <w:sz w:val="22"/>
          <w:szCs w:val="22"/>
        </w:rPr>
        <w:t>survey data set.</w:t>
      </w:r>
      <w:r w:rsidR="00534B78">
        <w:rPr>
          <w:rFonts w:asciiTheme="minorHAnsi" w:hAnsiTheme="minorHAnsi"/>
          <w:b w:val="0"/>
          <w:i w:val="0"/>
          <w:sz w:val="22"/>
          <w:szCs w:val="22"/>
        </w:rPr>
        <w:t xml:space="preserve"> The firm will conduct final cleaning of the data and produce a final data delivery report</w:t>
      </w:r>
    </w:p>
    <w:p w14:paraId="5D74E152" w14:textId="77777777" w:rsidR="0025553E" w:rsidRPr="0025553E" w:rsidRDefault="0025553E" w:rsidP="0025553E">
      <w:pPr>
        <w:rPr>
          <w:rFonts w:asciiTheme="minorHAnsi" w:hAnsiTheme="minorHAnsi"/>
          <w:sz w:val="22"/>
          <w:szCs w:val="22"/>
        </w:rPr>
      </w:pPr>
    </w:p>
    <w:p w14:paraId="5C901338" w14:textId="35785C5A" w:rsidR="00074309" w:rsidRPr="00074309" w:rsidRDefault="00074309" w:rsidP="00074309">
      <w:pPr>
        <w:jc w:val="both"/>
        <w:rPr>
          <w:rFonts w:asciiTheme="minorHAnsi" w:hAnsiTheme="minorHAnsi"/>
          <w:sz w:val="22"/>
          <w:szCs w:val="22"/>
        </w:rPr>
      </w:pPr>
      <w:r w:rsidRPr="00074309">
        <w:rPr>
          <w:rFonts w:asciiTheme="minorHAnsi" w:hAnsiTheme="minorHAnsi"/>
          <w:sz w:val="22"/>
          <w:szCs w:val="22"/>
        </w:rPr>
        <w:t xml:space="preserve">The </w:t>
      </w:r>
      <w:r>
        <w:rPr>
          <w:rFonts w:asciiTheme="minorHAnsi" w:hAnsiTheme="minorHAnsi"/>
          <w:sz w:val="22"/>
          <w:szCs w:val="22"/>
        </w:rPr>
        <w:t xml:space="preserve">final dataset </w:t>
      </w:r>
      <w:r w:rsidR="00534B78">
        <w:rPr>
          <w:rFonts w:asciiTheme="minorHAnsi" w:hAnsiTheme="minorHAnsi"/>
          <w:sz w:val="22"/>
          <w:szCs w:val="22"/>
        </w:rPr>
        <w:t xml:space="preserve">and report </w:t>
      </w:r>
      <w:r>
        <w:rPr>
          <w:rFonts w:asciiTheme="minorHAnsi" w:hAnsiTheme="minorHAnsi"/>
          <w:sz w:val="22"/>
          <w:szCs w:val="22"/>
        </w:rPr>
        <w:t>must include</w:t>
      </w:r>
      <w:r w:rsidRPr="00074309">
        <w:rPr>
          <w:rFonts w:asciiTheme="minorHAnsi" w:hAnsiTheme="minorHAnsi"/>
          <w:sz w:val="22"/>
          <w:szCs w:val="22"/>
        </w:rPr>
        <w:t xml:space="preserve">: </w:t>
      </w:r>
    </w:p>
    <w:p w14:paraId="29F821F4" w14:textId="5BF62382" w:rsidR="00074309" w:rsidRDefault="00074309" w:rsidP="00074309">
      <w:pPr>
        <w:numPr>
          <w:ilvl w:val="0"/>
          <w:numId w:val="42"/>
        </w:numPr>
        <w:jc w:val="both"/>
        <w:rPr>
          <w:rFonts w:asciiTheme="minorHAnsi" w:hAnsiTheme="minorHAnsi"/>
          <w:sz w:val="22"/>
          <w:szCs w:val="22"/>
        </w:rPr>
      </w:pPr>
      <w:r>
        <w:rPr>
          <w:rFonts w:asciiTheme="minorHAnsi" w:hAnsiTheme="minorHAnsi"/>
          <w:sz w:val="22"/>
          <w:szCs w:val="22"/>
        </w:rPr>
        <w:t>Final data files in STATA format</w:t>
      </w:r>
      <w:r w:rsidR="00CC397B">
        <w:rPr>
          <w:rFonts w:asciiTheme="minorHAnsi" w:hAnsiTheme="minorHAnsi"/>
          <w:sz w:val="22"/>
          <w:szCs w:val="22"/>
        </w:rPr>
        <w:t xml:space="preserve"> (one data file for each questionnaire)</w:t>
      </w:r>
    </w:p>
    <w:p w14:paraId="55080BF3" w14:textId="1641FE77" w:rsidR="00CC397B" w:rsidRDefault="00CC397B" w:rsidP="00074309">
      <w:pPr>
        <w:numPr>
          <w:ilvl w:val="0"/>
          <w:numId w:val="42"/>
        </w:numPr>
        <w:jc w:val="both"/>
        <w:rPr>
          <w:rFonts w:asciiTheme="minorHAnsi" w:hAnsiTheme="minorHAnsi"/>
          <w:sz w:val="22"/>
          <w:szCs w:val="22"/>
        </w:rPr>
      </w:pPr>
      <w:r>
        <w:rPr>
          <w:rFonts w:asciiTheme="minorHAnsi" w:hAnsiTheme="minorHAnsi"/>
          <w:sz w:val="22"/>
          <w:szCs w:val="22"/>
        </w:rPr>
        <w:t>All relevant STATA dofiles</w:t>
      </w:r>
    </w:p>
    <w:p w14:paraId="1E3E3213" w14:textId="6785A982" w:rsidR="00074309" w:rsidRPr="00CC397B" w:rsidRDefault="00074309" w:rsidP="00CC397B">
      <w:pPr>
        <w:numPr>
          <w:ilvl w:val="0"/>
          <w:numId w:val="42"/>
        </w:numPr>
        <w:jc w:val="both"/>
        <w:rPr>
          <w:rFonts w:asciiTheme="minorHAnsi" w:hAnsiTheme="minorHAnsi"/>
          <w:sz w:val="22"/>
          <w:szCs w:val="22"/>
        </w:rPr>
      </w:pPr>
      <w:r w:rsidRPr="00CC397B">
        <w:rPr>
          <w:rFonts w:asciiTheme="minorHAnsi" w:hAnsiTheme="minorHAnsi"/>
          <w:sz w:val="22"/>
          <w:szCs w:val="22"/>
        </w:rPr>
        <w:t>Variable names and data labels in STATA.</w:t>
      </w:r>
      <w:r w:rsidR="00CC397B" w:rsidRPr="00CC397B">
        <w:rPr>
          <w:rFonts w:asciiTheme="minorHAnsi" w:hAnsiTheme="minorHAnsi"/>
          <w:sz w:val="22"/>
          <w:szCs w:val="22"/>
        </w:rPr>
        <w:t xml:space="preserve"> </w:t>
      </w:r>
      <w:r w:rsidRPr="00CC397B">
        <w:rPr>
          <w:rFonts w:asciiTheme="minorHAnsi" w:hAnsiTheme="minorHAnsi"/>
          <w:sz w:val="22"/>
          <w:szCs w:val="22"/>
        </w:rPr>
        <w:t xml:space="preserve">Variable names generated by the program should correspond clearly and logically to the question labels used in the questionnaire.  </w:t>
      </w:r>
    </w:p>
    <w:p w14:paraId="2652AD52" w14:textId="1C58EFE7" w:rsidR="00074309" w:rsidRDefault="00074309" w:rsidP="00CC397B">
      <w:pPr>
        <w:numPr>
          <w:ilvl w:val="0"/>
          <w:numId w:val="42"/>
        </w:numPr>
        <w:jc w:val="both"/>
        <w:rPr>
          <w:rFonts w:asciiTheme="minorHAnsi" w:hAnsiTheme="minorHAnsi"/>
          <w:sz w:val="22"/>
          <w:szCs w:val="22"/>
        </w:rPr>
      </w:pPr>
      <w:r w:rsidRPr="00074309">
        <w:rPr>
          <w:rFonts w:asciiTheme="minorHAnsi" w:hAnsiTheme="minorHAnsi"/>
          <w:sz w:val="22"/>
          <w:szCs w:val="22"/>
        </w:rPr>
        <w:t>Coding strategy in order to maintain consistent, unique identifiers for households</w:t>
      </w:r>
      <w:r w:rsidR="00CC397B">
        <w:rPr>
          <w:rFonts w:asciiTheme="minorHAnsi" w:hAnsiTheme="minorHAnsi"/>
          <w:sz w:val="22"/>
          <w:szCs w:val="22"/>
        </w:rPr>
        <w:t>, health facilities and communities</w:t>
      </w:r>
      <w:r w:rsidRPr="00074309">
        <w:rPr>
          <w:rFonts w:asciiTheme="minorHAnsi" w:hAnsiTheme="minorHAnsi"/>
          <w:sz w:val="22"/>
          <w:szCs w:val="22"/>
        </w:rPr>
        <w:t xml:space="preserve"> </w:t>
      </w:r>
      <w:r w:rsidR="002226FE">
        <w:rPr>
          <w:rFonts w:asciiTheme="minorHAnsi" w:hAnsiTheme="minorHAnsi"/>
          <w:sz w:val="22"/>
          <w:szCs w:val="22"/>
        </w:rPr>
        <w:t xml:space="preserve">and to enable </w:t>
      </w:r>
      <w:r w:rsidR="00534B78">
        <w:rPr>
          <w:rFonts w:asciiTheme="minorHAnsi" w:hAnsiTheme="minorHAnsi"/>
          <w:sz w:val="22"/>
          <w:szCs w:val="22"/>
        </w:rPr>
        <w:t>seamless</w:t>
      </w:r>
      <w:r w:rsidR="002226FE">
        <w:rPr>
          <w:rFonts w:asciiTheme="minorHAnsi" w:hAnsiTheme="minorHAnsi"/>
          <w:sz w:val="22"/>
          <w:szCs w:val="22"/>
        </w:rPr>
        <w:t xml:space="preserve"> merging of datasets as required</w:t>
      </w:r>
    </w:p>
    <w:p w14:paraId="362C81C2" w14:textId="70AF3755" w:rsidR="002226FE" w:rsidRDefault="002226FE" w:rsidP="00CC397B">
      <w:pPr>
        <w:numPr>
          <w:ilvl w:val="0"/>
          <w:numId w:val="42"/>
        </w:numPr>
        <w:jc w:val="both"/>
        <w:rPr>
          <w:rFonts w:asciiTheme="minorHAnsi" w:hAnsiTheme="minorHAnsi"/>
          <w:sz w:val="22"/>
          <w:szCs w:val="22"/>
        </w:rPr>
      </w:pPr>
      <w:r>
        <w:rPr>
          <w:rFonts w:asciiTheme="minorHAnsi" w:hAnsiTheme="minorHAnsi"/>
          <w:sz w:val="22"/>
          <w:szCs w:val="22"/>
        </w:rPr>
        <w:t>Final completion numbers</w:t>
      </w:r>
    </w:p>
    <w:p w14:paraId="52931C3D" w14:textId="0CEABCA8" w:rsidR="002226FE" w:rsidRDefault="002226FE" w:rsidP="00CC397B">
      <w:pPr>
        <w:numPr>
          <w:ilvl w:val="0"/>
          <w:numId w:val="42"/>
        </w:numPr>
        <w:jc w:val="both"/>
        <w:rPr>
          <w:rFonts w:asciiTheme="minorHAnsi" w:hAnsiTheme="minorHAnsi"/>
          <w:sz w:val="22"/>
          <w:szCs w:val="22"/>
        </w:rPr>
      </w:pPr>
      <w:r>
        <w:rPr>
          <w:rFonts w:asciiTheme="minorHAnsi" w:hAnsiTheme="minorHAnsi"/>
          <w:sz w:val="22"/>
          <w:szCs w:val="22"/>
        </w:rPr>
        <w:t>Completion inventory</w:t>
      </w:r>
    </w:p>
    <w:p w14:paraId="33457453" w14:textId="0A8C739D" w:rsidR="006F0FDA" w:rsidRDefault="006F0FDA" w:rsidP="00CC397B">
      <w:pPr>
        <w:numPr>
          <w:ilvl w:val="0"/>
          <w:numId w:val="42"/>
        </w:numPr>
        <w:jc w:val="both"/>
        <w:rPr>
          <w:rFonts w:asciiTheme="minorHAnsi" w:hAnsiTheme="minorHAnsi"/>
          <w:sz w:val="22"/>
          <w:szCs w:val="22"/>
        </w:rPr>
      </w:pPr>
      <w:r>
        <w:rPr>
          <w:rFonts w:asciiTheme="minorHAnsi" w:hAnsiTheme="minorHAnsi"/>
          <w:sz w:val="22"/>
          <w:szCs w:val="22"/>
        </w:rPr>
        <w:t>Codebooks that provide documentation and instructions for data users</w:t>
      </w:r>
    </w:p>
    <w:p w14:paraId="1EB1A814" w14:textId="13212986" w:rsidR="00080E48" w:rsidRDefault="00080E48" w:rsidP="00CC397B">
      <w:pPr>
        <w:numPr>
          <w:ilvl w:val="0"/>
          <w:numId w:val="42"/>
        </w:numPr>
        <w:jc w:val="both"/>
        <w:rPr>
          <w:rFonts w:asciiTheme="minorHAnsi" w:hAnsiTheme="minorHAnsi"/>
          <w:sz w:val="22"/>
          <w:szCs w:val="22"/>
        </w:rPr>
      </w:pPr>
      <w:r>
        <w:rPr>
          <w:rFonts w:asciiTheme="minorHAnsi" w:hAnsiTheme="minorHAnsi"/>
          <w:sz w:val="22"/>
          <w:szCs w:val="22"/>
        </w:rPr>
        <w:t xml:space="preserve">Monitoring reports </w:t>
      </w:r>
      <w:r w:rsidR="000A5527">
        <w:rPr>
          <w:rFonts w:asciiTheme="minorHAnsi" w:hAnsiTheme="minorHAnsi"/>
          <w:sz w:val="22"/>
          <w:szCs w:val="22"/>
        </w:rPr>
        <w:t>that provide monitoring information during fieldwork</w:t>
      </w:r>
    </w:p>
    <w:p w14:paraId="0B739066" w14:textId="77777777" w:rsidR="00074309" w:rsidRPr="00074309" w:rsidRDefault="00074309" w:rsidP="00074309">
      <w:pPr>
        <w:jc w:val="both"/>
        <w:rPr>
          <w:rFonts w:asciiTheme="minorHAnsi" w:hAnsiTheme="minorHAnsi"/>
          <w:sz w:val="22"/>
          <w:szCs w:val="22"/>
        </w:rPr>
      </w:pPr>
    </w:p>
    <w:p w14:paraId="67F4DBD5" w14:textId="58D48CD3" w:rsidR="00BC42F4" w:rsidRDefault="0025553E" w:rsidP="00EF4D23">
      <w:pPr>
        <w:spacing w:line="276" w:lineRule="auto"/>
        <w:jc w:val="both"/>
        <w:rPr>
          <w:rFonts w:asciiTheme="minorHAnsi" w:hAnsiTheme="minorHAnsi"/>
          <w:b/>
          <w:i/>
          <w:sz w:val="22"/>
          <w:szCs w:val="22"/>
        </w:rPr>
      </w:pPr>
      <w:r w:rsidRPr="0025553E">
        <w:rPr>
          <w:rFonts w:asciiTheme="minorHAnsi" w:hAnsiTheme="minorHAnsi"/>
          <w:b/>
          <w:i/>
          <w:sz w:val="22"/>
          <w:szCs w:val="22"/>
        </w:rPr>
        <w:t>DELIVERABLES (5):  The deliverable for this component is 1) the provision of the final data set to the IE team</w:t>
      </w:r>
      <w:r w:rsidR="00CC397B" w:rsidRPr="0025553E">
        <w:rPr>
          <w:rFonts w:asciiTheme="minorHAnsi" w:hAnsiTheme="minorHAnsi"/>
          <w:b/>
          <w:i/>
          <w:sz w:val="22"/>
          <w:szCs w:val="22"/>
        </w:rPr>
        <w:t xml:space="preserve"> 2) the final, cleaned data set; 3) Stata data files and dofiles</w:t>
      </w:r>
      <w:r w:rsidR="00CC397B">
        <w:rPr>
          <w:rFonts w:asciiTheme="minorHAnsi" w:hAnsiTheme="minorHAnsi"/>
          <w:b/>
          <w:i/>
          <w:sz w:val="22"/>
          <w:szCs w:val="22"/>
        </w:rPr>
        <w:t>; 4) the dataset dictionary with all variables labeled and defined</w:t>
      </w:r>
      <w:r w:rsidR="003E167E">
        <w:rPr>
          <w:rFonts w:asciiTheme="minorHAnsi" w:hAnsiTheme="minorHAnsi"/>
          <w:b/>
          <w:i/>
          <w:sz w:val="22"/>
          <w:szCs w:val="22"/>
        </w:rPr>
        <w:t xml:space="preserve">; and 5) </w:t>
      </w:r>
      <w:r w:rsidR="00905AA9">
        <w:rPr>
          <w:rFonts w:asciiTheme="minorHAnsi" w:hAnsiTheme="minorHAnsi"/>
          <w:b/>
          <w:i/>
          <w:sz w:val="22"/>
          <w:szCs w:val="22"/>
          <w:lang w:val="vi-VN"/>
        </w:rPr>
        <w:t>codebook</w:t>
      </w:r>
      <w:r w:rsidR="00561A25">
        <w:rPr>
          <w:rFonts w:asciiTheme="minorHAnsi" w:hAnsiTheme="minorHAnsi"/>
          <w:b/>
          <w:i/>
          <w:sz w:val="22"/>
          <w:szCs w:val="22"/>
          <w:lang w:val="vi-VN"/>
        </w:rPr>
        <w:t>a and final monitoring</w:t>
      </w:r>
      <w:r w:rsidR="00905AA9">
        <w:rPr>
          <w:rFonts w:asciiTheme="minorHAnsi" w:hAnsiTheme="minorHAnsi"/>
          <w:b/>
          <w:i/>
          <w:sz w:val="22"/>
          <w:szCs w:val="22"/>
          <w:lang w:val="vi-VN"/>
        </w:rPr>
        <w:t xml:space="preserve"> </w:t>
      </w:r>
      <w:r w:rsidR="00561A25">
        <w:rPr>
          <w:rFonts w:asciiTheme="minorHAnsi" w:hAnsiTheme="minorHAnsi"/>
          <w:b/>
          <w:i/>
          <w:sz w:val="22"/>
          <w:szCs w:val="22"/>
          <w:lang w:val="vi-VN"/>
        </w:rPr>
        <w:t>reports</w:t>
      </w:r>
      <w:r w:rsidR="00905AA9">
        <w:rPr>
          <w:rFonts w:asciiTheme="minorHAnsi" w:hAnsiTheme="minorHAnsi"/>
          <w:b/>
          <w:i/>
          <w:sz w:val="22"/>
          <w:szCs w:val="22"/>
          <w:lang w:val="vi-VN"/>
        </w:rPr>
        <w:t>.</w:t>
      </w:r>
    </w:p>
    <w:p w14:paraId="60D849B7" w14:textId="77777777" w:rsidR="002226FE" w:rsidRPr="00BC42F4" w:rsidRDefault="002226FE" w:rsidP="00EF4D23">
      <w:pPr>
        <w:spacing w:line="276" w:lineRule="auto"/>
        <w:jc w:val="both"/>
        <w:rPr>
          <w:rFonts w:asciiTheme="minorHAnsi" w:hAnsiTheme="minorHAnsi"/>
          <w:sz w:val="22"/>
          <w:szCs w:val="22"/>
        </w:rPr>
      </w:pPr>
    </w:p>
    <w:p w14:paraId="37A25A70" w14:textId="77777777" w:rsidR="007B3B51" w:rsidRPr="00C37424" w:rsidRDefault="00EF4D23" w:rsidP="00EE3846">
      <w:pPr>
        <w:pStyle w:val="Heading1"/>
        <w:keepNext w:val="0"/>
        <w:pBdr>
          <w:bottom w:val="single" w:sz="12" w:space="1" w:color="365F91"/>
        </w:pBdr>
        <w:spacing w:before="600" w:after="80"/>
        <w:rPr>
          <w:rFonts w:asciiTheme="minorHAnsi" w:hAnsiTheme="minorHAnsi" w:cs="Times New Roman"/>
          <w:color w:val="4F81BD"/>
          <w:sz w:val="24"/>
        </w:rPr>
      </w:pPr>
      <w:r>
        <w:rPr>
          <w:rFonts w:asciiTheme="minorHAnsi" w:hAnsiTheme="minorHAnsi" w:cs="Times New Roman"/>
          <w:color w:val="4F81BD"/>
          <w:sz w:val="24"/>
        </w:rPr>
        <w:t>R</w:t>
      </w:r>
      <w:r w:rsidR="007B3B51" w:rsidRPr="00C37424">
        <w:rPr>
          <w:rFonts w:asciiTheme="minorHAnsi" w:hAnsiTheme="minorHAnsi" w:cs="Times New Roman"/>
          <w:color w:val="4F81BD"/>
          <w:sz w:val="24"/>
        </w:rPr>
        <w:t>EQUIRED SKILLS/ EXPERIENCE</w:t>
      </w:r>
    </w:p>
    <w:p w14:paraId="6A744F47" w14:textId="77777777" w:rsidR="00EF4D23" w:rsidRPr="00EF4D23" w:rsidRDefault="00EF4D23" w:rsidP="00EF4D23">
      <w:pPr>
        <w:spacing w:line="276" w:lineRule="auto"/>
        <w:rPr>
          <w:rFonts w:asciiTheme="minorHAnsi" w:hAnsiTheme="minorHAnsi"/>
          <w:sz w:val="22"/>
          <w:lang w:eastAsia="fr-FR"/>
        </w:rPr>
      </w:pPr>
      <w:r w:rsidRPr="00EF4D23">
        <w:rPr>
          <w:rFonts w:asciiTheme="minorHAnsi" w:hAnsiTheme="minorHAnsi"/>
          <w:sz w:val="22"/>
          <w:lang w:eastAsia="fr-FR"/>
        </w:rPr>
        <w:lastRenderedPageBreak/>
        <w:t>The selected organization will have the following characteristics:</w:t>
      </w:r>
    </w:p>
    <w:p w14:paraId="0B1259C5" w14:textId="77777777" w:rsidR="00EF4D23" w:rsidRPr="00EF4D23" w:rsidRDefault="00EF4D23" w:rsidP="00EF4D23">
      <w:pPr>
        <w:tabs>
          <w:tab w:val="left" w:pos="3285"/>
        </w:tabs>
        <w:spacing w:line="276" w:lineRule="auto"/>
        <w:rPr>
          <w:rFonts w:asciiTheme="minorHAnsi" w:hAnsiTheme="minorHAnsi"/>
          <w:sz w:val="22"/>
          <w:lang w:eastAsia="fr-FR"/>
        </w:rPr>
      </w:pPr>
      <w:r>
        <w:rPr>
          <w:rFonts w:asciiTheme="minorHAnsi" w:hAnsiTheme="minorHAnsi"/>
          <w:sz w:val="22"/>
          <w:lang w:eastAsia="fr-FR"/>
        </w:rPr>
        <w:tab/>
        <w:t>.</w:t>
      </w:r>
    </w:p>
    <w:p w14:paraId="5A0AA186" w14:textId="77777777" w:rsidR="00EF4D23" w:rsidRPr="00EF4D23" w:rsidRDefault="00EF4D23" w:rsidP="00EF4D23">
      <w:pPr>
        <w:numPr>
          <w:ilvl w:val="0"/>
          <w:numId w:val="39"/>
        </w:numPr>
        <w:spacing w:line="276" w:lineRule="auto"/>
        <w:jc w:val="both"/>
        <w:rPr>
          <w:rFonts w:asciiTheme="minorHAnsi" w:hAnsiTheme="minorHAnsi"/>
          <w:sz w:val="22"/>
          <w:lang w:eastAsia="fr-FR"/>
        </w:rPr>
      </w:pPr>
      <w:r w:rsidRPr="00EF4D23">
        <w:rPr>
          <w:rFonts w:asciiTheme="minorHAnsi" w:hAnsiTheme="minorHAnsi"/>
          <w:sz w:val="22"/>
          <w:lang w:eastAsia="fr-FR"/>
        </w:rPr>
        <w:t>A minimum of 5 years’ experience with conducting surveys in the health sector or in other social sectors in developing countries. Experience with conducting facility-based surveys is strongly preferred.</w:t>
      </w:r>
    </w:p>
    <w:p w14:paraId="64E36C0B" w14:textId="77777777" w:rsidR="00EF4D23" w:rsidRPr="00EF4D23" w:rsidRDefault="00EF4D23" w:rsidP="00EF4D23">
      <w:pPr>
        <w:numPr>
          <w:ilvl w:val="0"/>
          <w:numId w:val="39"/>
        </w:numPr>
        <w:spacing w:line="276" w:lineRule="auto"/>
        <w:jc w:val="both"/>
        <w:rPr>
          <w:rFonts w:asciiTheme="minorHAnsi" w:hAnsiTheme="minorHAnsi"/>
          <w:sz w:val="22"/>
          <w:lang w:eastAsia="fr-FR"/>
        </w:rPr>
      </w:pPr>
      <w:r w:rsidRPr="00EF4D23">
        <w:rPr>
          <w:rFonts w:asciiTheme="minorHAnsi" w:hAnsiTheme="minorHAnsi"/>
          <w:sz w:val="22"/>
          <w:lang w:eastAsia="fr-FR"/>
        </w:rPr>
        <w:t>Experience with conducting large-scale surveys</w:t>
      </w:r>
      <w:r>
        <w:rPr>
          <w:rFonts w:asciiTheme="minorHAnsi" w:hAnsiTheme="minorHAnsi"/>
          <w:sz w:val="22"/>
          <w:lang w:eastAsia="fr-FR"/>
        </w:rPr>
        <w:t>.</w:t>
      </w:r>
    </w:p>
    <w:p w14:paraId="03B4BE16" w14:textId="77777777" w:rsidR="00EF4D23" w:rsidRPr="00EF4D23" w:rsidRDefault="00EF4D23" w:rsidP="00EF4D23">
      <w:pPr>
        <w:numPr>
          <w:ilvl w:val="0"/>
          <w:numId w:val="39"/>
        </w:numPr>
        <w:spacing w:line="276" w:lineRule="auto"/>
        <w:jc w:val="both"/>
        <w:rPr>
          <w:rFonts w:asciiTheme="minorHAnsi" w:hAnsiTheme="minorHAnsi"/>
          <w:sz w:val="22"/>
          <w:lang w:eastAsia="fr-FR"/>
        </w:rPr>
      </w:pPr>
      <w:r w:rsidRPr="00EF4D23">
        <w:rPr>
          <w:rFonts w:asciiTheme="minorHAnsi" w:hAnsiTheme="minorHAnsi"/>
          <w:sz w:val="22"/>
          <w:lang w:eastAsia="fr-FR"/>
        </w:rPr>
        <w:t>Experience with ODK tablet technology</w:t>
      </w:r>
      <w:r>
        <w:rPr>
          <w:rFonts w:asciiTheme="minorHAnsi" w:hAnsiTheme="minorHAnsi"/>
          <w:sz w:val="22"/>
          <w:lang w:eastAsia="fr-FR"/>
        </w:rPr>
        <w:t>.</w:t>
      </w:r>
    </w:p>
    <w:p w14:paraId="47ED0E89" w14:textId="77777777" w:rsidR="00EF4D23" w:rsidRPr="00EF4D23" w:rsidRDefault="00EF4D23" w:rsidP="00EF4D23">
      <w:pPr>
        <w:numPr>
          <w:ilvl w:val="0"/>
          <w:numId w:val="39"/>
        </w:numPr>
        <w:spacing w:line="276" w:lineRule="auto"/>
        <w:jc w:val="both"/>
        <w:rPr>
          <w:rFonts w:asciiTheme="minorHAnsi" w:hAnsiTheme="minorHAnsi"/>
          <w:sz w:val="22"/>
          <w:lang w:eastAsia="fr-FR"/>
        </w:rPr>
      </w:pPr>
      <w:r w:rsidRPr="00EF4D23">
        <w:rPr>
          <w:rFonts w:asciiTheme="minorHAnsi" w:hAnsiTheme="minorHAnsi"/>
          <w:sz w:val="22"/>
          <w:lang w:eastAsia="fr-FR"/>
        </w:rPr>
        <w:t>Strong team of computer programmers familiar with survey content and structure</w:t>
      </w:r>
      <w:r>
        <w:rPr>
          <w:rFonts w:asciiTheme="minorHAnsi" w:hAnsiTheme="minorHAnsi"/>
          <w:sz w:val="22"/>
          <w:lang w:eastAsia="fr-FR"/>
        </w:rPr>
        <w:t>.</w:t>
      </w:r>
    </w:p>
    <w:p w14:paraId="6C536E9D" w14:textId="77777777" w:rsidR="00EF4D23" w:rsidRPr="00EF4D23" w:rsidRDefault="00EF4D23" w:rsidP="00EF4D23">
      <w:pPr>
        <w:pStyle w:val="ListParagraph"/>
        <w:numPr>
          <w:ilvl w:val="0"/>
          <w:numId w:val="39"/>
        </w:numPr>
        <w:spacing w:before="60" w:line="276" w:lineRule="auto"/>
        <w:jc w:val="both"/>
        <w:rPr>
          <w:rFonts w:asciiTheme="minorHAnsi" w:hAnsiTheme="minorHAnsi"/>
          <w:szCs w:val="24"/>
          <w:lang w:val="nl-NL" w:eastAsia="nl-NL"/>
        </w:rPr>
      </w:pPr>
      <w:r w:rsidRPr="00EF4D23">
        <w:rPr>
          <w:rFonts w:asciiTheme="minorHAnsi" w:hAnsiTheme="minorHAnsi"/>
          <w:szCs w:val="24"/>
        </w:rPr>
        <w:t>Strong capacity and experience in planning and organizing survey logistics</w:t>
      </w:r>
      <w:r>
        <w:rPr>
          <w:rFonts w:asciiTheme="minorHAnsi" w:hAnsiTheme="minorHAnsi"/>
          <w:szCs w:val="24"/>
        </w:rPr>
        <w:t>.</w:t>
      </w:r>
    </w:p>
    <w:p w14:paraId="57C77CDD" w14:textId="77777777" w:rsidR="00EF4D23" w:rsidRPr="00EF4D23" w:rsidRDefault="00EF4D23" w:rsidP="00EF4D23">
      <w:pPr>
        <w:pStyle w:val="ListParagraph"/>
        <w:numPr>
          <w:ilvl w:val="0"/>
          <w:numId w:val="39"/>
        </w:numPr>
        <w:spacing w:before="60" w:line="276" w:lineRule="auto"/>
        <w:jc w:val="both"/>
        <w:rPr>
          <w:rFonts w:asciiTheme="minorHAnsi" w:hAnsiTheme="minorHAnsi"/>
          <w:szCs w:val="24"/>
        </w:rPr>
      </w:pPr>
      <w:r w:rsidRPr="00EF4D23">
        <w:rPr>
          <w:rFonts w:asciiTheme="minorHAnsi" w:hAnsiTheme="minorHAnsi"/>
          <w:szCs w:val="24"/>
        </w:rPr>
        <w:t>Good network of experienced enumerators, supervisors and data entry clerks</w:t>
      </w:r>
      <w:r>
        <w:rPr>
          <w:rFonts w:asciiTheme="minorHAnsi" w:hAnsiTheme="minorHAnsi"/>
          <w:szCs w:val="24"/>
        </w:rPr>
        <w:t>.</w:t>
      </w:r>
    </w:p>
    <w:p w14:paraId="1B0DFFA2" w14:textId="77777777" w:rsidR="00EF4D23" w:rsidRPr="00EF4D23" w:rsidRDefault="00EF4D23" w:rsidP="00EF4D23">
      <w:pPr>
        <w:pStyle w:val="ListParagraph"/>
        <w:numPr>
          <w:ilvl w:val="0"/>
          <w:numId w:val="39"/>
        </w:numPr>
        <w:spacing w:before="60" w:line="276" w:lineRule="auto"/>
        <w:jc w:val="both"/>
        <w:rPr>
          <w:rFonts w:asciiTheme="minorHAnsi" w:hAnsiTheme="minorHAnsi"/>
          <w:szCs w:val="24"/>
        </w:rPr>
      </w:pPr>
      <w:r w:rsidRPr="00EF4D23">
        <w:rPr>
          <w:rFonts w:asciiTheme="minorHAnsi" w:hAnsiTheme="minorHAnsi"/>
          <w:szCs w:val="24"/>
        </w:rPr>
        <w:t>Strong capacity in data management and statistics</w:t>
      </w:r>
      <w:r>
        <w:rPr>
          <w:rFonts w:asciiTheme="minorHAnsi" w:hAnsiTheme="minorHAnsi"/>
          <w:szCs w:val="24"/>
        </w:rPr>
        <w:t>.</w:t>
      </w:r>
    </w:p>
    <w:p w14:paraId="0314990F" w14:textId="77777777" w:rsidR="00EF4D23" w:rsidRPr="00EF4D23" w:rsidRDefault="00EF4D23" w:rsidP="00EF4D23">
      <w:pPr>
        <w:pStyle w:val="ListParagraph"/>
        <w:numPr>
          <w:ilvl w:val="0"/>
          <w:numId w:val="39"/>
        </w:numPr>
        <w:spacing w:before="60" w:line="276" w:lineRule="auto"/>
        <w:jc w:val="both"/>
        <w:rPr>
          <w:rFonts w:asciiTheme="minorHAnsi" w:hAnsiTheme="minorHAnsi"/>
          <w:szCs w:val="24"/>
        </w:rPr>
      </w:pPr>
      <w:r w:rsidRPr="00EF4D23">
        <w:rPr>
          <w:rFonts w:asciiTheme="minorHAnsi" w:hAnsiTheme="minorHAnsi"/>
          <w:szCs w:val="24"/>
        </w:rPr>
        <w:t>Strong knowledge in the following software: ODK, ODK Aggregate, SPSS and STATA</w:t>
      </w:r>
      <w:r>
        <w:rPr>
          <w:rFonts w:asciiTheme="minorHAnsi" w:hAnsiTheme="minorHAnsi"/>
          <w:szCs w:val="24"/>
        </w:rPr>
        <w:t>.</w:t>
      </w:r>
    </w:p>
    <w:p w14:paraId="4840988F" w14:textId="77777777" w:rsidR="00EF4D23" w:rsidRPr="00EF4D23" w:rsidRDefault="00EF4D23" w:rsidP="00EF4D23">
      <w:pPr>
        <w:pStyle w:val="ListParagraph"/>
        <w:numPr>
          <w:ilvl w:val="0"/>
          <w:numId w:val="39"/>
        </w:numPr>
        <w:spacing w:before="60" w:line="276" w:lineRule="auto"/>
        <w:jc w:val="both"/>
        <w:rPr>
          <w:rFonts w:asciiTheme="minorHAnsi" w:hAnsiTheme="minorHAnsi"/>
          <w:szCs w:val="24"/>
        </w:rPr>
      </w:pPr>
      <w:r w:rsidRPr="00EF4D23">
        <w:rPr>
          <w:rFonts w:asciiTheme="minorHAnsi" w:hAnsiTheme="minorHAnsi"/>
          <w:szCs w:val="24"/>
        </w:rPr>
        <w:t>Strong interpersonal skills and a team oriented spirit.</w:t>
      </w:r>
    </w:p>
    <w:p w14:paraId="7129840F" w14:textId="77777777" w:rsidR="00EF4D23" w:rsidRPr="00EF4D23" w:rsidRDefault="00EF4D23" w:rsidP="00EF4D23">
      <w:pPr>
        <w:spacing w:before="60" w:line="276" w:lineRule="auto"/>
        <w:jc w:val="both"/>
        <w:rPr>
          <w:rFonts w:asciiTheme="minorHAnsi" w:hAnsiTheme="minorHAnsi"/>
          <w:sz w:val="22"/>
        </w:rPr>
      </w:pPr>
    </w:p>
    <w:p w14:paraId="60BC29AF" w14:textId="77777777" w:rsidR="00EF4D23" w:rsidRPr="00EF4D23" w:rsidRDefault="00EF4D23" w:rsidP="00EF4D23">
      <w:pPr>
        <w:autoSpaceDE w:val="0"/>
        <w:autoSpaceDN w:val="0"/>
        <w:adjustRightInd w:val="0"/>
        <w:spacing w:line="276" w:lineRule="auto"/>
        <w:jc w:val="both"/>
        <w:rPr>
          <w:rFonts w:asciiTheme="minorHAnsi" w:hAnsiTheme="minorHAnsi"/>
          <w:color w:val="000000"/>
          <w:sz w:val="22"/>
        </w:rPr>
      </w:pPr>
      <w:r w:rsidRPr="00EF4D23">
        <w:rPr>
          <w:rFonts w:asciiTheme="minorHAnsi" w:hAnsiTheme="minorHAnsi"/>
          <w:color w:val="000000"/>
          <w:sz w:val="22"/>
        </w:rPr>
        <w:t>In the technical proposal, the firm must also indicate the proposed staff and qualifications for each of the key managerial positions.</w:t>
      </w:r>
    </w:p>
    <w:p w14:paraId="2D9810B1" w14:textId="77777777" w:rsidR="00893B7C" w:rsidRPr="00893B7C" w:rsidRDefault="0025553E" w:rsidP="00893B7C">
      <w:pPr>
        <w:pStyle w:val="Heading1"/>
        <w:keepNext w:val="0"/>
        <w:pBdr>
          <w:bottom w:val="single" w:sz="12" w:space="1" w:color="365F91"/>
        </w:pBdr>
        <w:spacing w:before="600" w:after="80"/>
        <w:rPr>
          <w:rFonts w:ascii="Calibri" w:hAnsi="Calibri" w:cs="Times New Roman"/>
          <w:color w:val="4F81BD"/>
          <w:sz w:val="24"/>
        </w:rPr>
      </w:pPr>
      <w:r>
        <w:rPr>
          <w:rFonts w:ascii="Calibri" w:hAnsi="Calibri" w:cs="Times New Roman"/>
          <w:color w:val="4F81BD"/>
          <w:sz w:val="24"/>
        </w:rPr>
        <w:t>ESTIMATED LEVEL OF EFFORT</w:t>
      </w:r>
    </w:p>
    <w:p w14:paraId="3DC52247" w14:textId="77777777" w:rsidR="00310DB9" w:rsidRDefault="00310DB9" w:rsidP="00C37424">
      <w:pPr>
        <w:rPr>
          <w:rFonts w:asciiTheme="minorHAnsi" w:hAnsiTheme="minorHAnsi"/>
          <w:sz w:val="22"/>
        </w:rPr>
      </w:pPr>
    </w:p>
    <w:p w14:paraId="4EC0DEAD" w14:textId="77777777" w:rsidR="0025553E" w:rsidRDefault="0025553E" w:rsidP="00C37424">
      <w:pPr>
        <w:rPr>
          <w:rFonts w:asciiTheme="minorHAnsi" w:hAnsiTheme="minorHAnsi"/>
          <w:sz w:val="22"/>
        </w:rPr>
      </w:pPr>
    </w:p>
    <w:tbl>
      <w:tblPr>
        <w:tblW w:w="9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5"/>
        <w:gridCol w:w="1847"/>
        <w:gridCol w:w="1602"/>
      </w:tblGrid>
      <w:tr w:rsidR="0025553E" w:rsidRPr="0025553E" w14:paraId="66D59CA4" w14:textId="77777777" w:rsidTr="0025553E">
        <w:trPr>
          <w:jc w:val="center"/>
        </w:trPr>
        <w:tc>
          <w:tcPr>
            <w:tcW w:w="6255" w:type="dxa"/>
            <w:tcBorders>
              <w:top w:val="single" w:sz="4" w:space="0" w:color="auto"/>
              <w:left w:val="single" w:sz="4" w:space="0" w:color="auto"/>
              <w:bottom w:val="single" w:sz="4" w:space="0" w:color="auto"/>
              <w:right w:val="single" w:sz="4" w:space="0" w:color="auto"/>
            </w:tcBorders>
            <w:shd w:val="clear" w:color="auto" w:fill="DBE5F1"/>
            <w:hideMark/>
          </w:tcPr>
          <w:p w14:paraId="582B675E" w14:textId="77777777" w:rsidR="0025553E" w:rsidRPr="0025553E" w:rsidRDefault="0025553E">
            <w:pPr>
              <w:spacing w:line="276" w:lineRule="auto"/>
              <w:ind w:left="900"/>
              <w:jc w:val="center"/>
              <w:rPr>
                <w:rFonts w:asciiTheme="minorHAnsi" w:hAnsiTheme="minorHAnsi"/>
                <w:b/>
                <w:bCs/>
                <w:iCs/>
                <w:color w:val="000000"/>
                <w:sz w:val="22"/>
                <w:lang w:val="nl-NL" w:eastAsia="nl-NL"/>
              </w:rPr>
            </w:pPr>
            <w:r w:rsidRPr="0025553E">
              <w:rPr>
                <w:rFonts w:asciiTheme="minorHAnsi" w:hAnsiTheme="minorHAnsi"/>
                <w:b/>
                <w:bCs/>
                <w:iCs/>
                <w:color w:val="000000"/>
                <w:sz w:val="22"/>
              </w:rPr>
              <w:t>Deliverable</w:t>
            </w:r>
          </w:p>
        </w:tc>
        <w:tc>
          <w:tcPr>
            <w:tcW w:w="1847"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142956CB" w14:textId="77777777" w:rsidR="0025553E" w:rsidRPr="0025553E" w:rsidRDefault="0025553E">
            <w:pPr>
              <w:spacing w:line="276" w:lineRule="auto"/>
              <w:jc w:val="center"/>
              <w:rPr>
                <w:rFonts w:asciiTheme="minorHAnsi" w:hAnsiTheme="minorHAnsi"/>
                <w:b/>
                <w:bCs/>
                <w:iCs/>
                <w:color w:val="000000"/>
                <w:sz w:val="22"/>
                <w:lang w:val="nl-NL" w:eastAsia="nl-NL"/>
              </w:rPr>
            </w:pPr>
            <w:r w:rsidRPr="0025553E">
              <w:rPr>
                <w:rFonts w:asciiTheme="minorHAnsi" w:hAnsiTheme="minorHAnsi"/>
                <w:b/>
                <w:bCs/>
                <w:iCs/>
                <w:color w:val="000000"/>
                <w:sz w:val="22"/>
              </w:rPr>
              <w:t>Date</w:t>
            </w:r>
          </w:p>
        </w:tc>
        <w:tc>
          <w:tcPr>
            <w:tcW w:w="1602" w:type="dxa"/>
            <w:tcBorders>
              <w:top w:val="single" w:sz="4" w:space="0" w:color="auto"/>
              <w:left w:val="single" w:sz="4" w:space="0" w:color="auto"/>
              <w:bottom w:val="single" w:sz="4" w:space="0" w:color="auto"/>
              <w:right w:val="single" w:sz="4" w:space="0" w:color="auto"/>
            </w:tcBorders>
            <w:shd w:val="clear" w:color="auto" w:fill="DBE5F1"/>
            <w:vAlign w:val="center"/>
            <w:hideMark/>
          </w:tcPr>
          <w:p w14:paraId="10F374D4" w14:textId="77777777" w:rsidR="0025553E" w:rsidRPr="0025553E" w:rsidRDefault="0025553E">
            <w:pPr>
              <w:spacing w:line="276" w:lineRule="auto"/>
              <w:jc w:val="center"/>
              <w:rPr>
                <w:rFonts w:asciiTheme="minorHAnsi" w:hAnsiTheme="minorHAnsi"/>
                <w:b/>
                <w:bCs/>
                <w:iCs/>
                <w:color w:val="000000"/>
                <w:sz w:val="22"/>
                <w:lang w:val="nl-NL" w:eastAsia="nl-NL"/>
              </w:rPr>
            </w:pPr>
            <w:r w:rsidRPr="0025553E">
              <w:rPr>
                <w:rFonts w:asciiTheme="minorHAnsi" w:hAnsiTheme="minorHAnsi"/>
                <w:b/>
                <w:bCs/>
                <w:iCs/>
                <w:color w:val="000000"/>
                <w:sz w:val="22"/>
              </w:rPr>
              <w:t>Payment</w:t>
            </w:r>
          </w:p>
        </w:tc>
      </w:tr>
      <w:tr w:rsidR="0025553E" w:rsidRPr="0025553E" w14:paraId="32B1724E" w14:textId="77777777" w:rsidTr="0025553E">
        <w:trPr>
          <w:jc w:val="center"/>
        </w:trPr>
        <w:tc>
          <w:tcPr>
            <w:tcW w:w="6255" w:type="dxa"/>
            <w:tcBorders>
              <w:top w:val="single" w:sz="4" w:space="0" w:color="auto"/>
              <w:left w:val="single" w:sz="4" w:space="0" w:color="auto"/>
              <w:bottom w:val="single" w:sz="4" w:space="0" w:color="auto"/>
              <w:right w:val="single" w:sz="4" w:space="0" w:color="auto"/>
            </w:tcBorders>
            <w:hideMark/>
          </w:tcPr>
          <w:p w14:paraId="2BE71F30" w14:textId="77777777" w:rsidR="0025553E" w:rsidRPr="0025553E" w:rsidRDefault="0025553E">
            <w:pPr>
              <w:spacing w:line="276" w:lineRule="auto"/>
              <w:rPr>
                <w:rFonts w:asciiTheme="minorHAnsi" w:hAnsiTheme="minorHAnsi"/>
                <w:sz w:val="22"/>
                <w:lang w:val="nl-NL" w:eastAsia="nl-NL"/>
              </w:rPr>
            </w:pPr>
            <w:r w:rsidRPr="0025553E">
              <w:rPr>
                <w:rFonts w:asciiTheme="minorHAnsi" w:hAnsiTheme="minorHAnsi"/>
                <w:sz w:val="22"/>
              </w:rPr>
              <w:t>Signature of Contract</w:t>
            </w:r>
          </w:p>
        </w:tc>
        <w:tc>
          <w:tcPr>
            <w:tcW w:w="1847" w:type="dxa"/>
            <w:tcBorders>
              <w:top w:val="single" w:sz="4" w:space="0" w:color="auto"/>
              <w:left w:val="single" w:sz="4" w:space="0" w:color="auto"/>
              <w:bottom w:val="single" w:sz="4" w:space="0" w:color="auto"/>
              <w:right w:val="single" w:sz="4" w:space="0" w:color="auto"/>
            </w:tcBorders>
            <w:vAlign w:val="center"/>
            <w:hideMark/>
          </w:tcPr>
          <w:p w14:paraId="5CA44595"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Month 0</w:t>
            </w:r>
          </w:p>
        </w:tc>
        <w:tc>
          <w:tcPr>
            <w:tcW w:w="1602" w:type="dxa"/>
            <w:tcBorders>
              <w:top w:val="single" w:sz="4" w:space="0" w:color="auto"/>
              <w:left w:val="single" w:sz="4" w:space="0" w:color="auto"/>
              <w:bottom w:val="single" w:sz="4" w:space="0" w:color="auto"/>
              <w:right w:val="single" w:sz="4" w:space="0" w:color="auto"/>
            </w:tcBorders>
            <w:vAlign w:val="center"/>
            <w:hideMark/>
          </w:tcPr>
          <w:p w14:paraId="250E5A78"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10%</w:t>
            </w:r>
          </w:p>
        </w:tc>
      </w:tr>
      <w:tr w:rsidR="0025553E" w:rsidRPr="0025553E" w14:paraId="30F44B6A" w14:textId="77777777" w:rsidTr="0025553E">
        <w:trPr>
          <w:jc w:val="center"/>
        </w:trPr>
        <w:tc>
          <w:tcPr>
            <w:tcW w:w="6255" w:type="dxa"/>
            <w:tcBorders>
              <w:top w:val="single" w:sz="4" w:space="0" w:color="auto"/>
              <w:left w:val="single" w:sz="4" w:space="0" w:color="auto"/>
              <w:bottom w:val="single" w:sz="4" w:space="0" w:color="auto"/>
              <w:right w:val="single" w:sz="4" w:space="0" w:color="auto"/>
            </w:tcBorders>
            <w:hideMark/>
          </w:tcPr>
          <w:p w14:paraId="5C7AE377" w14:textId="77777777" w:rsidR="0025553E" w:rsidRPr="0025553E" w:rsidRDefault="0025553E">
            <w:pPr>
              <w:spacing w:line="276" w:lineRule="auto"/>
              <w:rPr>
                <w:rFonts w:asciiTheme="minorHAnsi" w:hAnsiTheme="minorHAnsi"/>
                <w:sz w:val="22"/>
                <w:lang w:val="nl-NL" w:eastAsia="nl-NL"/>
              </w:rPr>
            </w:pPr>
            <w:r w:rsidRPr="0025553E">
              <w:rPr>
                <w:rFonts w:asciiTheme="minorHAnsi" w:hAnsiTheme="minorHAnsi"/>
                <w:iCs/>
                <w:sz w:val="22"/>
              </w:rPr>
              <w:t xml:space="preserve">Activity 1: </w:t>
            </w:r>
            <w:r w:rsidRPr="0025553E">
              <w:rPr>
                <w:rFonts w:asciiTheme="minorHAnsi" w:hAnsiTheme="minorHAnsi"/>
                <w:sz w:val="22"/>
              </w:rPr>
              <w:t>Technical support for development of tablet-based survey instruments and survey logistics</w:t>
            </w:r>
            <w:r w:rsidRPr="0025553E">
              <w:rPr>
                <w:rFonts w:asciiTheme="minorHAnsi" w:hAnsiTheme="minorHAnsi"/>
                <w:iCs/>
                <w:sz w:val="22"/>
              </w:rPr>
              <w:t xml:space="preserve"> </w:t>
            </w:r>
          </w:p>
        </w:tc>
        <w:tc>
          <w:tcPr>
            <w:tcW w:w="1847" w:type="dxa"/>
            <w:tcBorders>
              <w:top w:val="single" w:sz="4" w:space="0" w:color="auto"/>
              <w:left w:val="single" w:sz="4" w:space="0" w:color="auto"/>
              <w:bottom w:val="single" w:sz="4" w:space="0" w:color="auto"/>
              <w:right w:val="single" w:sz="4" w:space="0" w:color="auto"/>
            </w:tcBorders>
            <w:vAlign w:val="center"/>
            <w:hideMark/>
          </w:tcPr>
          <w:p w14:paraId="717530DB"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Month 1</w:t>
            </w:r>
          </w:p>
        </w:tc>
        <w:tc>
          <w:tcPr>
            <w:tcW w:w="1602" w:type="dxa"/>
            <w:vMerge w:val="restart"/>
            <w:tcBorders>
              <w:top w:val="single" w:sz="4" w:space="0" w:color="auto"/>
              <w:left w:val="single" w:sz="4" w:space="0" w:color="auto"/>
              <w:bottom w:val="single" w:sz="4" w:space="0" w:color="auto"/>
              <w:right w:val="single" w:sz="4" w:space="0" w:color="auto"/>
            </w:tcBorders>
            <w:vAlign w:val="center"/>
            <w:hideMark/>
          </w:tcPr>
          <w:p w14:paraId="37E03F97"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40%</w:t>
            </w:r>
          </w:p>
        </w:tc>
      </w:tr>
      <w:tr w:rsidR="0025553E" w:rsidRPr="0025553E" w14:paraId="577A24FB" w14:textId="77777777" w:rsidTr="0025553E">
        <w:trPr>
          <w:trHeight w:val="418"/>
          <w:jc w:val="center"/>
        </w:trPr>
        <w:tc>
          <w:tcPr>
            <w:tcW w:w="6255" w:type="dxa"/>
            <w:tcBorders>
              <w:top w:val="single" w:sz="4" w:space="0" w:color="auto"/>
              <w:left w:val="single" w:sz="4" w:space="0" w:color="auto"/>
              <w:bottom w:val="single" w:sz="4" w:space="0" w:color="auto"/>
              <w:right w:val="single" w:sz="4" w:space="0" w:color="auto"/>
            </w:tcBorders>
            <w:hideMark/>
          </w:tcPr>
          <w:p w14:paraId="26FDE6E5" w14:textId="77777777" w:rsidR="0025553E" w:rsidRPr="0025553E" w:rsidRDefault="0025553E">
            <w:pPr>
              <w:spacing w:line="276" w:lineRule="auto"/>
              <w:rPr>
                <w:rFonts w:asciiTheme="minorHAnsi" w:hAnsiTheme="minorHAnsi"/>
                <w:sz w:val="22"/>
                <w:lang w:val="nl-NL" w:eastAsia="nl-NL"/>
              </w:rPr>
            </w:pPr>
            <w:r w:rsidRPr="0025553E">
              <w:rPr>
                <w:rFonts w:asciiTheme="minorHAnsi" w:hAnsiTheme="minorHAnsi"/>
                <w:sz w:val="22"/>
              </w:rPr>
              <w:t>Activity 2: Training for use of the Survey System software</w:t>
            </w:r>
          </w:p>
        </w:tc>
        <w:tc>
          <w:tcPr>
            <w:tcW w:w="1847" w:type="dxa"/>
            <w:tcBorders>
              <w:top w:val="single" w:sz="4" w:space="0" w:color="auto"/>
              <w:left w:val="single" w:sz="4" w:space="0" w:color="auto"/>
              <w:bottom w:val="single" w:sz="4" w:space="0" w:color="auto"/>
              <w:right w:val="single" w:sz="4" w:space="0" w:color="auto"/>
            </w:tcBorders>
            <w:vAlign w:val="center"/>
            <w:hideMark/>
          </w:tcPr>
          <w:p w14:paraId="758F9A4F"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Month 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FAE9B" w14:textId="77777777" w:rsidR="0025553E" w:rsidRPr="0025553E" w:rsidRDefault="0025553E">
            <w:pPr>
              <w:rPr>
                <w:rFonts w:asciiTheme="minorHAnsi" w:hAnsiTheme="minorHAnsi"/>
                <w:bCs/>
                <w:iCs/>
                <w:color w:val="000000"/>
                <w:sz w:val="22"/>
                <w:lang w:val="nl-NL" w:eastAsia="nl-NL"/>
              </w:rPr>
            </w:pPr>
          </w:p>
        </w:tc>
      </w:tr>
      <w:tr w:rsidR="0025553E" w:rsidRPr="0025553E" w14:paraId="4F1EDAB3" w14:textId="77777777" w:rsidTr="0025553E">
        <w:trPr>
          <w:trHeight w:val="598"/>
          <w:jc w:val="center"/>
        </w:trPr>
        <w:tc>
          <w:tcPr>
            <w:tcW w:w="6255" w:type="dxa"/>
            <w:tcBorders>
              <w:top w:val="single" w:sz="4" w:space="0" w:color="auto"/>
              <w:left w:val="single" w:sz="4" w:space="0" w:color="auto"/>
              <w:bottom w:val="single" w:sz="4" w:space="0" w:color="auto"/>
              <w:right w:val="single" w:sz="4" w:space="0" w:color="auto"/>
            </w:tcBorders>
            <w:hideMark/>
          </w:tcPr>
          <w:p w14:paraId="03E9A5A0" w14:textId="29AB0882" w:rsidR="0025553E" w:rsidRPr="0025553E" w:rsidRDefault="0025553E" w:rsidP="00CC397B">
            <w:pPr>
              <w:spacing w:line="276" w:lineRule="auto"/>
              <w:rPr>
                <w:rFonts w:asciiTheme="minorHAnsi" w:hAnsiTheme="minorHAnsi"/>
                <w:sz w:val="22"/>
                <w:lang w:val="nl-NL" w:eastAsia="nl-NL"/>
              </w:rPr>
            </w:pPr>
            <w:r w:rsidRPr="0025553E">
              <w:rPr>
                <w:rFonts w:asciiTheme="minorHAnsi" w:hAnsiTheme="minorHAnsi"/>
                <w:iCs/>
                <w:sz w:val="22"/>
              </w:rPr>
              <w:t xml:space="preserve">Activity 3: </w:t>
            </w:r>
            <w:r w:rsidR="00CC397B">
              <w:rPr>
                <w:rFonts w:asciiTheme="minorHAnsi" w:hAnsiTheme="minorHAnsi"/>
                <w:iCs/>
                <w:sz w:val="22"/>
              </w:rPr>
              <w:t>I</w:t>
            </w:r>
            <w:r w:rsidRPr="0025553E">
              <w:rPr>
                <w:rFonts w:asciiTheme="minorHAnsi" w:hAnsiTheme="minorHAnsi"/>
                <w:iCs/>
                <w:sz w:val="22"/>
              </w:rPr>
              <w:t>nterviewer manual, training and pilot test phases</w:t>
            </w:r>
          </w:p>
        </w:tc>
        <w:tc>
          <w:tcPr>
            <w:tcW w:w="1847" w:type="dxa"/>
            <w:tcBorders>
              <w:top w:val="single" w:sz="4" w:space="0" w:color="auto"/>
              <w:left w:val="single" w:sz="4" w:space="0" w:color="auto"/>
              <w:bottom w:val="single" w:sz="4" w:space="0" w:color="auto"/>
              <w:right w:val="single" w:sz="4" w:space="0" w:color="auto"/>
            </w:tcBorders>
            <w:vAlign w:val="center"/>
            <w:hideMark/>
          </w:tcPr>
          <w:p w14:paraId="3583A8F1"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 xml:space="preserve">Month </w:t>
            </w:r>
            <w:r w:rsidR="00EF4D23">
              <w:rPr>
                <w:rFonts w:asciiTheme="minorHAnsi" w:hAnsiTheme="minorHAnsi"/>
                <w:bCs/>
                <w:iCs/>
                <w:color w:val="000000"/>
                <w:sz w:val="22"/>
              </w:rPr>
              <w:t>2</w:t>
            </w:r>
          </w:p>
        </w:tc>
        <w:tc>
          <w:tcPr>
            <w:tcW w:w="1602" w:type="dxa"/>
            <w:vMerge w:val="restart"/>
            <w:tcBorders>
              <w:top w:val="single" w:sz="4" w:space="0" w:color="auto"/>
              <w:left w:val="single" w:sz="4" w:space="0" w:color="auto"/>
              <w:bottom w:val="single" w:sz="4" w:space="0" w:color="auto"/>
              <w:right w:val="single" w:sz="4" w:space="0" w:color="auto"/>
            </w:tcBorders>
            <w:vAlign w:val="center"/>
            <w:hideMark/>
          </w:tcPr>
          <w:p w14:paraId="16F4F9C6"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20%</w:t>
            </w:r>
          </w:p>
        </w:tc>
      </w:tr>
      <w:tr w:rsidR="0025553E" w:rsidRPr="0025553E" w14:paraId="4DBF1A78" w14:textId="77777777" w:rsidTr="0025553E">
        <w:trPr>
          <w:trHeight w:val="265"/>
          <w:jc w:val="center"/>
        </w:trPr>
        <w:tc>
          <w:tcPr>
            <w:tcW w:w="6255" w:type="dxa"/>
            <w:tcBorders>
              <w:top w:val="single" w:sz="4" w:space="0" w:color="auto"/>
              <w:left w:val="single" w:sz="4" w:space="0" w:color="auto"/>
              <w:bottom w:val="single" w:sz="4" w:space="0" w:color="auto"/>
              <w:right w:val="single" w:sz="4" w:space="0" w:color="auto"/>
            </w:tcBorders>
            <w:hideMark/>
          </w:tcPr>
          <w:p w14:paraId="6DB8E096" w14:textId="21721C79" w:rsidR="0025553E" w:rsidRPr="0025553E" w:rsidRDefault="0025553E" w:rsidP="00CC397B">
            <w:pPr>
              <w:spacing w:line="276" w:lineRule="auto"/>
              <w:rPr>
                <w:rFonts w:asciiTheme="minorHAnsi" w:hAnsiTheme="minorHAnsi"/>
                <w:bCs/>
                <w:iCs/>
                <w:sz w:val="22"/>
                <w:lang w:val="nl-NL" w:eastAsia="nl-NL"/>
              </w:rPr>
            </w:pPr>
            <w:r w:rsidRPr="0025553E">
              <w:rPr>
                <w:rFonts w:asciiTheme="minorHAnsi" w:hAnsiTheme="minorHAnsi"/>
                <w:sz w:val="22"/>
              </w:rPr>
              <w:t xml:space="preserve">Activity 4: Technical support implementation of the </w:t>
            </w:r>
            <w:r w:rsidR="00CC397B">
              <w:rPr>
                <w:rFonts w:asciiTheme="minorHAnsi" w:hAnsiTheme="minorHAnsi"/>
                <w:sz w:val="22"/>
              </w:rPr>
              <w:t>midline</w:t>
            </w:r>
            <w:r w:rsidR="00CC397B" w:rsidRPr="0025553E">
              <w:rPr>
                <w:rFonts w:asciiTheme="minorHAnsi" w:hAnsiTheme="minorHAnsi"/>
                <w:sz w:val="22"/>
              </w:rPr>
              <w:t xml:space="preserve"> </w:t>
            </w:r>
            <w:r w:rsidRPr="0025553E">
              <w:rPr>
                <w:rFonts w:asciiTheme="minorHAnsi" w:hAnsiTheme="minorHAnsi"/>
                <w:sz w:val="22"/>
              </w:rPr>
              <w:t>survey data collection and finalization of data set</w:t>
            </w:r>
          </w:p>
        </w:tc>
        <w:tc>
          <w:tcPr>
            <w:tcW w:w="1847" w:type="dxa"/>
            <w:tcBorders>
              <w:top w:val="single" w:sz="4" w:space="0" w:color="auto"/>
              <w:left w:val="single" w:sz="4" w:space="0" w:color="auto"/>
              <w:bottom w:val="single" w:sz="4" w:space="0" w:color="auto"/>
              <w:right w:val="single" w:sz="4" w:space="0" w:color="auto"/>
            </w:tcBorders>
            <w:vAlign w:val="center"/>
            <w:hideMark/>
          </w:tcPr>
          <w:p w14:paraId="688CD958" w14:textId="77777777" w:rsidR="0025553E" w:rsidRPr="0025553E" w:rsidRDefault="00EF4D23">
            <w:pPr>
              <w:spacing w:line="276" w:lineRule="auto"/>
              <w:jc w:val="center"/>
              <w:rPr>
                <w:rFonts w:asciiTheme="minorHAnsi" w:hAnsiTheme="minorHAnsi"/>
                <w:bCs/>
                <w:iCs/>
                <w:color w:val="000000"/>
                <w:sz w:val="22"/>
                <w:lang w:val="nl-NL" w:eastAsia="nl-NL"/>
              </w:rPr>
            </w:pPr>
            <w:r>
              <w:rPr>
                <w:rFonts w:asciiTheme="minorHAnsi" w:hAnsiTheme="minorHAnsi"/>
                <w:bCs/>
                <w:iCs/>
                <w:color w:val="000000"/>
                <w:sz w:val="22"/>
              </w:rPr>
              <w:t>Month 3</w:t>
            </w:r>
            <w:r w:rsidR="0025553E" w:rsidRPr="0025553E">
              <w:rPr>
                <w:rFonts w:asciiTheme="minorHAnsi" w:hAnsiTheme="minorHAnsi"/>
                <w:bCs/>
                <w:iCs/>
                <w:color w:val="000000"/>
                <w:sz w:val="22"/>
              </w:rPr>
              <w:t>-</w:t>
            </w:r>
            <w:r>
              <w:rPr>
                <w:rFonts w:asciiTheme="minorHAnsi" w:hAnsiTheme="minorHAnsi"/>
                <w:bCs/>
                <w:iCs/>
                <w:color w:val="000000"/>
                <w:sz w:val="22"/>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7AF2BC" w14:textId="77777777" w:rsidR="0025553E" w:rsidRPr="0025553E" w:rsidRDefault="0025553E">
            <w:pPr>
              <w:rPr>
                <w:rFonts w:asciiTheme="minorHAnsi" w:hAnsiTheme="minorHAnsi"/>
                <w:bCs/>
                <w:iCs/>
                <w:color w:val="000000"/>
                <w:sz w:val="22"/>
                <w:lang w:val="nl-NL" w:eastAsia="nl-NL"/>
              </w:rPr>
            </w:pPr>
          </w:p>
        </w:tc>
      </w:tr>
      <w:tr w:rsidR="0025553E" w:rsidRPr="0025553E" w14:paraId="6AAFC3C1" w14:textId="77777777" w:rsidTr="0025553E">
        <w:trPr>
          <w:trHeight w:val="265"/>
          <w:jc w:val="center"/>
        </w:trPr>
        <w:tc>
          <w:tcPr>
            <w:tcW w:w="6255" w:type="dxa"/>
            <w:tcBorders>
              <w:top w:val="single" w:sz="4" w:space="0" w:color="auto"/>
              <w:left w:val="single" w:sz="4" w:space="0" w:color="auto"/>
              <w:bottom w:val="single" w:sz="4" w:space="0" w:color="auto"/>
              <w:right w:val="single" w:sz="4" w:space="0" w:color="auto"/>
            </w:tcBorders>
            <w:hideMark/>
          </w:tcPr>
          <w:p w14:paraId="37675752" w14:textId="77777777" w:rsidR="0025553E" w:rsidRPr="0025553E" w:rsidRDefault="0025553E">
            <w:pPr>
              <w:spacing w:line="276" w:lineRule="auto"/>
              <w:rPr>
                <w:rFonts w:asciiTheme="minorHAnsi" w:hAnsiTheme="minorHAnsi"/>
                <w:sz w:val="22"/>
                <w:lang w:val="nl-NL" w:eastAsia="nl-NL"/>
              </w:rPr>
            </w:pPr>
            <w:r w:rsidRPr="0025553E">
              <w:rPr>
                <w:rFonts w:asciiTheme="minorHAnsi" w:hAnsiTheme="minorHAnsi"/>
                <w:sz w:val="22"/>
              </w:rPr>
              <w:t>Activity 5: Finalization of data set</w:t>
            </w:r>
          </w:p>
        </w:tc>
        <w:tc>
          <w:tcPr>
            <w:tcW w:w="1847" w:type="dxa"/>
            <w:tcBorders>
              <w:top w:val="single" w:sz="4" w:space="0" w:color="auto"/>
              <w:left w:val="single" w:sz="4" w:space="0" w:color="auto"/>
              <w:bottom w:val="single" w:sz="4" w:space="0" w:color="auto"/>
              <w:right w:val="single" w:sz="4" w:space="0" w:color="auto"/>
            </w:tcBorders>
            <w:vAlign w:val="center"/>
            <w:hideMark/>
          </w:tcPr>
          <w:p w14:paraId="128DA395"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 xml:space="preserve">Month </w:t>
            </w:r>
            <w:r w:rsidR="00EF4D23">
              <w:rPr>
                <w:rFonts w:asciiTheme="minorHAnsi" w:hAnsiTheme="minorHAnsi"/>
                <w:bCs/>
                <w:iCs/>
                <w:color w:val="000000"/>
                <w:sz w:val="22"/>
              </w:rPr>
              <w:t>5</w:t>
            </w:r>
          </w:p>
        </w:tc>
        <w:tc>
          <w:tcPr>
            <w:tcW w:w="1602" w:type="dxa"/>
            <w:tcBorders>
              <w:top w:val="single" w:sz="4" w:space="0" w:color="auto"/>
              <w:left w:val="single" w:sz="4" w:space="0" w:color="auto"/>
              <w:bottom w:val="single" w:sz="4" w:space="0" w:color="auto"/>
              <w:right w:val="single" w:sz="4" w:space="0" w:color="auto"/>
            </w:tcBorders>
            <w:vAlign w:val="center"/>
            <w:hideMark/>
          </w:tcPr>
          <w:p w14:paraId="5EC946D8" w14:textId="77777777" w:rsidR="0025553E" w:rsidRPr="0025553E" w:rsidRDefault="0025553E">
            <w:pPr>
              <w:spacing w:line="276" w:lineRule="auto"/>
              <w:jc w:val="center"/>
              <w:rPr>
                <w:rFonts w:asciiTheme="minorHAnsi" w:hAnsiTheme="minorHAnsi"/>
                <w:bCs/>
                <w:iCs/>
                <w:color w:val="000000"/>
                <w:sz w:val="22"/>
                <w:lang w:val="nl-NL" w:eastAsia="nl-NL"/>
              </w:rPr>
            </w:pPr>
            <w:r w:rsidRPr="0025553E">
              <w:rPr>
                <w:rFonts w:asciiTheme="minorHAnsi" w:hAnsiTheme="minorHAnsi"/>
                <w:bCs/>
                <w:iCs/>
                <w:color w:val="000000"/>
                <w:sz w:val="22"/>
              </w:rPr>
              <w:t>30%</w:t>
            </w:r>
          </w:p>
        </w:tc>
      </w:tr>
    </w:tbl>
    <w:p w14:paraId="73F5A38B" w14:textId="77777777" w:rsidR="0025553E" w:rsidRPr="00D468F9" w:rsidRDefault="0025553E" w:rsidP="00C37424">
      <w:pPr>
        <w:rPr>
          <w:rFonts w:asciiTheme="minorHAnsi" w:hAnsiTheme="minorHAnsi"/>
          <w:sz w:val="22"/>
        </w:rPr>
      </w:pPr>
    </w:p>
    <w:p w14:paraId="319002EF" w14:textId="77777777" w:rsidR="00310DB9" w:rsidRPr="00C37424" w:rsidRDefault="00D468F9" w:rsidP="00C37424">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Pr>
          <w:rFonts w:asciiTheme="minorHAnsi" w:hAnsiTheme="minorHAnsi" w:cs="Times New Roman"/>
          <w:color w:val="4F81BD" w:themeColor="accent1"/>
          <w:sz w:val="24"/>
        </w:rPr>
        <w:t>SUPERVISION</w:t>
      </w:r>
    </w:p>
    <w:p w14:paraId="7CCD52FA" w14:textId="77777777" w:rsidR="00EF4D23" w:rsidRPr="00D468F9" w:rsidRDefault="00EF4D23" w:rsidP="00D468F9">
      <w:pPr>
        <w:rPr>
          <w:rFonts w:asciiTheme="minorHAnsi" w:hAnsiTheme="minorHAnsi"/>
          <w:sz w:val="22"/>
          <w:szCs w:val="22"/>
        </w:rPr>
      </w:pPr>
      <w:r w:rsidRPr="0025553E">
        <w:rPr>
          <w:rFonts w:asciiTheme="minorHAnsi" w:hAnsiTheme="minorHAnsi"/>
          <w:sz w:val="22"/>
          <w:szCs w:val="22"/>
        </w:rPr>
        <w:t>The firm will work under the guidance of the Task Team Leader</w:t>
      </w:r>
      <w:r>
        <w:rPr>
          <w:rFonts w:asciiTheme="minorHAnsi" w:hAnsiTheme="minorHAnsi"/>
          <w:sz w:val="22"/>
          <w:szCs w:val="22"/>
        </w:rPr>
        <w:t xml:space="preserve"> (Rifat Hasan, AFTHW)</w:t>
      </w:r>
      <w:r w:rsidRPr="0025553E">
        <w:rPr>
          <w:rFonts w:asciiTheme="minorHAnsi" w:hAnsiTheme="minorHAnsi"/>
          <w:sz w:val="22"/>
          <w:szCs w:val="22"/>
        </w:rPr>
        <w:t xml:space="preserve"> and Principal Investigator </w:t>
      </w:r>
      <w:r>
        <w:rPr>
          <w:rFonts w:asciiTheme="minorHAnsi" w:hAnsiTheme="minorHAnsi"/>
          <w:sz w:val="22"/>
          <w:szCs w:val="22"/>
        </w:rPr>
        <w:t>of</w:t>
      </w:r>
      <w:r w:rsidRPr="0025553E">
        <w:rPr>
          <w:rFonts w:asciiTheme="minorHAnsi" w:hAnsiTheme="minorHAnsi"/>
          <w:sz w:val="22"/>
          <w:szCs w:val="22"/>
        </w:rPr>
        <w:t xml:space="preserve"> </w:t>
      </w:r>
      <w:r>
        <w:rPr>
          <w:rFonts w:asciiTheme="minorHAnsi" w:hAnsiTheme="minorHAnsi"/>
          <w:sz w:val="22"/>
          <w:szCs w:val="22"/>
        </w:rPr>
        <w:t>The Gambia R</w:t>
      </w:r>
      <w:r w:rsidRPr="0025553E">
        <w:rPr>
          <w:rFonts w:asciiTheme="minorHAnsi" w:hAnsiTheme="minorHAnsi"/>
          <w:sz w:val="22"/>
          <w:szCs w:val="22"/>
        </w:rPr>
        <w:t xml:space="preserve">BF </w:t>
      </w:r>
      <w:r>
        <w:rPr>
          <w:rFonts w:asciiTheme="minorHAnsi" w:hAnsiTheme="minorHAnsi"/>
          <w:sz w:val="22"/>
          <w:szCs w:val="22"/>
        </w:rPr>
        <w:t>IE</w:t>
      </w:r>
      <w:r w:rsidRPr="0025553E">
        <w:rPr>
          <w:rFonts w:asciiTheme="minorHAnsi" w:hAnsiTheme="minorHAnsi"/>
          <w:sz w:val="22"/>
          <w:szCs w:val="22"/>
        </w:rPr>
        <w:t xml:space="preserve"> team at the World Bank</w:t>
      </w:r>
      <w:r>
        <w:rPr>
          <w:rFonts w:asciiTheme="minorHAnsi" w:hAnsiTheme="minorHAnsi"/>
          <w:sz w:val="22"/>
          <w:szCs w:val="22"/>
        </w:rPr>
        <w:t xml:space="preserve"> and in close collaboration with the Evaluation Coordinator of the IE</w:t>
      </w:r>
      <w:r w:rsidRPr="0025553E">
        <w:rPr>
          <w:rFonts w:asciiTheme="minorHAnsi" w:hAnsiTheme="minorHAnsi"/>
          <w:sz w:val="22"/>
          <w:szCs w:val="22"/>
        </w:rPr>
        <w:t>.</w:t>
      </w:r>
      <w:r>
        <w:rPr>
          <w:rFonts w:asciiTheme="minorHAnsi" w:hAnsiTheme="minorHAnsi"/>
          <w:sz w:val="22"/>
          <w:szCs w:val="22"/>
        </w:rPr>
        <w:t xml:space="preserve">  </w:t>
      </w:r>
      <w:r w:rsidRPr="00C37424">
        <w:rPr>
          <w:rFonts w:asciiTheme="minorHAnsi" w:hAnsiTheme="minorHAnsi"/>
          <w:sz w:val="22"/>
          <w:szCs w:val="22"/>
        </w:rPr>
        <w:t xml:space="preserve">The </w:t>
      </w:r>
      <w:r>
        <w:rPr>
          <w:rFonts w:asciiTheme="minorHAnsi" w:hAnsiTheme="minorHAnsi"/>
          <w:sz w:val="22"/>
          <w:szCs w:val="22"/>
        </w:rPr>
        <w:t>firm</w:t>
      </w:r>
      <w:r w:rsidRPr="00C37424">
        <w:rPr>
          <w:rFonts w:asciiTheme="minorHAnsi" w:hAnsiTheme="minorHAnsi"/>
          <w:sz w:val="22"/>
          <w:szCs w:val="22"/>
        </w:rPr>
        <w:t xml:space="preserve"> is obligated to submit to the World Bank the output outlined in this Terms of Reference within one week of completing the assignment. </w:t>
      </w:r>
      <w:r w:rsidRPr="0025553E">
        <w:rPr>
          <w:rFonts w:asciiTheme="minorHAnsi" w:hAnsiTheme="minorHAnsi"/>
          <w:sz w:val="22"/>
          <w:szCs w:val="22"/>
        </w:rPr>
        <w:t xml:space="preserve"> All deliverables will be approved by the impact evaluation team.</w:t>
      </w:r>
    </w:p>
    <w:p w14:paraId="6BF53DF3" w14:textId="77777777" w:rsidR="00D468F9" w:rsidRPr="00C37424" w:rsidRDefault="00D468F9" w:rsidP="00D468F9">
      <w:pPr>
        <w:pStyle w:val="Heading1"/>
        <w:keepNext w:val="0"/>
        <w:pBdr>
          <w:bottom w:val="single" w:sz="12" w:space="1" w:color="365F91" w:themeColor="accent1" w:themeShade="BF"/>
        </w:pBdr>
        <w:spacing w:before="600" w:after="80"/>
        <w:rPr>
          <w:rFonts w:asciiTheme="minorHAnsi" w:hAnsiTheme="minorHAnsi" w:cs="Times New Roman"/>
          <w:color w:val="4F81BD" w:themeColor="accent1"/>
          <w:sz w:val="24"/>
        </w:rPr>
      </w:pPr>
      <w:r>
        <w:rPr>
          <w:rFonts w:asciiTheme="minorHAnsi" w:hAnsiTheme="minorHAnsi" w:cs="Times New Roman"/>
          <w:color w:val="4F81BD" w:themeColor="accent1"/>
          <w:sz w:val="24"/>
        </w:rPr>
        <w:lastRenderedPageBreak/>
        <w:t>TIMELINE</w:t>
      </w:r>
    </w:p>
    <w:p w14:paraId="3A567A4E" w14:textId="489FB59F" w:rsidR="00FD77BA" w:rsidRDefault="00D468F9" w:rsidP="00346A09">
      <w:pPr>
        <w:rPr>
          <w:rFonts w:asciiTheme="minorHAnsi" w:hAnsiTheme="minorHAnsi"/>
          <w:sz w:val="22"/>
        </w:rPr>
      </w:pPr>
      <w:r w:rsidRPr="00D468F9">
        <w:rPr>
          <w:rFonts w:asciiTheme="minorHAnsi" w:hAnsiTheme="minorHAnsi"/>
          <w:sz w:val="22"/>
        </w:rPr>
        <w:t xml:space="preserve">This consultancy will begin </w:t>
      </w:r>
      <w:r w:rsidR="00850C81">
        <w:rPr>
          <w:rFonts w:asciiTheme="minorHAnsi" w:hAnsiTheme="minorHAnsi"/>
          <w:sz w:val="22"/>
        </w:rPr>
        <w:t>May</w:t>
      </w:r>
      <w:r w:rsidR="00CC397B">
        <w:rPr>
          <w:rFonts w:asciiTheme="minorHAnsi" w:hAnsiTheme="minorHAnsi"/>
          <w:sz w:val="22"/>
        </w:rPr>
        <w:t xml:space="preserve"> 1</w:t>
      </w:r>
      <w:r>
        <w:rPr>
          <w:rFonts w:asciiTheme="minorHAnsi" w:hAnsiTheme="minorHAnsi"/>
          <w:sz w:val="22"/>
        </w:rPr>
        <w:t xml:space="preserve">, </w:t>
      </w:r>
      <w:r w:rsidR="00CC397B">
        <w:rPr>
          <w:rFonts w:asciiTheme="minorHAnsi" w:hAnsiTheme="minorHAnsi"/>
          <w:sz w:val="22"/>
        </w:rPr>
        <w:t>2016</w:t>
      </w:r>
      <w:r w:rsidR="00CC397B" w:rsidRPr="00D468F9">
        <w:rPr>
          <w:rFonts w:asciiTheme="minorHAnsi" w:hAnsiTheme="minorHAnsi"/>
          <w:sz w:val="22"/>
        </w:rPr>
        <w:t xml:space="preserve"> </w:t>
      </w:r>
      <w:r w:rsidRPr="00D468F9">
        <w:rPr>
          <w:rFonts w:asciiTheme="minorHAnsi" w:hAnsiTheme="minorHAnsi"/>
          <w:sz w:val="22"/>
        </w:rPr>
        <w:t xml:space="preserve">and conclude with the completed </w:t>
      </w:r>
      <w:r>
        <w:rPr>
          <w:rFonts w:asciiTheme="minorHAnsi" w:hAnsiTheme="minorHAnsi"/>
          <w:sz w:val="22"/>
        </w:rPr>
        <w:t xml:space="preserve">report </w:t>
      </w:r>
      <w:r w:rsidRPr="00D468F9">
        <w:rPr>
          <w:rFonts w:asciiTheme="minorHAnsi" w:hAnsiTheme="minorHAnsi"/>
          <w:sz w:val="22"/>
        </w:rPr>
        <w:t xml:space="preserve">by </w:t>
      </w:r>
      <w:r w:rsidR="00CC397B">
        <w:rPr>
          <w:rFonts w:asciiTheme="minorHAnsi" w:hAnsiTheme="minorHAnsi"/>
          <w:sz w:val="22"/>
        </w:rPr>
        <w:t>December</w:t>
      </w:r>
      <w:r w:rsidR="00CC397B" w:rsidRPr="00D468F9">
        <w:rPr>
          <w:rFonts w:asciiTheme="minorHAnsi" w:hAnsiTheme="minorHAnsi"/>
          <w:sz w:val="22"/>
        </w:rPr>
        <w:t xml:space="preserve"> </w:t>
      </w:r>
      <w:r w:rsidRPr="00D468F9">
        <w:rPr>
          <w:rFonts w:asciiTheme="minorHAnsi" w:hAnsiTheme="minorHAnsi"/>
          <w:sz w:val="22"/>
        </w:rPr>
        <w:t xml:space="preserve">31, </w:t>
      </w:r>
      <w:r w:rsidR="00CC397B" w:rsidRPr="00D468F9">
        <w:rPr>
          <w:rFonts w:asciiTheme="minorHAnsi" w:hAnsiTheme="minorHAnsi"/>
          <w:sz w:val="22"/>
        </w:rPr>
        <w:t>201</w:t>
      </w:r>
      <w:r w:rsidR="00CC397B">
        <w:rPr>
          <w:rFonts w:asciiTheme="minorHAnsi" w:hAnsiTheme="minorHAnsi"/>
          <w:sz w:val="22"/>
        </w:rPr>
        <w:t>6</w:t>
      </w:r>
      <w:r w:rsidRPr="00D468F9">
        <w:rPr>
          <w:rFonts w:asciiTheme="minorHAnsi" w:hAnsiTheme="minorHAnsi"/>
          <w:sz w:val="22"/>
        </w:rPr>
        <w:t xml:space="preserve">.   </w:t>
      </w:r>
    </w:p>
    <w:p w14:paraId="162C6E45" w14:textId="40524BD9" w:rsidR="00FD77BA" w:rsidRPr="00CC397B" w:rsidRDefault="00FD77BA" w:rsidP="00803FE2">
      <w:pPr>
        <w:spacing w:before="100" w:beforeAutospacing="1" w:after="100" w:afterAutospacing="1"/>
        <w:ind w:left="720"/>
        <w:rPr>
          <w:rFonts w:asciiTheme="minorHAnsi" w:hAnsiTheme="minorHAnsi"/>
          <w:sz w:val="22"/>
        </w:rPr>
      </w:pPr>
    </w:p>
    <w:sectPr w:rsidR="00FD77BA" w:rsidRPr="00CC397B" w:rsidSect="006C747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2605F" w14:textId="77777777" w:rsidR="003D2D24" w:rsidRDefault="003D2D24">
      <w:r>
        <w:separator/>
      </w:r>
    </w:p>
  </w:endnote>
  <w:endnote w:type="continuationSeparator" w:id="0">
    <w:p w14:paraId="5C02047A" w14:textId="77777777" w:rsidR="003D2D24" w:rsidRDefault="003D2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2D6B3" w14:textId="77777777" w:rsidR="002226FE" w:rsidRDefault="002226FE" w:rsidP="00B91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77E8" w14:textId="77777777" w:rsidR="002226FE" w:rsidRDefault="002226FE" w:rsidP="00B91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9CC74" w14:textId="77777777" w:rsidR="002226FE" w:rsidRPr="00C37424" w:rsidRDefault="002226FE" w:rsidP="00B919B2">
    <w:pPr>
      <w:pStyle w:val="Footer"/>
      <w:framePr w:wrap="around" w:vAnchor="text" w:hAnchor="margin" w:xAlign="right" w:y="1"/>
      <w:rPr>
        <w:rStyle w:val="PageNumber"/>
        <w:rFonts w:asciiTheme="minorHAnsi" w:hAnsiTheme="minorHAnsi"/>
        <w:sz w:val="22"/>
      </w:rPr>
    </w:pPr>
    <w:r w:rsidRPr="00C37424">
      <w:rPr>
        <w:rStyle w:val="PageNumber"/>
        <w:rFonts w:asciiTheme="minorHAnsi" w:hAnsiTheme="minorHAnsi"/>
        <w:sz w:val="22"/>
      </w:rPr>
      <w:fldChar w:fldCharType="begin"/>
    </w:r>
    <w:r w:rsidRPr="00C37424">
      <w:rPr>
        <w:rStyle w:val="PageNumber"/>
        <w:rFonts w:asciiTheme="minorHAnsi" w:hAnsiTheme="minorHAnsi"/>
        <w:sz w:val="22"/>
      </w:rPr>
      <w:instrText xml:space="preserve">PAGE  </w:instrText>
    </w:r>
    <w:r w:rsidRPr="00C37424">
      <w:rPr>
        <w:rStyle w:val="PageNumber"/>
        <w:rFonts w:asciiTheme="minorHAnsi" w:hAnsiTheme="minorHAnsi"/>
        <w:sz w:val="22"/>
      </w:rPr>
      <w:fldChar w:fldCharType="separate"/>
    </w:r>
    <w:r w:rsidR="00FA0662">
      <w:rPr>
        <w:rStyle w:val="PageNumber"/>
        <w:rFonts w:asciiTheme="minorHAnsi" w:hAnsiTheme="minorHAnsi"/>
        <w:noProof/>
        <w:sz w:val="22"/>
      </w:rPr>
      <w:t>1</w:t>
    </w:r>
    <w:r w:rsidRPr="00C37424">
      <w:rPr>
        <w:rStyle w:val="PageNumber"/>
        <w:rFonts w:asciiTheme="minorHAnsi" w:hAnsiTheme="minorHAnsi"/>
        <w:sz w:val="22"/>
      </w:rPr>
      <w:fldChar w:fldCharType="end"/>
    </w:r>
  </w:p>
  <w:p w14:paraId="1EE541A7" w14:textId="77777777" w:rsidR="002226FE" w:rsidRDefault="002226FE" w:rsidP="00B91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965EE" w14:textId="77777777" w:rsidR="003D2D24" w:rsidRDefault="003D2D24">
      <w:r>
        <w:separator/>
      </w:r>
    </w:p>
  </w:footnote>
  <w:footnote w:type="continuationSeparator" w:id="0">
    <w:p w14:paraId="37E766CA" w14:textId="77777777" w:rsidR="003D2D24" w:rsidRDefault="003D2D24">
      <w:r>
        <w:continuationSeparator/>
      </w:r>
    </w:p>
  </w:footnote>
  <w:footnote w:id="1">
    <w:p w14:paraId="0E6FAF15" w14:textId="77777777" w:rsidR="002226FE" w:rsidRPr="00C37424" w:rsidRDefault="002226FE" w:rsidP="00310DB9">
      <w:pPr>
        <w:pStyle w:val="FootnoteText"/>
        <w:rPr>
          <w:rFonts w:asciiTheme="minorHAnsi" w:hAnsiTheme="minorHAnsi"/>
        </w:rPr>
      </w:pPr>
      <w:r w:rsidRPr="00C37424">
        <w:rPr>
          <w:rStyle w:val="FootnoteReference"/>
          <w:rFonts w:asciiTheme="minorHAnsi" w:hAnsiTheme="minorHAnsi"/>
        </w:rPr>
        <w:footnoteRef/>
      </w:r>
      <w:r w:rsidRPr="00C37424">
        <w:rPr>
          <w:rFonts w:asciiTheme="minorHAnsi" w:hAnsiTheme="minorHAnsi"/>
        </w:rPr>
        <w:t xml:space="preserve">   Indicators of the 2013 Mother’s Index include: (i) Lifetime risk of maternal death; (ii) Under-5 mortality rate; (iii) Expected years of formal education; (iv) Gross national income per capita; and (iv) Participation of women in national government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93A"/>
    <w:multiLevelType w:val="hybridMultilevel"/>
    <w:tmpl w:val="206E6D00"/>
    <w:lvl w:ilvl="0" w:tplc="FC9A40E2">
      <w:start w:val="1"/>
      <w:numFmt w:val="decimal"/>
      <w:lvlText w:val="%1."/>
      <w:lvlJc w:val="left"/>
      <w:pPr>
        <w:tabs>
          <w:tab w:val="num" w:pos="360"/>
        </w:tabs>
        <w:ind w:left="0" w:firstLine="0"/>
      </w:pPr>
    </w:lvl>
    <w:lvl w:ilvl="1" w:tplc="E4B21D22">
      <w:start w:val="1"/>
      <w:numFmt w:val="lowerLetter"/>
      <w:lvlText w:val="(%2)"/>
      <w:lvlJc w:val="left"/>
      <w:pPr>
        <w:tabs>
          <w:tab w:val="num" w:pos="720"/>
        </w:tabs>
        <w:ind w:left="1080" w:firstLine="0"/>
      </w:pPr>
    </w:lvl>
    <w:lvl w:ilvl="2" w:tplc="73C4CA50">
      <w:start w:val="1"/>
      <w:numFmt w:val="lowerRoman"/>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1C6422E"/>
    <w:multiLevelType w:val="multilevel"/>
    <w:tmpl w:val="BDCA6B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3BC78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851376"/>
    <w:multiLevelType w:val="hybridMultilevel"/>
    <w:tmpl w:val="75A852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E10586"/>
    <w:multiLevelType w:val="hybridMultilevel"/>
    <w:tmpl w:val="D3CA66F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C333510"/>
    <w:multiLevelType w:val="hybridMultilevel"/>
    <w:tmpl w:val="DAAC7C56"/>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C641CBF"/>
    <w:multiLevelType w:val="hybridMultilevel"/>
    <w:tmpl w:val="F372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662A7"/>
    <w:multiLevelType w:val="hybridMultilevel"/>
    <w:tmpl w:val="E6A252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B40F40"/>
    <w:multiLevelType w:val="hybridMultilevel"/>
    <w:tmpl w:val="983E25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AE0A68"/>
    <w:multiLevelType w:val="hybridMultilevel"/>
    <w:tmpl w:val="C0784F7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3B26A0"/>
    <w:multiLevelType w:val="multilevel"/>
    <w:tmpl w:val="FDA65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89C33F2"/>
    <w:multiLevelType w:val="multilevel"/>
    <w:tmpl w:val="4ED0FC14"/>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F3181D"/>
    <w:multiLevelType w:val="hybridMultilevel"/>
    <w:tmpl w:val="864C8D6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475188"/>
    <w:multiLevelType w:val="hybridMultilevel"/>
    <w:tmpl w:val="444A4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AF231E"/>
    <w:multiLevelType w:val="hybridMultilevel"/>
    <w:tmpl w:val="FDF2F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4F7761"/>
    <w:multiLevelType w:val="hybridMultilevel"/>
    <w:tmpl w:val="4ED0FC14"/>
    <w:lvl w:ilvl="0" w:tplc="218EA84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E14464"/>
    <w:multiLevelType w:val="hybridMultilevel"/>
    <w:tmpl w:val="6DF256E0"/>
    <w:lvl w:ilvl="0" w:tplc="03B82ABA">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072CD"/>
    <w:multiLevelType w:val="hybridMultilevel"/>
    <w:tmpl w:val="03285B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AD63B7"/>
    <w:multiLevelType w:val="multilevel"/>
    <w:tmpl w:val="9FD647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507E8"/>
    <w:multiLevelType w:val="hybridMultilevel"/>
    <w:tmpl w:val="102A7454"/>
    <w:lvl w:ilvl="0" w:tplc="04090003">
      <w:start w:val="1"/>
      <w:numFmt w:val="bullet"/>
      <w:lvlText w:val="o"/>
      <w:lvlJc w:val="left"/>
      <w:pPr>
        <w:tabs>
          <w:tab w:val="num" w:pos="360"/>
        </w:tabs>
        <w:ind w:left="360" w:hanging="360"/>
      </w:pPr>
      <w:rPr>
        <w:rFonts w:ascii="Courier New" w:hAnsi="Courier New" w:cs="Courier New"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B29346C"/>
    <w:multiLevelType w:val="hybridMultilevel"/>
    <w:tmpl w:val="A5683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A67868"/>
    <w:multiLevelType w:val="hybridMultilevel"/>
    <w:tmpl w:val="F836EE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F76D99"/>
    <w:multiLevelType w:val="hybridMultilevel"/>
    <w:tmpl w:val="A63CF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50D006BA"/>
    <w:multiLevelType w:val="hybridMultilevel"/>
    <w:tmpl w:val="67964D8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1487B7B"/>
    <w:multiLevelType w:val="multilevel"/>
    <w:tmpl w:val="BDCA6B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5" w15:restartNumberingAfterBreak="0">
    <w:nsid w:val="543965DF"/>
    <w:multiLevelType w:val="hybridMultilevel"/>
    <w:tmpl w:val="B5D8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7245A60"/>
    <w:multiLevelType w:val="multilevel"/>
    <w:tmpl w:val="CF1C0B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6B36CE"/>
    <w:multiLevelType w:val="hybridMultilevel"/>
    <w:tmpl w:val="71D0C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CE5080"/>
    <w:multiLevelType w:val="hybridMultilevel"/>
    <w:tmpl w:val="287E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0D207C"/>
    <w:multiLevelType w:val="hybridMultilevel"/>
    <w:tmpl w:val="F66C1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045A19"/>
    <w:multiLevelType w:val="hybridMultilevel"/>
    <w:tmpl w:val="9300F79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4833C27"/>
    <w:multiLevelType w:val="hybridMultilevel"/>
    <w:tmpl w:val="E4F4F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576A16"/>
    <w:multiLevelType w:val="hybridMultilevel"/>
    <w:tmpl w:val="5052B10A"/>
    <w:lvl w:ilvl="0" w:tplc="218EA840">
      <w:start w:val="2"/>
      <w:numFmt w:val="bullet"/>
      <w:lvlText w:val="-"/>
      <w:lvlJc w:val="left"/>
      <w:pPr>
        <w:tabs>
          <w:tab w:val="num" w:pos="1080"/>
        </w:tabs>
        <w:ind w:left="1080" w:hanging="360"/>
      </w:pPr>
      <w:rPr>
        <w:rFonts w:ascii="Times New Roman" w:eastAsia="Times New Roman" w:hAnsi="Times New Roman" w:cs="Times New Roman" w:hint="default"/>
      </w:rPr>
    </w:lvl>
    <w:lvl w:ilvl="1" w:tplc="218EA840">
      <w:start w:val="2"/>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988511F"/>
    <w:multiLevelType w:val="multilevel"/>
    <w:tmpl w:val="C0784F7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4C4331"/>
    <w:multiLevelType w:val="hybridMultilevel"/>
    <w:tmpl w:val="0D7A4C02"/>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B5018B4"/>
    <w:multiLevelType w:val="hybridMultilevel"/>
    <w:tmpl w:val="E2CC6A8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C34DD9"/>
    <w:multiLevelType w:val="hybridMultilevel"/>
    <w:tmpl w:val="FDDA3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D55CCAD4">
      <w:numFmt w:val="bullet"/>
      <w:lvlText w:val="-"/>
      <w:lvlJc w:val="left"/>
      <w:pPr>
        <w:tabs>
          <w:tab w:val="num" w:pos="3600"/>
        </w:tabs>
        <w:ind w:left="3600" w:hanging="360"/>
      </w:pPr>
      <w:rPr>
        <w:rFonts w:ascii="Times New Roman" w:eastAsia="Times New Roman"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A12A90"/>
    <w:multiLevelType w:val="hybridMultilevel"/>
    <w:tmpl w:val="1624C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4715A48"/>
    <w:multiLevelType w:val="multilevel"/>
    <w:tmpl w:val="BDCA6B7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9" w15:restartNumberingAfterBreak="0">
    <w:nsid w:val="756E4A44"/>
    <w:multiLevelType w:val="hybridMultilevel"/>
    <w:tmpl w:val="CF1C0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B738EE"/>
    <w:multiLevelType w:val="hybridMultilevel"/>
    <w:tmpl w:val="46B2803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6D4A6A"/>
    <w:multiLevelType w:val="hybridMultilevel"/>
    <w:tmpl w:val="0892302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C0471FF"/>
    <w:multiLevelType w:val="multilevel"/>
    <w:tmpl w:val="03285B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6"/>
  </w:num>
  <w:num w:numId="2">
    <w:abstractNumId w:val="18"/>
  </w:num>
  <w:num w:numId="3">
    <w:abstractNumId w:val="9"/>
  </w:num>
  <w:num w:numId="4">
    <w:abstractNumId w:val="33"/>
  </w:num>
  <w:num w:numId="5">
    <w:abstractNumId w:val="21"/>
  </w:num>
  <w:num w:numId="6">
    <w:abstractNumId w:val="4"/>
  </w:num>
  <w:num w:numId="7">
    <w:abstractNumId w:val="39"/>
  </w:num>
  <w:num w:numId="8">
    <w:abstractNumId w:val="26"/>
  </w:num>
  <w:num w:numId="9">
    <w:abstractNumId w:val="27"/>
  </w:num>
  <w:num w:numId="10">
    <w:abstractNumId w:val="41"/>
  </w:num>
  <w:num w:numId="11">
    <w:abstractNumId w:val="17"/>
  </w:num>
  <w:num w:numId="12">
    <w:abstractNumId w:val="42"/>
  </w:num>
  <w:num w:numId="13">
    <w:abstractNumId w:val="7"/>
  </w:num>
  <w:num w:numId="14">
    <w:abstractNumId w:val="32"/>
  </w:num>
  <w:num w:numId="15">
    <w:abstractNumId w:val="29"/>
  </w:num>
  <w:num w:numId="16">
    <w:abstractNumId w:val="2"/>
  </w:num>
  <w:num w:numId="17">
    <w:abstractNumId w:val="40"/>
  </w:num>
  <w:num w:numId="18">
    <w:abstractNumId w:val="8"/>
  </w:num>
  <w:num w:numId="19">
    <w:abstractNumId w:val="12"/>
  </w:num>
  <w:num w:numId="20">
    <w:abstractNumId w:val="15"/>
  </w:num>
  <w:num w:numId="21">
    <w:abstractNumId w:val="11"/>
  </w:num>
  <w:num w:numId="22">
    <w:abstractNumId w:val="3"/>
  </w:num>
  <w:num w:numId="23">
    <w:abstractNumId w:val="20"/>
  </w:num>
  <w:num w:numId="24">
    <w:abstractNumId w:val="34"/>
  </w:num>
  <w:num w:numId="25">
    <w:abstractNumId w:val="28"/>
  </w:num>
  <w:num w:numId="26">
    <w:abstractNumId w:val="38"/>
  </w:num>
  <w:num w:numId="27">
    <w:abstractNumId w:val="1"/>
  </w:num>
  <w:num w:numId="28">
    <w:abstractNumId w:val="24"/>
  </w:num>
  <w:num w:numId="29">
    <w:abstractNumId w:val="6"/>
  </w:num>
  <w:num w:numId="30">
    <w:abstractNumId w:val="35"/>
  </w:num>
  <w:num w:numId="31">
    <w:abstractNumId w:val="23"/>
  </w:num>
  <w:num w:numId="32">
    <w:abstractNumId w:val="19"/>
  </w:num>
  <w:num w:numId="33">
    <w:abstractNumId w:val="5"/>
  </w:num>
  <w:num w:numId="34">
    <w:abstractNumId w:val="37"/>
  </w:num>
  <w:num w:numId="35">
    <w:abstractNumId w:val="25"/>
  </w:num>
  <w:num w:numId="36">
    <w:abstractNumId w:val="16"/>
  </w:num>
  <w:num w:numId="37">
    <w:abstractNumId w:val="1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2D"/>
    <w:rsid w:val="000035E3"/>
    <w:rsid w:val="00013DBA"/>
    <w:rsid w:val="00027958"/>
    <w:rsid w:val="00034914"/>
    <w:rsid w:val="00061858"/>
    <w:rsid w:val="00062F10"/>
    <w:rsid w:val="000639D4"/>
    <w:rsid w:val="00074309"/>
    <w:rsid w:val="00080E48"/>
    <w:rsid w:val="00082054"/>
    <w:rsid w:val="00085757"/>
    <w:rsid w:val="000A5527"/>
    <w:rsid w:val="000B1173"/>
    <w:rsid w:val="000B42F3"/>
    <w:rsid w:val="000D4FAE"/>
    <w:rsid w:val="000D5FE4"/>
    <w:rsid w:val="000E3EE6"/>
    <w:rsid w:val="000E4239"/>
    <w:rsid w:val="00102296"/>
    <w:rsid w:val="00104999"/>
    <w:rsid w:val="00117E1A"/>
    <w:rsid w:val="00125135"/>
    <w:rsid w:val="001A32EC"/>
    <w:rsid w:val="001C15F6"/>
    <w:rsid w:val="001E56EA"/>
    <w:rsid w:val="001F7990"/>
    <w:rsid w:val="002226FE"/>
    <w:rsid w:val="00226CFB"/>
    <w:rsid w:val="00226EA3"/>
    <w:rsid w:val="002361B2"/>
    <w:rsid w:val="0025553E"/>
    <w:rsid w:val="002A1B7E"/>
    <w:rsid w:val="002D09B4"/>
    <w:rsid w:val="002D456E"/>
    <w:rsid w:val="002D5C62"/>
    <w:rsid w:val="002E41DE"/>
    <w:rsid w:val="00310DB9"/>
    <w:rsid w:val="00323146"/>
    <w:rsid w:val="00323765"/>
    <w:rsid w:val="00330E74"/>
    <w:rsid w:val="00346A09"/>
    <w:rsid w:val="00346D86"/>
    <w:rsid w:val="00352288"/>
    <w:rsid w:val="00363300"/>
    <w:rsid w:val="00372B54"/>
    <w:rsid w:val="003965A6"/>
    <w:rsid w:val="003B6E13"/>
    <w:rsid w:val="003B7284"/>
    <w:rsid w:val="003C13D3"/>
    <w:rsid w:val="003D2D24"/>
    <w:rsid w:val="003D587C"/>
    <w:rsid w:val="003E167E"/>
    <w:rsid w:val="00424776"/>
    <w:rsid w:val="004641D8"/>
    <w:rsid w:val="0047316F"/>
    <w:rsid w:val="004B0363"/>
    <w:rsid w:val="004C102E"/>
    <w:rsid w:val="004C139B"/>
    <w:rsid w:val="004D2824"/>
    <w:rsid w:val="004E5328"/>
    <w:rsid w:val="004E54E0"/>
    <w:rsid w:val="004E6194"/>
    <w:rsid w:val="004E7533"/>
    <w:rsid w:val="004F7508"/>
    <w:rsid w:val="004F77B2"/>
    <w:rsid w:val="0050528A"/>
    <w:rsid w:val="005243B7"/>
    <w:rsid w:val="00525268"/>
    <w:rsid w:val="00534B78"/>
    <w:rsid w:val="005378BE"/>
    <w:rsid w:val="005441A9"/>
    <w:rsid w:val="005461B0"/>
    <w:rsid w:val="00547713"/>
    <w:rsid w:val="00551A68"/>
    <w:rsid w:val="005573EE"/>
    <w:rsid w:val="00561A25"/>
    <w:rsid w:val="00566D4B"/>
    <w:rsid w:val="0058024B"/>
    <w:rsid w:val="00593C02"/>
    <w:rsid w:val="00595D5F"/>
    <w:rsid w:val="005A293E"/>
    <w:rsid w:val="005C34F2"/>
    <w:rsid w:val="005E0268"/>
    <w:rsid w:val="00604423"/>
    <w:rsid w:val="0061249F"/>
    <w:rsid w:val="00617A81"/>
    <w:rsid w:val="00636263"/>
    <w:rsid w:val="0064342A"/>
    <w:rsid w:val="006468B0"/>
    <w:rsid w:val="00646C51"/>
    <w:rsid w:val="006505F8"/>
    <w:rsid w:val="00654677"/>
    <w:rsid w:val="00657F97"/>
    <w:rsid w:val="006847DB"/>
    <w:rsid w:val="006922CB"/>
    <w:rsid w:val="00695693"/>
    <w:rsid w:val="006A11EE"/>
    <w:rsid w:val="006B13AA"/>
    <w:rsid w:val="006B20B9"/>
    <w:rsid w:val="006B501E"/>
    <w:rsid w:val="006C747E"/>
    <w:rsid w:val="006D5EB9"/>
    <w:rsid w:val="006E2BED"/>
    <w:rsid w:val="006F095D"/>
    <w:rsid w:val="006F0FDA"/>
    <w:rsid w:val="006F518A"/>
    <w:rsid w:val="006F6E76"/>
    <w:rsid w:val="007359F5"/>
    <w:rsid w:val="00741AEF"/>
    <w:rsid w:val="00745320"/>
    <w:rsid w:val="00785FE2"/>
    <w:rsid w:val="00787732"/>
    <w:rsid w:val="007B0F3C"/>
    <w:rsid w:val="007B2316"/>
    <w:rsid w:val="007B3B51"/>
    <w:rsid w:val="007D1D9B"/>
    <w:rsid w:val="007D45A1"/>
    <w:rsid w:val="007D70A6"/>
    <w:rsid w:val="007E2B95"/>
    <w:rsid w:val="007E74DF"/>
    <w:rsid w:val="007F102F"/>
    <w:rsid w:val="007F35FF"/>
    <w:rsid w:val="007F6729"/>
    <w:rsid w:val="00803FE2"/>
    <w:rsid w:val="0080659F"/>
    <w:rsid w:val="00810C7B"/>
    <w:rsid w:val="0081322E"/>
    <w:rsid w:val="00831C61"/>
    <w:rsid w:val="00834CFE"/>
    <w:rsid w:val="008454FE"/>
    <w:rsid w:val="00850C81"/>
    <w:rsid w:val="008525A2"/>
    <w:rsid w:val="008623F7"/>
    <w:rsid w:val="008670C1"/>
    <w:rsid w:val="008705C1"/>
    <w:rsid w:val="00892009"/>
    <w:rsid w:val="00893B7C"/>
    <w:rsid w:val="008A035D"/>
    <w:rsid w:val="008A4462"/>
    <w:rsid w:val="008A51F1"/>
    <w:rsid w:val="008B5490"/>
    <w:rsid w:val="008D1803"/>
    <w:rsid w:val="008D4BA3"/>
    <w:rsid w:val="008D4FE5"/>
    <w:rsid w:val="008E0EB2"/>
    <w:rsid w:val="008E283F"/>
    <w:rsid w:val="00902267"/>
    <w:rsid w:val="00905AA9"/>
    <w:rsid w:val="00927776"/>
    <w:rsid w:val="00952ECB"/>
    <w:rsid w:val="009754E3"/>
    <w:rsid w:val="009A6562"/>
    <w:rsid w:val="009B2FB4"/>
    <w:rsid w:val="009C58DF"/>
    <w:rsid w:val="009D18B8"/>
    <w:rsid w:val="009E7D09"/>
    <w:rsid w:val="009F2197"/>
    <w:rsid w:val="009F2FF2"/>
    <w:rsid w:val="009F3ED9"/>
    <w:rsid w:val="009F6EB3"/>
    <w:rsid w:val="00A02D40"/>
    <w:rsid w:val="00A21566"/>
    <w:rsid w:val="00A21E02"/>
    <w:rsid w:val="00A24B5C"/>
    <w:rsid w:val="00A26E1C"/>
    <w:rsid w:val="00A5562B"/>
    <w:rsid w:val="00A64962"/>
    <w:rsid w:val="00A97E2D"/>
    <w:rsid w:val="00AA4E92"/>
    <w:rsid w:val="00AC1CB5"/>
    <w:rsid w:val="00AD6749"/>
    <w:rsid w:val="00B050FF"/>
    <w:rsid w:val="00B550D5"/>
    <w:rsid w:val="00B57600"/>
    <w:rsid w:val="00B765F4"/>
    <w:rsid w:val="00B8430F"/>
    <w:rsid w:val="00B919B2"/>
    <w:rsid w:val="00BB1158"/>
    <w:rsid w:val="00BC42F4"/>
    <w:rsid w:val="00BC5AFD"/>
    <w:rsid w:val="00BE10B7"/>
    <w:rsid w:val="00BE5A0E"/>
    <w:rsid w:val="00BF2533"/>
    <w:rsid w:val="00BF745E"/>
    <w:rsid w:val="00C03CF7"/>
    <w:rsid w:val="00C107AA"/>
    <w:rsid w:val="00C11D3C"/>
    <w:rsid w:val="00C12043"/>
    <w:rsid w:val="00C138CF"/>
    <w:rsid w:val="00C31B08"/>
    <w:rsid w:val="00C37424"/>
    <w:rsid w:val="00C40492"/>
    <w:rsid w:val="00C45BDC"/>
    <w:rsid w:val="00C45EBA"/>
    <w:rsid w:val="00C462A1"/>
    <w:rsid w:val="00C57F8B"/>
    <w:rsid w:val="00C71504"/>
    <w:rsid w:val="00C766FF"/>
    <w:rsid w:val="00C83E9E"/>
    <w:rsid w:val="00CB45E4"/>
    <w:rsid w:val="00CC397B"/>
    <w:rsid w:val="00CC4B80"/>
    <w:rsid w:val="00CC4EB1"/>
    <w:rsid w:val="00CE40A7"/>
    <w:rsid w:val="00CF5DB7"/>
    <w:rsid w:val="00CF6035"/>
    <w:rsid w:val="00D27620"/>
    <w:rsid w:val="00D468F9"/>
    <w:rsid w:val="00D572FA"/>
    <w:rsid w:val="00D640BA"/>
    <w:rsid w:val="00D72A0E"/>
    <w:rsid w:val="00D72D6D"/>
    <w:rsid w:val="00D937CD"/>
    <w:rsid w:val="00DA3C82"/>
    <w:rsid w:val="00DC1CAE"/>
    <w:rsid w:val="00DD16BB"/>
    <w:rsid w:val="00DD25E6"/>
    <w:rsid w:val="00DD322D"/>
    <w:rsid w:val="00DE29F3"/>
    <w:rsid w:val="00DF73FD"/>
    <w:rsid w:val="00E20CEE"/>
    <w:rsid w:val="00E2554C"/>
    <w:rsid w:val="00E27A7B"/>
    <w:rsid w:val="00E30595"/>
    <w:rsid w:val="00E33ABA"/>
    <w:rsid w:val="00E34881"/>
    <w:rsid w:val="00E54971"/>
    <w:rsid w:val="00E679C4"/>
    <w:rsid w:val="00E741E7"/>
    <w:rsid w:val="00E7603A"/>
    <w:rsid w:val="00E8252D"/>
    <w:rsid w:val="00E84C4E"/>
    <w:rsid w:val="00E90DF2"/>
    <w:rsid w:val="00EC0C04"/>
    <w:rsid w:val="00EC2B2C"/>
    <w:rsid w:val="00EC3367"/>
    <w:rsid w:val="00ED6585"/>
    <w:rsid w:val="00ED78BA"/>
    <w:rsid w:val="00EE3846"/>
    <w:rsid w:val="00EF4D23"/>
    <w:rsid w:val="00F026A0"/>
    <w:rsid w:val="00F2164E"/>
    <w:rsid w:val="00F23B67"/>
    <w:rsid w:val="00F34A7C"/>
    <w:rsid w:val="00F3761D"/>
    <w:rsid w:val="00F47ADC"/>
    <w:rsid w:val="00F51A93"/>
    <w:rsid w:val="00F54619"/>
    <w:rsid w:val="00F706D8"/>
    <w:rsid w:val="00F7285D"/>
    <w:rsid w:val="00F76614"/>
    <w:rsid w:val="00F773EC"/>
    <w:rsid w:val="00F974AB"/>
    <w:rsid w:val="00FA0662"/>
    <w:rsid w:val="00FA3346"/>
    <w:rsid w:val="00FC5985"/>
    <w:rsid w:val="00FD77BA"/>
    <w:rsid w:val="00FE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F3E1BA"/>
  <w15:docId w15:val="{0AC13058-DBD8-4266-8023-DA3B0B3A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51A6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5E0268"/>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919B2"/>
    <w:pPr>
      <w:tabs>
        <w:tab w:val="center" w:pos="4320"/>
        <w:tab w:val="right" w:pos="8640"/>
      </w:tabs>
    </w:pPr>
  </w:style>
  <w:style w:type="character" w:styleId="PageNumber">
    <w:name w:val="page number"/>
    <w:basedOn w:val="DefaultParagraphFont"/>
    <w:rsid w:val="00B919B2"/>
  </w:style>
  <w:style w:type="paragraph" w:styleId="FootnoteText">
    <w:name w:val="footnote text"/>
    <w:aliases w:val="single space,footnote text,fn,FOOTNOTES,Fodnotetekst Tegn,Footnote Text Char1,Footnote Text Char2 Char,Footnote Text Char1 Char Char,Footnote Text Char2 Char Char Char,Footnote Text Char1 Char Char Char Char,ALTS FOOTNOTE,Footnote Text1,ft"/>
    <w:basedOn w:val="Normal"/>
    <w:link w:val="FootnoteTextChar"/>
    <w:rsid w:val="00BF2533"/>
    <w:rPr>
      <w:sz w:val="20"/>
      <w:szCs w:val="20"/>
    </w:rPr>
  </w:style>
  <w:style w:type="character" w:styleId="FootnoteReference">
    <w:name w:val="footnote reference"/>
    <w:aliases w:val="16 Point,Superscript 6 Point,ftref,Char Char Char Char Car Char, Char Char,Footnote,Footnote Reference Number,Footnote Reference_LVL6,Footnote Reference_LVL61,Footnote Reference_LVL62,Footnote Reference_LVL63,Footnote Reference_LVL64"/>
    <w:rsid w:val="00BF2533"/>
    <w:rPr>
      <w:vertAlign w:val="superscript"/>
    </w:rPr>
  </w:style>
  <w:style w:type="character" w:styleId="Hyperlink">
    <w:name w:val="Hyperlink"/>
    <w:rsid w:val="00BF2533"/>
    <w:rPr>
      <w:color w:val="0000FF"/>
      <w:u w:val="single"/>
    </w:rPr>
  </w:style>
  <w:style w:type="character" w:styleId="Strong">
    <w:name w:val="Strong"/>
    <w:qFormat/>
    <w:rsid w:val="009E7D09"/>
    <w:rPr>
      <w:b/>
      <w:bCs/>
    </w:rPr>
  </w:style>
  <w:style w:type="paragraph" w:styleId="BalloonText">
    <w:name w:val="Balloon Text"/>
    <w:basedOn w:val="Normal"/>
    <w:semiHidden/>
    <w:rsid w:val="006B13AA"/>
    <w:rPr>
      <w:rFonts w:ascii="Tahoma" w:hAnsi="Tahoma" w:cs="Tahoma"/>
      <w:sz w:val="16"/>
      <w:szCs w:val="16"/>
    </w:rPr>
  </w:style>
  <w:style w:type="paragraph" w:styleId="BodyText2">
    <w:name w:val="Body Text 2"/>
    <w:basedOn w:val="Normal"/>
    <w:rsid w:val="00F026A0"/>
    <w:pPr>
      <w:jc w:val="both"/>
    </w:pPr>
    <w:rPr>
      <w:szCs w:val="20"/>
    </w:rPr>
  </w:style>
  <w:style w:type="paragraph" w:styleId="BodyTextIndent">
    <w:name w:val="Body Text Indent"/>
    <w:basedOn w:val="Normal"/>
    <w:rsid w:val="005C34F2"/>
    <w:pPr>
      <w:spacing w:after="120"/>
      <w:ind w:left="360"/>
    </w:pPr>
  </w:style>
  <w:style w:type="character" w:styleId="CommentReference">
    <w:name w:val="annotation reference"/>
    <w:uiPriority w:val="99"/>
    <w:rsid w:val="00F34A7C"/>
    <w:rPr>
      <w:sz w:val="16"/>
      <w:szCs w:val="16"/>
    </w:rPr>
  </w:style>
  <w:style w:type="paragraph" w:styleId="CommentText">
    <w:name w:val="annotation text"/>
    <w:basedOn w:val="Normal"/>
    <w:link w:val="CommentTextChar"/>
    <w:uiPriority w:val="99"/>
    <w:rsid w:val="00F34A7C"/>
    <w:rPr>
      <w:sz w:val="20"/>
      <w:szCs w:val="20"/>
    </w:rPr>
  </w:style>
  <w:style w:type="character" w:customStyle="1" w:styleId="CommentTextChar">
    <w:name w:val="Comment Text Char"/>
    <w:basedOn w:val="DefaultParagraphFont"/>
    <w:link w:val="CommentText"/>
    <w:uiPriority w:val="99"/>
    <w:rsid w:val="00F34A7C"/>
  </w:style>
  <w:style w:type="paragraph" w:styleId="CommentSubject">
    <w:name w:val="annotation subject"/>
    <w:basedOn w:val="CommentText"/>
    <w:next w:val="CommentText"/>
    <w:link w:val="CommentSubjectChar"/>
    <w:rsid w:val="00F34A7C"/>
    <w:rPr>
      <w:b/>
      <w:bCs/>
      <w:lang w:val="x-none" w:eastAsia="x-none"/>
    </w:rPr>
  </w:style>
  <w:style w:type="character" w:customStyle="1" w:styleId="CommentSubjectChar">
    <w:name w:val="Comment Subject Char"/>
    <w:link w:val="CommentSubject"/>
    <w:rsid w:val="00F34A7C"/>
    <w:rPr>
      <w:b/>
      <w:bCs/>
    </w:rPr>
  </w:style>
  <w:style w:type="paragraph" w:styleId="ListParagraph">
    <w:name w:val="List Paragraph"/>
    <w:aliases w:val="Bullets,List Paragraph nowy,References,Liste 1,List Paragraph1,Numbered List Paragraph,List Paragraph (numbered (a)),Medium Grid 1 - Accent 21,ReferencesCxSpLast"/>
    <w:basedOn w:val="Normal"/>
    <w:link w:val="ListParagraphChar"/>
    <w:uiPriority w:val="34"/>
    <w:qFormat/>
    <w:rsid w:val="00310DB9"/>
    <w:pPr>
      <w:ind w:left="720" w:firstLine="360"/>
      <w:contextualSpacing/>
    </w:pPr>
    <w:rPr>
      <w:rFonts w:ascii="Calibri" w:hAnsi="Calibri"/>
      <w:sz w:val="22"/>
      <w:szCs w:val="22"/>
      <w:lang w:bidi="en-US"/>
    </w:rPr>
  </w:style>
  <w:style w:type="character" w:customStyle="1" w:styleId="ListParagraphChar">
    <w:name w:val="List Paragraph Char"/>
    <w:aliases w:val="Bullets Char,List Paragraph nowy Char,References Char,Liste 1 Char,List Paragraph1 Char,Numbered List Paragraph Char,List Paragraph (numbered (a)) Char,Medium Grid 1 - Accent 21 Char,ReferencesCxSpLast Char"/>
    <w:link w:val="ListParagraph"/>
    <w:uiPriority w:val="34"/>
    <w:locked/>
    <w:rsid w:val="00310DB9"/>
    <w:rPr>
      <w:rFonts w:ascii="Calibri" w:hAnsi="Calibri"/>
      <w:sz w:val="22"/>
      <w:szCs w:val="22"/>
      <w:lang w:bidi="en-US"/>
    </w:rPr>
  </w:style>
  <w:style w:type="character" w:customStyle="1" w:styleId="FootnoteTextChar">
    <w:name w:val="Footnote Text Char"/>
    <w:aliases w:val="single space Char,footnote text Char,fn Char,FOOTNOTES Char,Fodnotetekst Tegn Char,Footnote Text Char1 Char,Footnote Text Char2 Char Char,Footnote Text Char1 Char Char Char,Footnote Text Char2 Char Char Char Char,ALTS FOOTNOTE Char"/>
    <w:link w:val="FootnoteText"/>
    <w:rsid w:val="00310DB9"/>
  </w:style>
  <w:style w:type="character" w:customStyle="1" w:styleId="Heading1Char">
    <w:name w:val="Heading 1 Char"/>
    <w:link w:val="Heading1"/>
    <w:uiPriority w:val="9"/>
    <w:rsid w:val="00310DB9"/>
    <w:rPr>
      <w:rFonts w:ascii="Arial" w:hAnsi="Arial" w:cs="Arial"/>
      <w:b/>
      <w:bCs/>
      <w:kern w:val="32"/>
      <w:sz w:val="32"/>
      <w:szCs w:val="32"/>
    </w:rPr>
  </w:style>
  <w:style w:type="character" w:customStyle="1" w:styleId="Heading2Char">
    <w:name w:val="Heading 2 Char"/>
    <w:basedOn w:val="DefaultParagraphFont"/>
    <w:link w:val="Heading2"/>
    <w:uiPriority w:val="9"/>
    <w:rsid w:val="005E0268"/>
    <w:rPr>
      <w:rFonts w:asciiTheme="majorHAnsi" w:eastAsiaTheme="majorEastAsia" w:hAnsiTheme="majorHAnsi" w:cstheme="majorBidi"/>
      <w:b/>
      <w:bCs/>
      <w:i/>
      <w:iCs/>
      <w:sz w:val="28"/>
      <w:szCs w:val="28"/>
    </w:rPr>
  </w:style>
  <w:style w:type="paragraph" w:styleId="Header">
    <w:name w:val="header"/>
    <w:basedOn w:val="Normal"/>
    <w:link w:val="HeaderChar"/>
    <w:rsid w:val="00893B7C"/>
    <w:pPr>
      <w:tabs>
        <w:tab w:val="center" w:pos="4680"/>
        <w:tab w:val="right" w:pos="9360"/>
      </w:tabs>
    </w:pPr>
  </w:style>
  <w:style w:type="character" w:customStyle="1" w:styleId="HeaderChar">
    <w:name w:val="Header Char"/>
    <w:basedOn w:val="DefaultParagraphFont"/>
    <w:link w:val="Header"/>
    <w:rsid w:val="00893B7C"/>
    <w:rPr>
      <w:sz w:val="24"/>
      <w:szCs w:val="24"/>
    </w:rPr>
  </w:style>
  <w:style w:type="character" w:customStyle="1" w:styleId="ModelNrmlSingleChar">
    <w:name w:val="ModelNrmlSingle Char"/>
    <w:link w:val="ModelNrmlSingle"/>
    <w:locked/>
    <w:rsid w:val="00C138CF"/>
  </w:style>
  <w:style w:type="paragraph" w:customStyle="1" w:styleId="ModelNrmlSingle">
    <w:name w:val="ModelNrmlSingle"/>
    <w:basedOn w:val="Normal"/>
    <w:link w:val="ModelNrmlSingleChar"/>
    <w:rsid w:val="00C138CF"/>
    <w:pPr>
      <w:spacing w:after="240"/>
      <w:ind w:firstLine="720"/>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4754">
      <w:bodyDiv w:val="1"/>
      <w:marLeft w:val="0"/>
      <w:marRight w:val="0"/>
      <w:marTop w:val="0"/>
      <w:marBottom w:val="0"/>
      <w:divBdr>
        <w:top w:val="none" w:sz="0" w:space="0" w:color="auto"/>
        <w:left w:val="none" w:sz="0" w:space="0" w:color="auto"/>
        <w:bottom w:val="none" w:sz="0" w:space="0" w:color="auto"/>
        <w:right w:val="none" w:sz="0" w:space="0" w:color="auto"/>
      </w:divBdr>
    </w:div>
    <w:div w:id="524103452">
      <w:bodyDiv w:val="1"/>
      <w:marLeft w:val="0"/>
      <w:marRight w:val="0"/>
      <w:marTop w:val="0"/>
      <w:marBottom w:val="0"/>
      <w:divBdr>
        <w:top w:val="none" w:sz="0" w:space="0" w:color="auto"/>
        <w:left w:val="none" w:sz="0" w:space="0" w:color="auto"/>
        <w:bottom w:val="none" w:sz="0" w:space="0" w:color="auto"/>
        <w:right w:val="none" w:sz="0" w:space="0" w:color="auto"/>
      </w:divBdr>
    </w:div>
    <w:div w:id="555900758">
      <w:bodyDiv w:val="1"/>
      <w:marLeft w:val="0"/>
      <w:marRight w:val="0"/>
      <w:marTop w:val="0"/>
      <w:marBottom w:val="0"/>
      <w:divBdr>
        <w:top w:val="none" w:sz="0" w:space="0" w:color="auto"/>
        <w:left w:val="none" w:sz="0" w:space="0" w:color="auto"/>
        <w:bottom w:val="none" w:sz="0" w:space="0" w:color="auto"/>
        <w:right w:val="none" w:sz="0" w:space="0" w:color="auto"/>
      </w:divBdr>
    </w:div>
    <w:div w:id="739212525">
      <w:bodyDiv w:val="1"/>
      <w:marLeft w:val="0"/>
      <w:marRight w:val="0"/>
      <w:marTop w:val="0"/>
      <w:marBottom w:val="0"/>
      <w:divBdr>
        <w:top w:val="none" w:sz="0" w:space="0" w:color="auto"/>
        <w:left w:val="none" w:sz="0" w:space="0" w:color="auto"/>
        <w:bottom w:val="none" w:sz="0" w:space="0" w:color="auto"/>
        <w:right w:val="none" w:sz="0" w:space="0" w:color="auto"/>
      </w:divBdr>
    </w:div>
    <w:div w:id="806824422">
      <w:bodyDiv w:val="1"/>
      <w:marLeft w:val="0"/>
      <w:marRight w:val="0"/>
      <w:marTop w:val="0"/>
      <w:marBottom w:val="0"/>
      <w:divBdr>
        <w:top w:val="none" w:sz="0" w:space="0" w:color="auto"/>
        <w:left w:val="none" w:sz="0" w:space="0" w:color="auto"/>
        <w:bottom w:val="none" w:sz="0" w:space="0" w:color="auto"/>
        <w:right w:val="none" w:sz="0" w:space="0" w:color="auto"/>
      </w:divBdr>
    </w:div>
    <w:div w:id="825128610">
      <w:bodyDiv w:val="1"/>
      <w:marLeft w:val="0"/>
      <w:marRight w:val="0"/>
      <w:marTop w:val="0"/>
      <w:marBottom w:val="0"/>
      <w:divBdr>
        <w:top w:val="none" w:sz="0" w:space="0" w:color="auto"/>
        <w:left w:val="none" w:sz="0" w:space="0" w:color="auto"/>
        <w:bottom w:val="none" w:sz="0" w:space="0" w:color="auto"/>
        <w:right w:val="none" w:sz="0" w:space="0" w:color="auto"/>
      </w:divBdr>
      <w:divsChild>
        <w:div w:id="1743721314">
          <w:marLeft w:val="0"/>
          <w:marRight w:val="0"/>
          <w:marTop w:val="0"/>
          <w:marBottom w:val="0"/>
          <w:divBdr>
            <w:top w:val="none" w:sz="0" w:space="0" w:color="auto"/>
            <w:left w:val="none" w:sz="0" w:space="0" w:color="auto"/>
            <w:bottom w:val="none" w:sz="0" w:space="0" w:color="auto"/>
            <w:right w:val="none" w:sz="0" w:space="0" w:color="auto"/>
          </w:divBdr>
        </w:div>
      </w:divsChild>
    </w:div>
    <w:div w:id="1033727664">
      <w:bodyDiv w:val="1"/>
      <w:marLeft w:val="0"/>
      <w:marRight w:val="0"/>
      <w:marTop w:val="0"/>
      <w:marBottom w:val="0"/>
      <w:divBdr>
        <w:top w:val="none" w:sz="0" w:space="0" w:color="auto"/>
        <w:left w:val="none" w:sz="0" w:space="0" w:color="auto"/>
        <w:bottom w:val="none" w:sz="0" w:space="0" w:color="auto"/>
        <w:right w:val="none" w:sz="0" w:space="0" w:color="auto"/>
      </w:divBdr>
    </w:div>
    <w:div w:id="1066416490">
      <w:bodyDiv w:val="1"/>
      <w:marLeft w:val="0"/>
      <w:marRight w:val="0"/>
      <w:marTop w:val="0"/>
      <w:marBottom w:val="0"/>
      <w:divBdr>
        <w:top w:val="none" w:sz="0" w:space="0" w:color="auto"/>
        <w:left w:val="none" w:sz="0" w:space="0" w:color="auto"/>
        <w:bottom w:val="none" w:sz="0" w:space="0" w:color="auto"/>
        <w:right w:val="none" w:sz="0" w:space="0" w:color="auto"/>
      </w:divBdr>
    </w:div>
    <w:div w:id="1384478144">
      <w:bodyDiv w:val="1"/>
      <w:marLeft w:val="0"/>
      <w:marRight w:val="0"/>
      <w:marTop w:val="0"/>
      <w:marBottom w:val="0"/>
      <w:divBdr>
        <w:top w:val="none" w:sz="0" w:space="0" w:color="auto"/>
        <w:left w:val="none" w:sz="0" w:space="0" w:color="auto"/>
        <w:bottom w:val="none" w:sz="0" w:space="0" w:color="auto"/>
        <w:right w:val="none" w:sz="0" w:space="0" w:color="auto"/>
      </w:divBdr>
    </w:div>
    <w:div w:id="1451781695">
      <w:bodyDiv w:val="1"/>
      <w:marLeft w:val="0"/>
      <w:marRight w:val="0"/>
      <w:marTop w:val="0"/>
      <w:marBottom w:val="0"/>
      <w:divBdr>
        <w:top w:val="none" w:sz="0" w:space="0" w:color="auto"/>
        <w:left w:val="none" w:sz="0" w:space="0" w:color="auto"/>
        <w:bottom w:val="none" w:sz="0" w:space="0" w:color="auto"/>
        <w:right w:val="none" w:sz="0" w:space="0" w:color="auto"/>
      </w:divBdr>
    </w:div>
    <w:div w:id="1515607282">
      <w:bodyDiv w:val="1"/>
      <w:marLeft w:val="0"/>
      <w:marRight w:val="0"/>
      <w:marTop w:val="0"/>
      <w:marBottom w:val="0"/>
      <w:divBdr>
        <w:top w:val="none" w:sz="0" w:space="0" w:color="auto"/>
        <w:left w:val="none" w:sz="0" w:space="0" w:color="auto"/>
        <w:bottom w:val="none" w:sz="0" w:space="0" w:color="auto"/>
        <w:right w:val="none" w:sz="0" w:space="0" w:color="auto"/>
      </w:divBdr>
    </w:div>
    <w:div w:id="1820219943">
      <w:bodyDiv w:val="1"/>
      <w:marLeft w:val="0"/>
      <w:marRight w:val="0"/>
      <w:marTop w:val="0"/>
      <w:marBottom w:val="0"/>
      <w:divBdr>
        <w:top w:val="none" w:sz="0" w:space="0" w:color="auto"/>
        <w:left w:val="none" w:sz="0" w:space="0" w:color="auto"/>
        <w:bottom w:val="none" w:sz="0" w:space="0" w:color="auto"/>
        <w:right w:val="none" w:sz="0" w:space="0" w:color="auto"/>
      </w:divBdr>
    </w:div>
    <w:div w:id="207277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20629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 Hasan</dc:creator>
  <cp:lastModifiedBy>Rifat Hasan</cp:lastModifiedBy>
  <cp:revision>2</cp:revision>
  <cp:lastPrinted>2006-09-04T15:02:00Z</cp:lastPrinted>
  <dcterms:created xsi:type="dcterms:W3CDTF">2016-04-26T02:17:00Z</dcterms:created>
  <dcterms:modified xsi:type="dcterms:W3CDTF">2016-04-26T02:17:00Z</dcterms:modified>
</cp:coreProperties>
</file>