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AA809">
      <w:pPr>
        <w:jc w:val="center"/>
        <w:rPr>
          <w:rFonts w:hint="eastAsia" w:ascii="微软雅黑" w:hAnsi="微软雅黑" w:eastAsia="微软雅黑" w:cs="微软雅黑"/>
        </w:rPr>
      </w:pPr>
      <w:r>
        <w:rPr>
          <w:rFonts w:hint="eastAsia" w:ascii="微软雅黑" w:hAnsi="微软雅黑" w:eastAsia="微软雅黑" w:cs="微软雅黑"/>
          <w:b/>
          <w:color w:val="0B2545"/>
          <w:sz w:val="36"/>
        </w:rPr>
        <w:t>资料邀请书（RFI）</w:t>
      </w:r>
    </w:p>
    <w:p w14:paraId="2F2357C4">
      <w:pPr>
        <w:jc w:val="center"/>
        <w:rPr>
          <w:rFonts w:hint="eastAsia" w:ascii="微软雅黑" w:hAnsi="微软雅黑" w:eastAsia="微软雅黑" w:cs="微软雅黑"/>
        </w:rPr>
      </w:pPr>
      <w:r>
        <w:rPr>
          <w:rFonts w:hint="eastAsia" w:ascii="微软雅黑" w:hAnsi="微软雅黑" w:eastAsia="微软雅黑" w:cs="微软雅黑"/>
          <w:color w:val="555555"/>
          <w:sz w:val="22"/>
        </w:rPr>
        <w:t>为入境事务处（ImmD）签证／进入许可申请供应人工智能（AI）基础设施及实施方案｜2026年6月中文译本</w:t>
      </w:r>
    </w:p>
    <w:p w14:paraId="61D7EA77">
      <w:pPr>
        <w:pStyle w:val="3"/>
        <w:rPr>
          <w:rFonts w:hint="eastAsia" w:ascii="微软雅黑" w:hAnsi="微软雅黑" w:eastAsia="微软雅黑" w:cs="微软雅黑"/>
        </w:rPr>
      </w:pPr>
      <w:r>
        <w:rPr>
          <w:rFonts w:hint="eastAsia" w:ascii="微软雅黑" w:hAnsi="微软雅黑" w:eastAsia="微软雅黑" w:cs="微软雅黑"/>
        </w:rPr>
        <w:t>1 目的</w:t>
      </w:r>
    </w:p>
    <w:p w14:paraId="355F630A">
      <w:pPr>
        <w:spacing w:after="120" w:line="264" w:lineRule="auto"/>
        <w:rPr>
          <w:rFonts w:hint="eastAsia" w:ascii="微软雅黑" w:hAnsi="微软雅黑" w:eastAsia="微软雅黑" w:cs="微软雅黑"/>
        </w:rPr>
      </w:pPr>
      <w:r>
        <w:rPr>
          <w:rFonts w:hint="eastAsia" w:ascii="微软雅黑" w:hAnsi="微软雅黑" w:eastAsia="微软雅黑" w:cs="微软雅黑"/>
        </w:rPr>
        <w:t>入境事务处（ImmD）计划运用人工智能（AI）支援签证／进入许可申请的处理流程。主要功能包括自动文件分类、智能资料核验及智能会议记录草拟。初步试行及试点目标于2026年展开。</w:t>
      </w:r>
      <w:bookmarkStart w:id="0" w:name="_GoBack"/>
      <w:bookmarkEnd w:id="0"/>
    </w:p>
    <w:p w14:paraId="0846C826">
      <w:pPr>
        <w:pStyle w:val="3"/>
        <w:rPr>
          <w:rFonts w:hint="eastAsia" w:ascii="微软雅黑" w:hAnsi="微软雅黑" w:eastAsia="微软雅黑" w:cs="微软雅黑"/>
        </w:rPr>
      </w:pPr>
      <w:r>
        <w:rPr>
          <w:rFonts w:hint="eastAsia" w:ascii="微软雅黑" w:hAnsi="微软雅黑" w:eastAsia="微软雅黑" w:cs="微软雅黑"/>
        </w:rPr>
        <w:t>2 目标</w:t>
      </w:r>
    </w:p>
    <w:p w14:paraId="12ADEC79">
      <w:pPr>
        <w:spacing w:after="120" w:line="264" w:lineRule="auto"/>
        <w:rPr>
          <w:rFonts w:hint="eastAsia" w:ascii="微软雅黑" w:hAnsi="微软雅黑" w:eastAsia="微软雅黑" w:cs="微软雅黑"/>
        </w:rPr>
      </w:pPr>
      <w:r>
        <w:rPr>
          <w:rFonts w:hint="eastAsia" w:ascii="微软雅黑" w:hAnsi="微软雅黑" w:eastAsia="微软雅黑" w:cs="微软雅黑"/>
        </w:rPr>
        <w:t>本次资料邀请书（RFI）的目标如下：</w:t>
      </w:r>
    </w:p>
    <w:p w14:paraId="68865E11">
      <w:pPr>
        <w:pStyle w:val="14"/>
        <w:spacing w:after="60"/>
        <w:rPr>
          <w:rFonts w:hint="eastAsia" w:ascii="微软雅黑" w:hAnsi="微软雅黑" w:eastAsia="微软雅黑" w:cs="微软雅黑"/>
        </w:rPr>
      </w:pPr>
      <w:r>
        <w:rPr>
          <w:rFonts w:hint="eastAsia" w:ascii="微软雅黑" w:hAnsi="微软雅黑" w:eastAsia="微软雅黑" w:cs="微软雅黑"/>
        </w:rPr>
        <w:t>了解市场上可提供哪些方案；以及</w:t>
      </w:r>
    </w:p>
    <w:p w14:paraId="3C9FA263">
      <w:pPr>
        <w:pStyle w:val="14"/>
        <w:spacing w:after="60"/>
        <w:rPr>
          <w:rFonts w:hint="eastAsia" w:ascii="微软雅黑" w:hAnsi="微软雅黑" w:eastAsia="微软雅黑" w:cs="微软雅黑"/>
        </w:rPr>
      </w:pPr>
      <w:r>
        <w:rPr>
          <w:rFonts w:hint="eastAsia" w:ascii="微软雅黑" w:hAnsi="微软雅黑" w:eastAsia="微软雅黑" w:cs="微软雅黑"/>
        </w:rPr>
        <w:t>就可用方案（包括新措施及变更）收集成本估算概算。估算预期包括硬件、软件及实施服务的一次性成本，以及硬件、软件和系统支援及维护服务的年度经常性成本，并须按照下列章节所载要求提供。</w:t>
      </w:r>
    </w:p>
    <w:p w14:paraId="4034C102">
      <w:pPr>
        <w:pStyle w:val="3"/>
        <w:rPr>
          <w:rFonts w:hint="eastAsia" w:ascii="微软雅黑" w:hAnsi="微软雅黑" w:eastAsia="微软雅黑" w:cs="微软雅黑"/>
        </w:rPr>
      </w:pPr>
      <w:r>
        <w:rPr>
          <w:rFonts w:hint="eastAsia" w:ascii="微软雅黑" w:hAnsi="微软雅黑" w:eastAsia="微软雅黑" w:cs="微软雅黑"/>
        </w:rPr>
        <w:t>3 RFI 提交要求</w:t>
      </w:r>
    </w:p>
    <w:p w14:paraId="3C6862A3">
      <w:pPr>
        <w:spacing w:after="120" w:line="264" w:lineRule="auto"/>
        <w:rPr>
          <w:rFonts w:hint="eastAsia" w:ascii="微软雅黑" w:hAnsi="微软雅黑" w:eastAsia="微软雅黑" w:cs="微软雅黑"/>
        </w:rPr>
      </w:pPr>
      <w:r>
        <w:rPr>
          <w:rFonts w:hint="eastAsia" w:ascii="微软雅黑" w:hAnsi="微软雅黑" w:eastAsia="微软雅黑" w:cs="微软雅黑"/>
        </w:rPr>
        <w:t>3.1 现邀请有意提交建议的机构填妥附件 I 的表格，并于2026年7月6日或之前以电邮方式向入境处下列人员提交其新 AI 方案建议。</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448"/>
        <w:gridCol w:w="6768"/>
      </w:tblGrid>
      <w:tr w14:paraId="69AE3E9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shd w:val="clear" w:color="auto" w:fill="E8EEF5"/>
            <w:vAlign w:val="center"/>
          </w:tcPr>
          <w:p w14:paraId="03D3A00D">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项目</w:t>
            </w:r>
          </w:p>
        </w:tc>
        <w:tc>
          <w:tcPr>
            <w:tcW w:w="6768" w:type="dxa"/>
            <w:shd w:val="clear" w:color="auto" w:fill="E8EEF5"/>
            <w:vAlign w:val="center"/>
          </w:tcPr>
          <w:p w14:paraId="6302B53C">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资料</w:t>
            </w:r>
          </w:p>
        </w:tc>
      </w:tr>
      <w:tr w14:paraId="68DA849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7AAC6A5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联络人</w:t>
            </w:r>
          </w:p>
        </w:tc>
        <w:tc>
          <w:tcPr>
            <w:tcW w:w="6768" w:type="dxa"/>
            <w:vAlign w:val="center"/>
          </w:tcPr>
          <w:p w14:paraId="39C2141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刘永发先生（Mr. LAU, Wing-fat）</w:t>
            </w:r>
          </w:p>
        </w:tc>
      </w:tr>
      <w:tr w14:paraId="4819984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5CF4A44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电话</w:t>
            </w:r>
          </w:p>
        </w:tc>
        <w:tc>
          <w:tcPr>
            <w:tcW w:w="6768" w:type="dxa"/>
            <w:vAlign w:val="center"/>
          </w:tcPr>
          <w:p w14:paraId="2E5EE83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2294 2385</w:t>
            </w:r>
          </w:p>
        </w:tc>
      </w:tr>
      <w:tr w14:paraId="3312824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7FC33A9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电邮</w:t>
            </w:r>
          </w:p>
        </w:tc>
        <w:tc>
          <w:tcPr>
            <w:tcW w:w="6768" w:type="dxa"/>
            <w:vAlign w:val="center"/>
          </w:tcPr>
          <w:p w14:paraId="25645C8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wflau3@immd.gov.hk</w:t>
            </w:r>
          </w:p>
        </w:tc>
      </w:tr>
    </w:tbl>
    <w:p w14:paraId="72BC9E53">
      <w:pPr>
        <w:rPr>
          <w:rFonts w:hint="eastAsia" w:ascii="微软雅黑" w:hAnsi="微软雅黑" w:eastAsia="微软雅黑" w:cs="微软雅黑"/>
        </w:rPr>
      </w:pPr>
    </w:p>
    <w:p w14:paraId="1B637EC2">
      <w:pPr>
        <w:spacing w:after="120" w:line="264" w:lineRule="auto"/>
        <w:rPr>
          <w:rFonts w:hint="eastAsia" w:ascii="微软雅黑" w:hAnsi="微软雅黑" w:eastAsia="微软雅黑" w:cs="微软雅黑"/>
        </w:rPr>
      </w:pPr>
      <w:r>
        <w:rPr>
          <w:rFonts w:hint="eastAsia" w:ascii="微软雅黑" w:hAnsi="微软雅黑" w:eastAsia="微软雅黑" w:cs="微软雅黑"/>
        </w:rPr>
        <w:t>3.2 建议方案须符合第 4 节订明的要求。</w:t>
      </w:r>
    </w:p>
    <w:p w14:paraId="2101D288">
      <w:pPr>
        <w:spacing w:after="120" w:line="264" w:lineRule="auto"/>
        <w:rPr>
          <w:rFonts w:hint="eastAsia" w:ascii="微软雅黑" w:hAnsi="微软雅黑" w:eastAsia="微软雅黑" w:cs="微软雅黑"/>
        </w:rPr>
      </w:pPr>
      <w:r>
        <w:rPr>
          <w:rFonts w:hint="eastAsia" w:ascii="微软雅黑" w:hAnsi="微软雅黑" w:eastAsia="微软雅黑" w:cs="微软雅黑"/>
        </w:rPr>
        <w:t>3.3 项目时间表资料及建议方案的成本概算，应透过填写附件 I 的相关部分提供。</w:t>
      </w:r>
    </w:p>
    <w:p w14:paraId="0BEF2700">
      <w:pPr>
        <w:spacing w:after="120" w:line="264" w:lineRule="auto"/>
        <w:rPr>
          <w:rFonts w:hint="eastAsia" w:ascii="微软雅黑" w:hAnsi="微软雅黑" w:eastAsia="微软雅黑" w:cs="微软雅黑"/>
        </w:rPr>
      </w:pPr>
      <w:r>
        <w:rPr>
          <w:rFonts w:hint="eastAsia" w:ascii="微软雅黑" w:hAnsi="微软雅黑" w:eastAsia="微软雅黑" w:cs="微软雅黑"/>
        </w:rPr>
        <w:t>3.4 有意提交建议的机构在准备方案时，亦应考虑市场情况、规模经济、信息科技最新发展等相关因素。</w:t>
      </w:r>
    </w:p>
    <w:p w14:paraId="567488ED">
      <w:pPr>
        <w:pStyle w:val="3"/>
        <w:rPr>
          <w:rFonts w:hint="eastAsia" w:ascii="微软雅黑" w:hAnsi="微软雅黑" w:eastAsia="微软雅黑" w:cs="微软雅黑"/>
        </w:rPr>
      </w:pPr>
      <w:r>
        <w:rPr>
          <w:rFonts w:hint="eastAsia" w:ascii="微软雅黑" w:hAnsi="微软雅黑" w:eastAsia="微软雅黑" w:cs="微软雅黑"/>
        </w:rPr>
        <w:t>4 方案要求</w:t>
      </w:r>
    </w:p>
    <w:p w14:paraId="1FBEFC9D">
      <w:pPr>
        <w:pStyle w:val="4"/>
        <w:rPr>
          <w:rFonts w:hint="eastAsia" w:ascii="微软雅黑" w:hAnsi="微软雅黑" w:eastAsia="微软雅黑" w:cs="微软雅黑"/>
        </w:rPr>
      </w:pPr>
      <w:r>
        <w:rPr>
          <w:rFonts w:hint="eastAsia" w:ascii="微软雅黑" w:hAnsi="微软雅黑" w:eastAsia="微软雅黑" w:cs="微软雅黑"/>
        </w:rPr>
        <w:t>4.1 业务要求</w:t>
      </w:r>
    </w:p>
    <w:p w14:paraId="74E86D5F">
      <w:pPr>
        <w:spacing w:after="120" w:line="264" w:lineRule="auto"/>
        <w:rPr>
          <w:rFonts w:hint="eastAsia" w:ascii="微软雅黑" w:hAnsi="微软雅黑" w:eastAsia="微软雅黑" w:cs="微软雅黑"/>
        </w:rPr>
      </w:pPr>
      <w:r>
        <w:rPr>
          <w:rFonts w:hint="eastAsia" w:ascii="微软雅黑" w:hAnsi="微软雅黑" w:eastAsia="微软雅黑" w:cs="微软雅黑"/>
        </w:rPr>
        <w:t>4.1.1 除非另列为可选要求，本第 4 节所述所有服务及要求均属强制要求。</w:t>
      </w:r>
    </w:p>
    <w:p w14:paraId="6B0E6D51">
      <w:pPr>
        <w:spacing w:after="120" w:line="264" w:lineRule="auto"/>
        <w:rPr>
          <w:rFonts w:hint="eastAsia" w:ascii="微软雅黑" w:hAnsi="微软雅黑" w:eastAsia="微软雅黑" w:cs="微软雅黑"/>
        </w:rPr>
      </w:pPr>
      <w:r>
        <w:rPr>
          <w:rFonts w:hint="eastAsia" w:ascii="微软雅黑" w:hAnsi="微软雅黑" w:eastAsia="微软雅黑" w:cs="微软雅黑"/>
        </w:rPr>
        <w:t>4.1.2 按现行做法，申请人可使用网上服务提交进入香港申请及其后在香港的签证相关申请。收到的申请其后会进行个案评审。除网上提交外，申请人亦可亲身向入境处以纸本形式提交申请及证明文件。实体表格及文件会扫描为电子文件，并进行个案评审。</w:t>
      </w:r>
    </w:p>
    <w:p w14:paraId="07056870">
      <w:pPr>
        <w:spacing w:after="120" w:line="264" w:lineRule="auto"/>
        <w:rPr>
          <w:rFonts w:hint="eastAsia" w:ascii="微软雅黑" w:hAnsi="微软雅黑" w:eastAsia="微软雅黑" w:cs="微软雅黑"/>
        </w:rPr>
      </w:pPr>
      <w:r>
        <w:rPr>
          <w:rFonts w:hint="eastAsia" w:ascii="微软雅黑" w:hAnsi="微软雅黑" w:eastAsia="微软雅黑" w:cs="微软雅黑"/>
        </w:rPr>
        <w:t>4.1.3 本项目旨在应用 AI 技术，透过文件处理自动化、提升资料核验，以及协助个案主任处理文件，改善签证申请处理中的若干业务流程。这些提升将透过减少资料比对的人手工作量、降低文件错误，以及缩短整体处理时间，为签证申请带来显著效率提升。</w:t>
      </w:r>
    </w:p>
    <w:p w14:paraId="41DEAA7E">
      <w:pPr>
        <w:pStyle w:val="5"/>
        <w:rPr>
          <w:rFonts w:hint="eastAsia" w:ascii="微软雅黑" w:hAnsi="微软雅黑" w:eastAsia="微软雅黑" w:cs="微软雅黑"/>
        </w:rPr>
      </w:pPr>
      <w:r>
        <w:rPr>
          <w:rFonts w:hint="eastAsia" w:ascii="微软雅黑" w:hAnsi="微软雅黑" w:eastAsia="微软雅黑" w:cs="微软雅黑"/>
        </w:rPr>
        <w:t>4.1.4 工作量要求</w:t>
      </w:r>
    </w:p>
    <w:p w14:paraId="20FF5863">
      <w:pPr>
        <w:spacing w:after="120" w:line="264" w:lineRule="auto"/>
        <w:rPr>
          <w:rFonts w:hint="eastAsia" w:ascii="微软雅黑" w:hAnsi="微软雅黑" w:eastAsia="微软雅黑" w:cs="微软雅黑"/>
        </w:rPr>
      </w:pPr>
      <w:r>
        <w:rPr>
          <w:rFonts w:hint="eastAsia" w:ascii="微软雅黑" w:hAnsi="微软雅黑" w:eastAsia="微软雅黑" w:cs="微软雅黑"/>
        </w:rPr>
        <w:t>估算申请数量：</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3495"/>
        <w:gridCol w:w="1533"/>
        <w:gridCol w:w="1892"/>
        <w:gridCol w:w="2708"/>
      </w:tblGrid>
      <w:tr w14:paraId="5ACBBD6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Ex>
        <w:trPr>
          <w:jc w:val="center"/>
        </w:trPr>
        <w:tc>
          <w:tcPr>
            <w:tcW w:w="3744" w:type="dxa"/>
            <w:shd w:val="clear" w:color="auto" w:fill="E8EEF5"/>
            <w:vAlign w:val="center"/>
          </w:tcPr>
          <w:p w14:paraId="6BC9D5B6">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申请类型</w:t>
            </w:r>
          </w:p>
        </w:tc>
        <w:tc>
          <w:tcPr>
            <w:tcW w:w="1584" w:type="dxa"/>
            <w:shd w:val="clear" w:color="auto" w:fill="E8EEF5"/>
            <w:vAlign w:val="center"/>
          </w:tcPr>
          <w:p w14:paraId="483B1FF5">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每年申请数量</w:t>
            </w:r>
          </w:p>
        </w:tc>
        <w:tc>
          <w:tcPr>
            <w:tcW w:w="2016" w:type="dxa"/>
            <w:shd w:val="clear" w:color="auto" w:fill="E8EEF5"/>
            <w:vAlign w:val="center"/>
          </w:tcPr>
          <w:p w14:paraId="49AFC6B4">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每小时需处理申请数量</w:t>
            </w:r>
          </w:p>
        </w:tc>
        <w:tc>
          <w:tcPr>
            <w:tcW w:w="2880" w:type="dxa"/>
            <w:shd w:val="clear" w:color="auto" w:fill="E8EEF5"/>
            <w:vAlign w:val="center"/>
          </w:tcPr>
          <w:p w14:paraId="2081AD4C">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文件／影像类型</w:t>
            </w:r>
          </w:p>
        </w:tc>
      </w:tr>
      <w:tr w14:paraId="66CF172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3744" w:type="dxa"/>
            <w:vAlign w:val="center"/>
          </w:tcPr>
          <w:p w14:paraId="54CE661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签证／进入许可申请（第 1 阶段：学生相关及非本地毕业生留港／回港就业安排（IANG）相关）</w:t>
            </w:r>
          </w:p>
        </w:tc>
        <w:tc>
          <w:tcPr>
            <w:tcW w:w="1584" w:type="dxa"/>
            <w:vAlign w:val="center"/>
          </w:tcPr>
          <w:p w14:paraId="33B3596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~135,000</w:t>
            </w:r>
          </w:p>
        </w:tc>
        <w:tc>
          <w:tcPr>
            <w:tcW w:w="2016" w:type="dxa"/>
            <w:vAlign w:val="center"/>
          </w:tcPr>
          <w:p w14:paraId="0653182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~265</w:t>
            </w:r>
          </w:p>
        </w:tc>
        <w:tc>
          <w:tcPr>
            <w:tcW w:w="2880" w:type="dxa"/>
            <w:vAlign w:val="center"/>
          </w:tcPr>
          <w:p w14:paraId="0738F4A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JPEG、PDF、GIF、PNG、TIF（RAW、LZW、JPEG、CCITT-G4）等</w:t>
            </w:r>
          </w:p>
        </w:tc>
      </w:tr>
      <w:tr w14:paraId="2C5B105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3744" w:type="dxa"/>
            <w:vAlign w:val="center"/>
          </w:tcPr>
          <w:p w14:paraId="68BB2D2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签证／进入许可申请（第 2 阶段：外籍家庭佣工（FDH）相关）</w:t>
            </w:r>
          </w:p>
        </w:tc>
        <w:tc>
          <w:tcPr>
            <w:tcW w:w="1584" w:type="dxa"/>
            <w:vAlign w:val="center"/>
          </w:tcPr>
          <w:p w14:paraId="171D770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~410,000</w:t>
            </w:r>
          </w:p>
        </w:tc>
        <w:tc>
          <w:tcPr>
            <w:tcW w:w="2016" w:type="dxa"/>
            <w:vAlign w:val="center"/>
          </w:tcPr>
          <w:p w14:paraId="7694A69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~235</w:t>
            </w:r>
          </w:p>
        </w:tc>
        <w:tc>
          <w:tcPr>
            <w:tcW w:w="2880" w:type="dxa"/>
            <w:vAlign w:val="center"/>
          </w:tcPr>
          <w:p w14:paraId="326F127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JPEG、PDF、GIF、PNG、TIF（RAW、LZW、JPEG、CCITT-G4）等</w:t>
            </w:r>
          </w:p>
        </w:tc>
      </w:tr>
    </w:tbl>
    <w:p w14:paraId="7C4CE616">
      <w:pPr>
        <w:rPr>
          <w:rFonts w:hint="eastAsia" w:ascii="微软雅黑" w:hAnsi="微软雅黑" w:eastAsia="微软雅黑" w:cs="微软雅黑"/>
        </w:rPr>
      </w:pPr>
    </w:p>
    <w:p w14:paraId="4D26A18A">
      <w:pPr>
        <w:spacing w:after="120" w:line="264" w:lineRule="auto"/>
        <w:rPr>
          <w:rFonts w:hint="eastAsia" w:ascii="微软雅黑" w:hAnsi="微软雅黑" w:eastAsia="微软雅黑" w:cs="微软雅黑"/>
        </w:rPr>
      </w:pPr>
      <w:r>
        <w:rPr>
          <w:rFonts w:hint="eastAsia" w:ascii="微软雅黑" w:hAnsi="微软雅黑" w:eastAsia="微软雅黑" w:cs="微软雅黑"/>
        </w:rPr>
        <w:t>每宗申请估算容量：</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880"/>
        <w:gridCol w:w="2880"/>
        <w:gridCol w:w="2880"/>
      </w:tblGrid>
      <w:tr w14:paraId="2DF7131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880" w:type="dxa"/>
            <w:shd w:val="clear" w:color="auto" w:fill="E8EEF5"/>
            <w:vAlign w:val="center"/>
          </w:tcPr>
          <w:p w14:paraId="2BD5BD6D">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每宗申请附件数量</w:t>
            </w:r>
          </w:p>
        </w:tc>
        <w:tc>
          <w:tcPr>
            <w:tcW w:w="2880" w:type="dxa"/>
            <w:shd w:val="clear" w:color="auto" w:fill="E8EEF5"/>
            <w:vAlign w:val="center"/>
          </w:tcPr>
          <w:p w14:paraId="245E9BF0">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每份附件页数</w:t>
            </w:r>
          </w:p>
        </w:tc>
        <w:tc>
          <w:tcPr>
            <w:tcW w:w="2880" w:type="dxa"/>
            <w:shd w:val="clear" w:color="auto" w:fill="E8EEF5"/>
            <w:vAlign w:val="center"/>
          </w:tcPr>
          <w:p w14:paraId="489218D9">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每份附件平均大小</w:t>
            </w:r>
          </w:p>
        </w:tc>
      </w:tr>
      <w:tr w14:paraId="5CE6D25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880" w:type="dxa"/>
            <w:vAlign w:val="center"/>
          </w:tcPr>
          <w:p w14:paraId="7BC8585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~12</w:t>
            </w:r>
          </w:p>
        </w:tc>
        <w:tc>
          <w:tcPr>
            <w:tcW w:w="2880" w:type="dxa"/>
            <w:vAlign w:val="center"/>
          </w:tcPr>
          <w:p w14:paraId="3D3B603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~3</w:t>
            </w:r>
          </w:p>
        </w:tc>
        <w:tc>
          <w:tcPr>
            <w:tcW w:w="2880" w:type="dxa"/>
            <w:vAlign w:val="center"/>
          </w:tcPr>
          <w:p w14:paraId="580035D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5 MB</w:t>
            </w:r>
          </w:p>
        </w:tc>
      </w:tr>
    </w:tbl>
    <w:p w14:paraId="3B99111B">
      <w:pPr>
        <w:rPr>
          <w:rFonts w:hint="eastAsia" w:ascii="微软雅黑" w:hAnsi="微软雅黑" w:eastAsia="微软雅黑" w:cs="微软雅黑"/>
        </w:rPr>
      </w:pPr>
    </w:p>
    <w:p w14:paraId="7063B32C">
      <w:pPr>
        <w:spacing w:after="120" w:line="264" w:lineRule="auto"/>
        <w:rPr>
          <w:rFonts w:hint="eastAsia" w:ascii="微软雅黑" w:hAnsi="微软雅黑" w:eastAsia="微软雅黑" w:cs="微软雅黑"/>
        </w:rPr>
      </w:pPr>
      <w:r>
        <w:rPr>
          <w:rFonts w:hint="eastAsia" w:ascii="微软雅黑" w:hAnsi="微软雅黑" w:eastAsia="微软雅黑" w:cs="微软雅黑"/>
        </w:rPr>
        <w:t>* 备注：估算每年增长率应假设为 7%，为期 5 年。</w:t>
      </w:r>
    </w:p>
    <w:p w14:paraId="22177CEE">
      <w:pPr>
        <w:pStyle w:val="4"/>
        <w:rPr>
          <w:rFonts w:hint="eastAsia" w:ascii="微软雅黑" w:hAnsi="微软雅黑" w:eastAsia="微软雅黑" w:cs="微软雅黑"/>
        </w:rPr>
      </w:pPr>
      <w:r>
        <w:rPr>
          <w:rFonts w:hint="eastAsia" w:ascii="微软雅黑" w:hAnsi="微软雅黑" w:eastAsia="微软雅黑" w:cs="微软雅黑"/>
        </w:rPr>
        <w:t>4.2 新 AI 方案的主要功能</w:t>
      </w:r>
    </w:p>
    <w:p w14:paraId="6B891A8D">
      <w:pPr>
        <w:spacing w:after="120" w:line="264" w:lineRule="auto"/>
        <w:rPr>
          <w:rFonts w:hint="eastAsia" w:ascii="微软雅黑" w:hAnsi="微软雅黑" w:eastAsia="微软雅黑" w:cs="微软雅黑"/>
        </w:rPr>
      </w:pPr>
      <w:r>
        <w:rPr>
          <w:rFonts w:hint="eastAsia" w:ascii="微软雅黑" w:hAnsi="微软雅黑" w:eastAsia="微软雅黑" w:cs="微软雅黑"/>
        </w:rPr>
        <w:t>建议 AI 系统须支援以下主要功能：自动文件分类、智能资料核验及智能会议记录草拟。</w:t>
      </w:r>
    </w:p>
    <w:p w14:paraId="187BBE28">
      <w:pPr>
        <w:pStyle w:val="5"/>
        <w:rPr>
          <w:rFonts w:hint="eastAsia" w:ascii="微软雅黑" w:hAnsi="微软雅黑" w:eastAsia="微软雅黑" w:cs="微软雅黑"/>
        </w:rPr>
      </w:pPr>
      <w:r>
        <w:rPr>
          <w:rFonts w:hint="eastAsia" w:ascii="微软雅黑" w:hAnsi="微软雅黑" w:eastAsia="微软雅黑" w:cs="微软雅黑"/>
        </w:rPr>
        <w:t>4.2.1 自动文件分类</w:t>
      </w:r>
    </w:p>
    <w:p w14:paraId="250414B5">
      <w:pPr>
        <w:spacing w:after="120" w:line="264" w:lineRule="auto"/>
        <w:rPr>
          <w:rFonts w:hint="eastAsia" w:ascii="微软雅黑" w:hAnsi="微软雅黑" w:eastAsia="微软雅黑" w:cs="微软雅黑"/>
        </w:rPr>
      </w:pPr>
      <w:r>
        <w:rPr>
          <w:rFonts w:hint="eastAsia" w:ascii="微软雅黑" w:hAnsi="微软雅黑" w:eastAsia="微软雅黑" w:cs="微软雅黑"/>
        </w:rPr>
        <w:t>4.2.1.1 须根据预先定义的业务规则及工作流程要求，自动核验申请资料（包括多格式文件及影像）的完整性。</w:t>
      </w:r>
    </w:p>
    <w:p w14:paraId="14118875">
      <w:pPr>
        <w:spacing w:after="120" w:line="264" w:lineRule="auto"/>
        <w:rPr>
          <w:rFonts w:hint="eastAsia" w:ascii="微软雅黑" w:hAnsi="微软雅黑" w:eastAsia="微软雅黑" w:cs="微软雅黑"/>
        </w:rPr>
      </w:pPr>
      <w:r>
        <w:rPr>
          <w:rFonts w:hint="eastAsia" w:ascii="微软雅黑" w:hAnsi="微软雅黑" w:eastAsia="微软雅黑" w:cs="微软雅黑"/>
        </w:rPr>
        <w:t>4.2.1.2 须支援文件预处理及校正，包括影像增强、方向校正、裁剪，以及分类和核验所需的其他准备工作。</w:t>
      </w:r>
    </w:p>
    <w:p w14:paraId="534154D2">
      <w:pPr>
        <w:spacing w:after="120" w:line="264" w:lineRule="auto"/>
        <w:rPr>
          <w:rFonts w:hint="eastAsia" w:ascii="微软雅黑" w:hAnsi="微软雅黑" w:eastAsia="微软雅黑" w:cs="微软雅黑"/>
        </w:rPr>
      </w:pPr>
      <w:r>
        <w:rPr>
          <w:rFonts w:hint="eastAsia" w:ascii="微软雅黑" w:hAnsi="微软雅黑" w:eastAsia="微软雅黑" w:cs="微软雅黑"/>
        </w:rPr>
        <w:t>4.2.1.3 须将提交的文件及影像分类至预先定义的文件类别，并在适用情况下提供附有相关置信度指标的分类结果。</w:t>
      </w:r>
    </w:p>
    <w:p w14:paraId="6641C60D">
      <w:pPr>
        <w:spacing w:after="120" w:line="264" w:lineRule="auto"/>
        <w:rPr>
          <w:rFonts w:hint="eastAsia" w:ascii="微软雅黑" w:hAnsi="微软雅黑" w:eastAsia="微软雅黑" w:cs="微软雅黑"/>
        </w:rPr>
      </w:pPr>
      <w:r>
        <w:rPr>
          <w:rFonts w:hint="eastAsia" w:ascii="微软雅黑" w:hAnsi="微软雅黑" w:eastAsia="微软雅黑" w:cs="微软雅黑"/>
        </w:rPr>
        <w:t>4.2.1.4 须识别及侦测缺失、不完整、重复、不清晰、有问题或异常的文件，并提醒用户进行覆核或跟进。</w:t>
      </w:r>
    </w:p>
    <w:p w14:paraId="0B5FF04D">
      <w:pPr>
        <w:spacing w:after="120" w:line="264" w:lineRule="auto"/>
        <w:rPr>
          <w:rFonts w:hint="eastAsia" w:ascii="微软雅黑" w:hAnsi="微软雅黑" w:eastAsia="微软雅黑" w:cs="微软雅黑"/>
        </w:rPr>
      </w:pPr>
      <w:r>
        <w:rPr>
          <w:rFonts w:hint="eastAsia" w:ascii="微软雅黑" w:hAnsi="微软雅黑" w:eastAsia="微软雅黑" w:cs="微软雅黑"/>
        </w:rPr>
        <w:t>4.2.1.5 须产生分类结果并汇出相关档案（包括已校正文件）至智能资料核验功能及其他需介接的入境处系统。</w:t>
      </w:r>
    </w:p>
    <w:p w14:paraId="3C1E7AF3">
      <w:pPr>
        <w:spacing w:after="120" w:line="264" w:lineRule="auto"/>
        <w:rPr>
          <w:rFonts w:hint="eastAsia" w:ascii="微软雅黑" w:hAnsi="微软雅黑" w:eastAsia="微软雅黑" w:cs="微软雅黑"/>
        </w:rPr>
      </w:pPr>
      <w:r>
        <w:rPr>
          <w:rFonts w:hint="eastAsia" w:ascii="微软雅黑" w:hAnsi="微软雅黑" w:eastAsia="微软雅黑" w:cs="微软雅黑"/>
        </w:rPr>
        <w:t>4.2.1.6 须就文件分类活动产生并汇出相关统计、审计追踪、处理记录及报告。</w:t>
      </w:r>
    </w:p>
    <w:p w14:paraId="5D22743C">
      <w:pPr>
        <w:pStyle w:val="5"/>
        <w:rPr>
          <w:rFonts w:hint="eastAsia" w:ascii="微软雅黑" w:hAnsi="微软雅黑" w:eastAsia="微软雅黑" w:cs="微软雅黑"/>
        </w:rPr>
      </w:pPr>
      <w:r>
        <w:rPr>
          <w:rFonts w:hint="eastAsia" w:ascii="微软雅黑" w:hAnsi="微软雅黑" w:eastAsia="微软雅黑" w:cs="微软雅黑"/>
        </w:rPr>
        <w:t>4.2.2 智能资料核验</w:t>
      </w:r>
    </w:p>
    <w:p w14:paraId="1E072FD8">
      <w:pPr>
        <w:spacing w:after="120" w:line="264" w:lineRule="auto"/>
        <w:rPr>
          <w:rFonts w:hint="eastAsia" w:ascii="微软雅黑" w:hAnsi="微软雅黑" w:eastAsia="微软雅黑" w:cs="微软雅黑"/>
        </w:rPr>
      </w:pPr>
      <w:r>
        <w:rPr>
          <w:rFonts w:hint="eastAsia" w:ascii="微软雅黑" w:hAnsi="微软雅黑" w:eastAsia="微软雅黑" w:cs="微软雅黑"/>
        </w:rPr>
        <w:t>4.2.2.1 须从非结构化资料来源抽取相关资料，例如含手写内容的文件及影像，以便进一步处理。</w:t>
      </w:r>
    </w:p>
    <w:p w14:paraId="1A05102C">
      <w:pPr>
        <w:spacing w:after="120" w:line="264" w:lineRule="auto"/>
        <w:rPr>
          <w:rFonts w:hint="eastAsia" w:ascii="微软雅黑" w:hAnsi="微软雅黑" w:eastAsia="微软雅黑" w:cs="微软雅黑"/>
        </w:rPr>
      </w:pPr>
      <w:r>
        <w:rPr>
          <w:rFonts w:hint="eastAsia" w:ascii="微软雅黑" w:hAnsi="微软雅黑" w:eastAsia="微软雅黑" w:cs="微软雅黑"/>
        </w:rPr>
        <w:t>4.2.2.2 须比较申请人提交或从介接系统取得的抽取资料，以识别不一致、缺失资料或互相冲突的资料。</w:t>
      </w:r>
    </w:p>
    <w:p w14:paraId="690DA4F2">
      <w:pPr>
        <w:spacing w:after="120" w:line="264" w:lineRule="auto"/>
        <w:rPr>
          <w:rFonts w:hint="eastAsia" w:ascii="微软雅黑" w:hAnsi="微软雅黑" w:eastAsia="微软雅黑" w:cs="微软雅黑"/>
        </w:rPr>
      </w:pPr>
      <w:r>
        <w:rPr>
          <w:rFonts w:hint="eastAsia" w:ascii="微软雅黑" w:hAnsi="微软雅黑" w:eastAsia="微软雅黑" w:cs="微软雅黑"/>
        </w:rPr>
        <w:t>4.2.2.3 须根据预先定义的业务规则、工作流程逻辑及合规要求，核验抽取资料及结构化资料。</w:t>
      </w:r>
    </w:p>
    <w:p w14:paraId="28B37495">
      <w:pPr>
        <w:spacing w:after="120" w:line="264" w:lineRule="auto"/>
        <w:rPr>
          <w:rFonts w:hint="eastAsia" w:ascii="微软雅黑" w:hAnsi="微软雅黑" w:eastAsia="微软雅黑" w:cs="微软雅黑"/>
        </w:rPr>
      </w:pPr>
      <w:r>
        <w:rPr>
          <w:rFonts w:hint="eastAsia" w:ascii="微软雅黑" w:hAnsi="微软雅黑" w:eastAsia="微软雅黑" w:cs="微软雅黑"/>
        </w:rPr>
        <w:t>4.2.2.4 须识别不完整、有问题或异常的内容，包括印章不清、签署缺失、栏位不完整、资料不一致或低质素影像。</w:t>
      </w:r>
    </w:p>
    <w:p w14:paraId="1830FB0C">
      <w:pPr>
        <w:spacing w:after="120" w:line="264" w:lineRule="auto"/>
        <w:rPr>
          <w:rFonts w:hint="eastAsia" w:ascii="微软雅黑" w:hAnsi="微软雅黑" w:eastAsia="微软雅黑" w:cs="微软雅黑"/>
        </w:rPr>
      </w:pPr>
      <w:r>
        <w:rPr>
          <w:rFonts w:hint="eastAsia" w:ascii="微软雅黑" w:hAnsi="微软雅黑" w:eastAsia="微软雅黑" w:cs="微软雅黑"/>
        </w:rPr>
        <w:t>4.2.2.5 须在原始文件或影像中裁剪、标示或指出相关区域，以协助用户覆核抽取资料、差异及异常内容。</w:t>
      </w:r>
    </w:p>
    <w:p w14:paraId="00E11D63">
      <w:pPr>
        <w:spacing w:after="120" w:line="264" w:lineRule="auto"/>
        <w:rPr>
          <w:rFonts w:hint="eastAsia" w:ascii="微软雅黑" w:hAnsi="微软雅黑" w:eastAsia="微软雅黑" w:cs="微软雅黑"/>
        </w:rPr>
      </w:pPr>
      <w:r>
        <w:rPr>
          <w:rFonts w:hint="eastAsia" w:ascii="微软雅黑" w:hAnsi="微软雅黑" w:eastAsia="微软雅黑" w:cs="微软雅黑"/>
        </w:rPr>
        <w:t>4.2.2.6 须产生核验结果、显示核验状态，并标记低置信度、不一致或例外项目，以供用户覆核。</w:t>
      </w:r>
    </w:p>
    <w:p w14:paraId="549B6DBF">
      <w:pPr>
        <w:spacing w:after="120" w:line="264" w:lineRule="auto"/>
        <w:rPr>
          <w:rFonts w:hint="eastAsia" w:ascii="微软雅黑" w:hAnsi="微软雅黑" w:eastAsia="微软雅黑" w:cs="微软雅黑"/>
        </w:rPr>
      </w:pPr>
      <w:r>
        <w:rPr>
          <w:rFonts w:hint="eastAsia" w:ascii="微软雅黑" w:hAnsi="微软雅黑" w:eastAsia="微软雅黑" w:cs="微软雅黑"/>
        </w:rPr>
        <w:t>4.2.2.7 须就相关活动产生并汇出相关统计、审计追踪、处理记录及报告。</w:t>
      </w:r>
    </w:p>
    <w:p w14:paraId="679946E1">
      <w:pPr>
        <w:pStyle w:val="5"/>
        <w:rPr>
          <w:rFonts w:hint="eastAsia" w:ascii="微软雅黑" w:hAnsi="微软雅黑" w:eastAsia="微软雅黑" w:cs="微软雅黑"/>
        </w:rPr>
      </w:pPr>
      <w:r>
        <w:rPr>
          <w:rFonts w:hint="eastAsia" w:ascii="微软雅黑" w:hAnsi="微软雅黑" w:eastAsia="微软雅黑" w:cs="微软雅黑"/>
        </w:rPr>
        <w:t>4.2.3 智能会议记录草拟</w:t>
      </w:r>
    </w:p>
    <w:p w14:paraId="2222A0B8">
      <w:pPr>
        <w:spacing w:after="120" w:line="264" w:lineRule="auto"/>
        <w:rPr>
          <w:rFonts w:hint="eastAsia" w:ascii="微软雅黑" w:hAnsi="微软雅黑" w:eastAsia="微软雅黑" w:cs="微软雅黑"/>
        </w:rPr>
      </w:pPr>
      <w:r>
        <w:rPr>
          <w:rFonts w:hint="eastAsia" w:ascii="微软雅黑" w:hAnsi="微软雅黑" w:eastAsia="微软雅黑" w:cs="微软雅黑"/>
        </w:rPr>
        <w:t>4.2.3.1 须使用预先定义的模板产生会议记录草稿，例如 DOCX 格式。</w:t>
      </w:r>
    </w:p>
    <w:p w14:paraId="097B8A54">
      <w:pPr>
        <w:spacing w:after="120" w:line="264" w:lineRule="auto"/>
        <w:rPr>
          <w:rFonts w:hint="eastAsia" w:ascii="微软雅黑" w:hAnsi="微软雅黑" w:eastAsia="微软雅黑" w:cs="微软雅黑"/>
        </w:rPr>
      </w:pPr>
      <w:r>
        <w:rPr>
          <w:rFonts w:hint="eastAsia" w:ascii="微软雅黑" w:hAnsi="微软雅黑" w:eastAsia="微软雅黑" w:cs="微软雅黑"/>
        </w:rPr>
        <w:t>4.2.3.2 须按预先定义的规则及逻辑产生会议记录草稿。</w:t>
      </w:r>
    </w:p>
    <w:p w14:paraId="15FDF71E">
      <w:pPr>
        <w:spacing w:after="120" w:line="264" w:lineRule="auto"/>
        <w:rPr>
          <w:rFonts w:hint="eastAsia" w:ascii="微软雅黑" w:hAnsi="微软雅黑" w:eastAsia="微软雅黑" w:cs="微软雅黑"/>
        </w:rPr>
      </w:pPr>
      <w:r>
        <w:rPr>
          <w:rFonts w:hint="eastAsia" w:ascii="微软雅黑" w:hAnsi="微软雅黑" w:eastAsia="微软雅黑" w:cs="微软雅黑"/>
        </w:rPr>
        <w:t>4.2.3.3 须整合文件分类（4.2.1）及资料核验（4.2.2）功能的资料输入，并在业务及工作流程逻辑管控下，综合及自动填入会议记录草稿（例如 PDF 及 DOCX 格式）。</w:t>
      </w:r>
    </w:p>
    <w:p w14:paraId="49A292EA">
      <w:pPr>
        <w:spacing w:after="120" w:line="264" w:lineRule="auto"/>
        <w:rPr>
          <w:rFonts w:hint="eastAsia" w:ascii="微软雅黑" w:hAnsi="微软雅黑" w:eastAsia="微软雅黑" w:cs="微软雅黑"/>
        </w:rPr>
      </w:pPr>
      <w:r>
        <w:rPr>
          <w:rFonts w:hint="eastAsia" w:ascii="微软雅黑" w:hAnsi="微软雅黑" w:eastAsia="微软雅黑" w:cs="微软雅黑"/>
        </w:rPr>
        <w:t>4.2.3.4 须按需要将产生的会议记录草稿及相关元数据汇出至其他介接系统。</w:t>
      </w:r>
    </w:p>
    <w:p w14:paraId="12B66241">
      <w:pPr>
        <w:spacing w:after="120" w:line="264" w:lineRule="auto"/>
        <w:rPr>
          <w:rFonts w:hint="eastAsia" w:ascii="微软雅黑" w:hAnsi="微软雅黑" w:eastAsia="微软雅黑" w:cs="微软雅黑"/>
        </w:rPr>
      </w:pPr>
      <w:r>
        <w:rPr>
          <w:rFonts w:hint="eastAsia" w:ascii="微软雅黑" w:hAnsi="微软雅黑" w:eastAsia="微软雅黑" w:cs="微软雅黑"/>
        </w:rPr>
        <w:t>4.2.3.5 须就相关活动产生并汇出相关统计、审计追踪、处理记录及报告。</w:t>
      </w:r>
    </w:p>
    <w:p w14:paraId="66092B66">
      <w:pPr>
        <w:pStyle w:val="5"/>
        <w:rPr>
          <w:rFonts w:hint="eastAsia" w:ascii="微软雅黑" w:hAnsi="微软雅黑" w:eastAsia="微软雅黑" w:cs="微软雅黑"/>
        </w:rPr>
      </w:pPr>
      <w:r>
        <w:rPr>
          <w:rFonts w:hint="eastAsia" w:ascii="微软雅黑" w:hAnsi="微软雅黑" w:eastAsia="微软雅黑" w:cs="微软雅黑"/>
        </w:rPr>
        <w:t>4.2.4 综合工作流程</w:t>
      </w:r>
    </w:p>
    <w:p w14:paraId="3D79DF90">
      <w:pPr>
        <w:spacing w:after="120" w:line="264" w:lineRule="auto"/>
        <w:rPr>
          <w:rFonts w:hint="eastAsia" w:ascii="微软雅黑" w:hAnsi="微软雅黑" w:eastAsia="微软雅黑" w:cs="微软雅黑"/>
        </w:rPr>
      </w:pPr>
      <w:r>
        <w:rPr>
          <w:rFonts w:hint="eastAsia" w:ascii="微软雅黑" w:hAnsi="微软雅黑" w:eastAsia="微软雅黑" w:cs="微软雅黑"/>
        </w:rPr>
        <w:t>4.2.4.1 须能将上述 4.2.1、4.2.2 及 4.2.3 功能自动整合为精简工作流程。</w:t>
      </w:r>
    </w:p>
    <w:p w14:paraId="5D0B96F2">
      <w:pPr>
        <w:spacing w:after="120" w:line="264" w:lineRule="auto"/>
        <w:rPr>
          <w:rFonts w:hint="eastAsia" w:ascii="微软雅黑" w:hAnsi="微软雅黑" w:eastAsia="微软雅黑" w:cs="微软雅黑"/>
        </w:rPr>
      </w:pPr>
      <w:r>
        <w:rPr>
          <w:rFonts w:hint="eastAsia" w:ascii="微软雅黑" w:hAnsi="微软雅黑" w:eastAsia="微软雅黑" w:cs="微软雅黑"/>
        </w:rPr>
        <w:t>4.2.4.2 须透过 API、专用接口、批量档案传输或其他议定整合机制，从介接的入境处系统接收个案申请资料，包括结构化资料、文件、影像及证明材料。</w:t>
      </w:r>
    </w:p>
    <w:p w14:paraId="2CF9D71B">
      <w:pPr>
        <w:spacing w:after="120" w:line="264" w:lineRule="auto"/>
        <w:rPr>
          <w:rFonts w:hint="eastAsia" w:ascii="微软雅黑" w:hAnsi="微软雅黑" w:eastAsia="微软雅黑" w:cs="微软雅黑"/>
        </w:rPr>
      </w:pPr>
      <w:r>
        <w:rPr>
          <w:rFonts w:hint="eastAsia" w:ascii="微软雅黑" w:hAnsi="微软雅黑" w:eastAsia="微软雅黑" w:cs="微软雅黑"/>
        </w:rPr>
        <w:t>4.2.4.3 须将相应处理结果（包括分类结果、抽取资料、核验结果、已标示影像、会议记录草稿、报告及工作流程状态更新）交回介接系统。</w:t>
      </w:r>
    </w:p>
    <w:p w14:paraId="3A58D279">
      <w:pPr>
        <w:spacing w:after="120" w:line="264" w:lineRule="auto"/>
        <w:rPr>
          <w:rFonts w:hint="eastAsia" w:ascii="微软雅黑" w:hAnsi="微软雅黑" w:eastAsia="微软雅黑" w:cs="微软雅黑"/>
        </w:rPr>
      </w:pPr>
      <w:r>
        <w:rPr>
          <w:rFonts w:hint="eastAsia" w:ascii="微软雅黑" w:hAnsi="微软雅黑" w:eastAsia="微软雅黑" w:cs="微软雅黑"/>
        </w:rPr>
        <w:t>4.2.4.4 须产生并汇出相关统计、审计追踪、处理记录及报告。</w:t>
      </w:r>
    </w:p>
    <w:p w14:paraId="1F54919A">
      <w:pPr>
        <w:pStyle w:val="5"/>
        <w:rPr>
          <w:rFonts w:hint="eastAsia" w:ascii="微软雅黑" w:hAnsi="微软雅黑" w:eastAsia="微软雅黑" w:cs="微软雅黑"/>
        </w:rPr>
      </w:pPr>
      <w:r>
        <w:rPr>
          <w:rFonts w:hint="eastAsia" w:ascii="微软雅黑" w:hAnsi="微软雅黑" w:eastAsia="微软雅黑" w:cs="微软雅黑"/>
        </w:rPr>
        <w:t>4.2.5 AI 要求</w:t>
      </w:r>
    </w:p>
    <w:p w14:paraId="03241213">
      <w:pPr>
        <w:spacing w:after="120" w:line="264" w:lineRule="auto"/>
        <w:rPr>
          <w:rFonts w:hint="eastAsia" w:ascii="微软雅黑" w:hAnsi="微软雅黑" w:eastAsia="微软雅黑" w:cs="微软雅黑"/>
        </w:rPr>
      </w:pPr>
      <w:r>
        <w:rPr>
          <w:rFonts w:hint="eastAsia" w:ascii="微软雅黑" w:hAnsi="微软雅黑" w:eastAsia="微软雅黑" w:cs="微软雅黑"/>
        </w:rPr>
        <w:t>4.2.5.1 须采用先进 OCR 及 AI 技术（包括生成式 AI，例如大型语言模型（LLM））以支援功能要求。</w:t>
      </w:r>
    </w:p>
    <w:p w14:paraId="7B616FE6">
      <w:pPr>
        <w:spacing w:after="120" w:line="264" w:lineRule="auto"/>
        <w:rPr>
          <w:rFonts w:hint="eastAsia" w:ascii="微软雅黑" w:hAnsi="微软雅黑" w:eastAsia="微软雅黑" w:cs="微软雅黑"/>
        </w:rPr>
      </w:pPr>
      <w:r>
        <w:rPr>
          <w:rFonts w:hint="eastAsia" w:ascii="微软雅黑" w:hAnsi="微软雅黑" w:eastAsia="微软雅黑" w:cs="微软雅黑"/>
        </w:rPr>
        <w:t>4.2.5.2 须为所有 AI 驱动流程实施量化评分机制，以验证准确性。</w:t>
      </w:r>
    </w:p>
    <w:p w14:paraId="5F74344A">
      <w:pPr>
        <w:spacing w:after="120" w:line="264" w:lineRule="auto"/>
        <w:rPr>
          <w:rFonts w:hint="eastAsia" w:ascii="微软雅黑" w:hAnsi="微软雅黑" w:eastAsia="微软雅黑" w:cs="微软雅黑"/>
        </w:rPr>
      </w:pPr>
      <w:r>
        <w:rPr>
          <w:rFonts w:hint="eastAsia" w:ascii="微软雅黑" w:hAnsi="微软雅黑" w:eastAsia="微软雅黑" w:cs="微软雅黑"/>
        </w:rPr>
        <w:t>4.2.5.3 须在实施及维护期间提供持续模型调校、训练及效能优化服务，以确保持续准确率（例如 90%）。</w:t>
      </w:r>
    </w:p>
    <w:p w14:paraId="07990031">
      <w:pPr>
        <w:spacing w:after="120" w:line="264" w:lineRule="auto"/>
        <w:rPr>
          <w:rFonts w:hint="eastAsia" w:ascii="微软雅黑" w:hAnsi="微软雅黑" w:eastAsia="微软雅黑" w:cs="微软雅黑"/>
        </w:rPr>
      </w:pPr>
      <w:r>
        <w:rPr>
          <w:rFonts w:hint="eastAsia" w:ascii="微软雅黑" w:hAnsi="微软雅黑" w:eastAsia="微软雅黑" w:cs="微软雅黑"/>
        </w:rPr>
        <w:t>4.2.5.4 须支援多种调校及训练方法，包括但不限于监督式、非监督式，以及基于人类反馈的强化学习（RLHF）。</w:t>
      </w:r>
    </w:p>
    <w:p w14:paraId="4B8A76B1">
      <w:pPr>
        <w:spacing w:after="120" w:line="264" w:lineRule="auto"/>
        <w:rPr>
          <w:rFonts w:hint="eastAsia" w:ascii="微软雅黑" w:hAnsi="微软雅黑" w:eastAsia="微软雅黑" w:cs="微软雅黑"/>
        </w:rPr>
      </w:pPr>
      <w:r>
        <w:rPr>
          <w:rFonts w:hint="eastAsia" w:ascii="微软雅黑" w:hAnsi="微软雅黑" w:eastAsia="微软雅黑" w:cs="微软雅黑"/>
        </w:rPr>
        <w:t>4.2.5.5 须透过标准化 API 或系统接口，向已整合的入境处内部系统汇出 AI 生成输出（资料、影像、文件及报告）。</w:t>
      </w:r>
    </w:p>
    <w:p w14:paraId="65A21A46">
      <w:pPr>
        <w:spacing w:after="120" w:line="264" w:lineRule="auto"/>
        <w:rPr>
          <w:rFonts w:hint="eastAsia" w:ascii="微软雅黑" w:hAnsi="微软雅黑" w:eastAsia="微软雅黑" w:cs="微软雅黑"/>
        </w:rPr>
      </w:pPr>
      <w:r>
        <w:rPr>
          <w:rFonts w:hint="eastAsia" w:ascii="微软雅黑" w:hAnsi="微软雅黑" w:eastAsia="微软雅黑" w:cs="微软雅黑"/>
        </w:rPr>
        <w:t>4.2.5.6 须提供标准化 API 或接口以收集用户对 AI 生成结果的反馈，支援持续提升准确性、易用性及用户满意度。</w:t>
      </w:r>
    </w:p>
    <w:p w14:paraId="633E1A10">
      <w:pPr>
        <w:spacing w:after="120" w:line="264" w:lineRule="auto"/>
        <w:rPr>
          <w:rFonts w:hint="eastAsia" w:ascii="微软雅黑" w:hAnsi="微软雅黑" w:eastAsia="微软雅黑" w:cs="微软雅黑"/>
        </w:rPr>
      </w:pPr>
      <w:r>
        <w:rPr>
          <w:rFonts w:hint="eastAsia" w:ascii="微软雅黑" w:hAnsi="微软雅黑" w:eastAsia="微软雅黑" w:cs="微软雅黑"/>
        </w:rPr>
        <w:t>4.2.5.7 须允许技术人员在整个系统生态内执行进阶模型调校、再训练、版本管理及部署。</w:t>
      </w:r>
    </w:p>
    <w:p w14:paraId="13DE069F">
      <w:pPr>
        <w:pStyle w:val="5"/>
        <w:rPr>
          <w:rFonts w:hint="eastAsia" w:ascii="微软雅黑" w:hAnsi="微软雅黑" w:eastAsia="微软雅黑" w:cs="微软雅黑"/>
        </w:rPr>
      </w:pPr>
      <w:r>
        <w:rPr>
          <w:rFonts w:hint="eastAsia" w:ascii="微软雅黑" w:hAnsi="微软雅黑" w:eastAsia="微软雅黑" w:cs="微软雅黑"/>
        </w:rPr>
        <w:t>4.2.6 与入境处系统介接</w:t>
      </w:r>
    </w:p>
    <w:p w14:paraId="34F7FB32">
      <w:pPr>
        <w:spacing w:after="120" w:line="264" w:lineRule="auto"/>
        <w:rPr>
          <w:rFonts w:hint="eastAsia" w:ascii="微软雅黑" w:hAnsi="微软雅黑" w:eastAsia="微软雅黑" w:cs="微软雅黑"/>
        </w:rPr>
      </w:pPr>
      <w:r>
        <w:rPr>
          <w:rFonts w:hint="eastAsia" w:ascii="微软雅黑" w:hAnsi="微软雅黑" w:eastAsia="微软雅黑" w:cs="微软雅黑"/>
        </w:rPr>
        <w:t>4.2.6.1 须透过接口或 API 与现有入境处工作流程系统整合，以支援上述功能。</w:t>
      </w:r>
    </w:p>
    <w:p w14:paraId="57323A6A">
      <w:pPr>
        <w:spacing w:after="120" w:line="264" w:lineRule="auto"/>
        <w:rPr>
          <w:rFonts w:hint="eastAsia" w:ascii="微软雅黑" w:hAnsi="微软雅黑" w:eastAsia="微软雅黑" w:cs="微软雅黑"/>
        </w:rPr>
      </w:pPr>
      <w:r>
        <w:rPr>
          <w:rFonts w:hint="eastAsia" w:ascii="微软雅黑" w:hAnsi="微软雅黑" w:eastAsia="微软雅黑" w:cs="微软雅黑"/>
        </w:rPr>
        <w:t>4.2.6.2 须能透过 API 或系统接口，从入境处内部系统接收申请资料，包括表格、文件、影像及其他相关档案等结构化及非结构化资料。</w:t>
      </w:r>
    </w:p>
    <w:p w14:paraId="5F60D85C">
      <w:pPr>
        <w:spacing w:after="120" w:line="264" w:lineRule="auto"/>
        <w:rPr>
          <w:rFonts w:hint="eastAsia" w:ascii="微软雅黑" w:hAnsi="微软雅黑" w:eastAsia="微软雅黑" w:cs="微软雅黑"/>
        </w:rPr>
      </w:pPr>
      <w:r>
        <w:rPr>
          <w:rFonts w:hint="eastAsia" w:ascii="微软雅黑" w:hAnsi="微软雅黑" w:eastAsia="微软雅黑" w:cs="微软雅黑"/>
        </w:rPr>
        <w:t>4.2.6.3 须能透过 API 或系统接口，向入境处内部系统提供产生结果，包括报告、文件、会议记录、抽取资料，以及主要功能的输出。</w:t>
      </w:r>
    </w:p>
    <w:p w14:paraId="5638EDCE">
      <w:pPr>
        <w:spacing w:after="120" w:line="264" w:lineRule="auto"/>
        <w:rPr>
          <w:rFonts w:hint="eastAsia" w:ascii="微软雅黑" w:hAnsi="微软雅黑" w:eastAsia="微软雅黑" w:cs="微软雅黑"/>
        </w:rPr>
      </w:pPr>
      <w:r>
        <w:rPr>
          <w:rFonts w:hint="eastAsia" w:ascii="微软雅黑" w:hAnsi="微软雅黑" w:eastAsia="微软雅黑" w:cs="微软雅黑"/>
        </w:rPr>
        <w:t>4.2.6.4 须容许透过另一个由入境处提供且位于另一网络区域的入境处内部系统的系统接口或 API 进行资料交换及查询。</w:t>
      </w:r>
    </w:p>
    <w:p w14:paraId="7C820A6D">
      <w:pPr>
        <w:pStyle w:val="4"/>
        <w:rPr>
          <w:rFonts w:hint="eastAsia" w:ascii="微软雅黑" w:hAnsi="微软雅黑" w:eastAsia="微软雅黑" w:cs="微软雅黑"/>
        </w:rPr>
      </w:pPr>
      <w:r>
        <w:rPr>
          <w:rFonts w:hint="eastAsia" w:ascii="微软雅黑" w:hAnsi="微软雅黑" w:eastAsia="微软雅黑" w:cs="微软雅黑"/>
        </w:rPr>
        <w:t>4.3 系统要求</w:t>
      </w:r>
    </w:p>
    <w:p w14:paraId="2E703DA1">
      <w:pPr>
        <w:pStyle w:val="5"/>
        <w:rPr>
          <w:rFonts w:hint="eastAsia" w:ascii="微软雅黑" w:hAnsi="微软雅黑" w:eastAsia="微软雅黑" w:cs="微软雅黑"/>
        </w:rPr>
      </w:pPr>
      <w:r>
        <w:rPr>
          <w:rFonts w:hint="eastAsia" w:ascii="微软雅黑" w:hAnsi="微软雅黑" w:eastAsia="微软雅黑" w:cs="微软雅黑"/>
        </w:rPr>
        <w:t>4.3.1 系统环境</w:t>
      </w:r>
    </w:p>
    <w:p w14:paraId="3044E1E5">
      <w:pPr>
        <w:spacing w:after="120" w:line="264" w:lineRule="auto"/>
        <w:rPr>
          <w:rFonts w:hint="eastAsia" w:ascii="微软雅黑" w:hAnsi="微软雅黑" w:eastAsia="微软雅黑" w:cs="微软雅黑"/>
        </w:rPr>
      </w:pPr>
      <w:r>
        <w:rPr>
          <w:rFonts w:hint="eastAsia" w:ascii="微软雅黑" w:hAnsi="微软雅黑" w:eastAsia="微软雅黑" w:cs="微软雅黑"/>
        </w:rPr>
        <w:t>新 AI 方案须提供以下环境：</w:t>
      </w:r>
    </w:p>
    <w:p w14:paraId="4B195A5C">
      <w:pPr>
        <w:pStyle w:val="16"/>
        <w:spacing w:after="60"/>
        <w:rPr>
          <w:rFonts w:hint="eastAsia" w:ascii="微软雅黑" w:hAnsi="微软雅黑" w:eastAsia="微软雅黑" w:cs="微软雅黑"/>
        </w:rPr>
      </w:pPr>
      <w:r>
        <w:rPr>
          <w:rFonts w:hint="eastAsia" w:ascii="微软雅黑" w:hAnsi="微软雅黑" w:eastAsia="微软雅黑" w:cs="微软雅黑"/>
        </w:rPr>
        <w:t>生产（PRD）／用户培训（TRN）环境：生产环境中所有服务器（包括 AI 推理服务器、应用及数据库服务器、AI 管理／RAG 服务器）须采用双活方式支援本地韧性。</w:t>
      </w:r>
    </w:p>
    <w:p w14:paraId="7AEDEF32">
      <w:pPr>
        <w:pStyle w:val="16"/>
        <w:spacing w:after="60"/>
        <w:rPr>
          <w:rFonts w:hint="eastAsia" w:ascii="微软雅黑" w:hAnsi="微软雅黑" w:eastAsia="微软雅黑" w:cs="微软雅黑"/>
        </w:rPr>
      </w:pPr>
      <w:r>
        <w:rPr>
          <w:rFonts w:hint="eastAsia" w:ascii="微软雅黑" w:hAnsi="微软雅黑" w:eastAsia="微软雅黑" w:cs="微软雅黑"/>
        </w:rPr>
        <w:t>AI 调校及训练活动须位于生产环境内，并可与其他生产服务器共享实体资源；但 AI 调校及训练活动资料、AI 模型与生产环境之间须维持严格逻辑分隔。</w:t>
      </w:r>
    </w:p>
    <w:p w14:paraId="40565A1E">
      <w:pPr>
        <w:pStyle w:val="16"/>
        <w:spacing w:after="60"/>
        <w:rPr>
          <w:rFonts w:hint="eastAsia" w:ascii="微软雅黑" w:hAnsi="微软雅黑" w:eastAsia="微软雅黑" w:cs="微软雅黑"/>
        </w:rPr>
      </w:pPr>
      <w:r>
        <w:rPr>
          <w:rFonts w:hint="eastAsia" w:ascii="微软雅黑" w:hAnsi="微软雅黑" w:eastAsia="微软雅黑" w:cs="微软雅黑"/>
        </w:rPr>
        <w:t>须提供专用用户培训环境，确保用户培训资料与生产环境逻辑分隔。</w:t>
      </w:r>
    </w:p>
    <w:p w14:paraId="547A0D4A">
      <w:pPr>
        <w:pStyle w:val="16"/>
        <w:spacing w:after="60"/>
        <w:rPr>
          <w:rFonts w:hint="eastAsia" w:ascii="微软雅黑" w:hAnsi="微软雅黑" w:eastAsia="微软雅黑" w:cs="微软雅黑"/>
        </w:rPr>
      </w:pPr>
      <w:r>
        <w:rPr>
          <w:rFonts w:hint="eastAsia" w:ascii="微软雅黑" w:hAnsi="微软雅黑" w:eastAsia="微软雅黑" w:cs="微软雅黑"/>
        </w:rPr>
        <w:t>非生产环境：须支援开发（DEV）、系统整合测试（SIT）、iSIT、用户验收测试（UAT）、iUAT 及应急处理环境之间的严格资料分隔。</w:t>
      </w:r>
    </w:p>
    <w:p w14:paraId="62758018">
      <w:pPr>
        <w:pStyle w:val="16"/>
        <w:spacing w:after="60"/>
        <w:rPr>
          <w:rFonts w:hint="eastAsia" w:ascii="微软雅黑" w:hAnsi="微软雅黑" w:eastAsia="微软雅黑" w:cs="微软雅黑"/>
        </w:rPr>
      </w:pPr>
      <w:r>
        <w:rPr>
          <w:rFonts w:hint="eastAsia" w:ascii="微软雅黑" w:hAnsi="微软雅黑" w:eastAsia="微软雅黑" w:cs="微软雅黑"/>
        </w:rPr>
        <w:t>须支援多版本 AI 模型的并行托管及管理，以便利上述阶段的迭代开发及测试。</w:t>
      </w:r>
    </w:p>
    <w:p w14:paraId="45EDD39C">
      <w:pPr>
        <w:spacing w:after="120" w:line="264" w:lineRule="auto"/>
        <w:rPr>
          <w:rFonts w:hint="eastAsia" w:ascii="微软雅黑" w:hAnsi="微软雅黑" w:eastAsia="微软雅黑" w:cs="微软雅黑"/>
        </w:rPr>
      </w:pPr>
      <w:r>
        <w:rPr>
          <w:rFonts w:hint="eastAsia" w:ascii="微软雅黑" w:hAnsi="微软雅黑" w:eastAsia="微软雅黑" w:cs="微软雅黑"/>
        </w:rPr>
        <w:t>4.3.1.1 PRD/TRN 及非生产环境须位于数据中心。</w:t>
      </w:r>
    </w:p>
    <w:p w14:paraId="0B237832">
      <w:pPr>
        <w:spacing w:after="120" w:line="264" w:lineRule="auto"/>
        <w:rPr>
          <w:rFonts w:hint="eastAsia" w:ascii="微软雅黑" w:hAnsi="微软雅黑" w:eastAsia="微软雅黑" w:cs="微软雅黑"/>
        </w:rPr>
      </w:pPr>
      <w:r>
        <w:rPr>
          <w:rFonts w:hint="eastAsia" w:ascii="微软雅黑" w:hAnsi="微软雅黑" w:eastAsia="微软雅黑" w:cs="微软雅黑"/>
        </w:rPr>
        <w:t>4.3.1.2 建议方案须为本地部署方案（例如设备、相关硬件及资料托管于入境处处所内）。</w:t>
      </w:r>
    </w:p>
    <w:p w14:paraId="7F0BD094">
      <w:pPr>
        <w:pStyle w:val="5"/>
        <w:rPr>
          <w:rFonts w:hint="eastAsia" w:ascii="微软雅黑" w:hAnsi="微软雅黑" w:eastAsia="微软雅黑" w:cs="微软雅黑"/>
        </w:rPr>
      </w:pPr>
      <w:r>
        <w:rPr>
          <w:rFonts w:hint="eastAsia" w:ascii="微软雅黑" w:hAnsi="微软雅黑" w:eastAsia="微软雅黑" w:cs="微软雅黑"/>
        </w:rPr>
        <w:t>4.3.2 与其他入境处系统介接</w:t>
      </w:r>
    </w:p>
    <w:p w14:paraId="221D69CD">
      <w:pPr>
        <w:spacing w:after="120" w:line="264" w:lineRule="auto"/>
        <w:rPr>
          <w:rFonts w:hint="eastAsia" w:ascii="微软雅黑" w:hAnsi="微软雅黑" w:eastAsia="微软雅黑" w:cs="微软雅黑"/>
        </w:rPr>
      </w:pPr>
      <w:r>
        <w:rPr>
          <w:rFonts w:hint="eastAsia" w:ascii="微软雅黑" w:hAnsi="微软雅黑" w:eastAsia="微软雅黑" w:cs="微软雅黑"/>
        </w:rPr>
        <w:t>4.3.2.1 须设置系统接口服务器，透过 SFTP、API、消息队列或其他建议技术等开放接口标准，与内部入境处系统（包括新一代申请及调查便易系统（APPLIES-2）等）通讯。新 AI 方案不得直接检索内部系统所储存的资料；相反，内部系统本身会在收到接口服务器发出的服务请求后，启动服务从新 AI 方案的接口服务器检索资料。</w:t>
      </w:r>
    </w:p>
    <w:p w14:paraId="138887DA">
      <w:pPr>
        <w:spacing w:after="120" w:line="264" w:lineRule="auto"/>
        <w:rPr>
          <w:rFonts w:hint="eastAsia" w:ascii="微软雅黑" w:hAnsi="微软雅黑" w:eastAsia="微软雅黑" w:cs="微软雅黑"/>
        </w:rPr>
      </w:pPr>
      <w:r>
        <w:rPr>
          <w:rFonts w:hint="eastAsia" w:ascii="微软雅黑" w:hAnsi="微软雅黑" w:eastAsia="微软雅黑" w:cs="微软雅黑"/>
        </w:rPr>
        <w:t>4.3.2.2 来自其他入境处系统的资料，须在新 AI 方案产生结果后或入境处同意的其他时间拆除／清除。</w:t>
      </w:r>
    </w:p>
    <w:p w14:paraId="62F8B859">
      <w:pPr>
        <w:pStyle w:val="5"/>
        <w:rPr>
          <w:rFonts w:hint="eastAsia" w:ascii="微软雅黑" w:hAnsi="微软雅黑" w:eastAsia="微软雅黑" w:cs="微软雅黑"/>
        </w:rPr>
      </w:pPr>
      <w:r>
        <w:rPr>
          <w:rFonts w:hint="eastAsia" w:ascii="微软雅黑" w:hAnsi="微软雅黑" w:eastAsia="微软雅黑" w:cs="微软雅黑"/>
        </w:rPr>
        <w:t>4.3.3 网络要求</w:t>
      </w:r>
    </w:p>
    <w:p w14:paraId="5FF43398">
      <w:pPr>
        <w:spacing w:after="120" w:line="264" w:lineRule="auto"/>
        <w:rPr>
          <w:rFonts w:hint="eastAsia" w:ascii="微软雅黑" w:hAnsi="微软雅黑" w:eastAsia="微软雅黑" w:cs="微软雅黑"/>
        </w:rPr>
      </w:pPr>
      <w:r>
        <w:rPr>
          <w:rFonts w:hint="eastAsia" w:ascii="微软雅黑" w:hAnsi="微软雅黑" w:eastAsia="微软雅黑" w:cs="微软雅黑"/>
        </w:rPr>
        <w:t>4.3.3.1 新 AI 方案目标部署于受限制的封闭网络，并与位于同一网络区域的其他入境处内部系统介接。承办商可参考附录 A 图 1 及图 2 的高层次概念网络图。</w:t>
      </w:r>
    </w:p>
    <w:p w14:paraId="1E0DD890">
      <w:pPr>
        <w:spacing w:after="120" w:line="264" w:lineRule="auto"/>
        <w:rPr>
          <w:rFonts w:hint="eastAsia" w:ascii="微软雅黑" w:hAnsi="微软雅黑" w:eastAsia="微软雅黑" w:cs="微软雅黑"/>
        </w:rPr>
      </w:pPr>
      <w:r>
        <w:rPr>
          <w:rFonts w:hint="eastAsia" w:ascii="微软雅黑" w:hAnsi="微软雅黑" w:eastAsia="微软雅黑" w:cs="微软雅黑"/>
        </w:rPr>
        <w:t>4.3.3.2 位于入境事务大楼不同楼层的入境办事处计划承载前端支援设备，例如支援工作站及周边设备等。承办商须在考虑韧性的情况下建议足够网络设备，并提供水平及垂直光纤、UTP 电缆及模拟线路等布线服务。</w:t>
      </w:r>
    </w:p>
    <w:p w14:paraId="64D44A98">
      <w:pPr>
        <w:spacing w:after="120" w:line="264" w:lineRule="auto"/>
        <w:rPr>
          <w:rFonts w:hint="eastAsia" w:ascii="微软雅黑" w:hAnsi="微软雅黑" w:eastAsia="微软雅黑" w:cs="微软雅黑"/>
        </w:rPr>
      </w:pPr>
      <w:r>
        <w:rPr>
          <w:rFonts w:hint="eastAsia" w:ascii="微软雅黑" w:hAnsi="微软雅黑" w:eastAsia="微软雅黑" w:cs="微软雅黑"/>
        </w:rPr>
        <w:t>4.3.3.3 须提供新 AI 方案所需的所有网络设备，例如防火墙、交换机、路由器等。</w:t>
      </w:r>
    </w:p>
    <w:p w14:paraId="7F4561AE">
      <w:pPr>
        <w:spacing w:after="120" w:line="264" w:lineRule="auto"/>
        <w:rPr>
          <w:rFonts w:hint="eastAsia" w:ascii="微软雅黑" w:hAnsi="微软雅黑" w:eastAsia="微软雅黑" w:cs="微软雅黑"/>
        </w:rPr>
      </w:pPr>
      <w:r>
        <w:rPr>
          <w:rFonts w:hint="eastAsia" w:ascii="微软雅黑" w:hAnsi="微软雅黑" w:eastAsia="微软雅黑" w:cs="微软雅黑"/>
        </w:rPr>
        <w:t>4.3.3.4 须提供新 AI 方案所需的所有布线服务，例如将支援工作站设备及周边设备连接至网络设备、将服务器及其他装置连接至网络设备等。</w:t>
      </w:r>
    </w:p>
    <w:p w14:paraId="09D96851">
      <w:pPr>
        <w:spacing w:after="120" w:line="264" w:lineRule="auto"/>
        <w:rPr>
          <w:rFonts w:hint="eastAsia" w:ascii="微软雅黑" w:hAnsi="微软雅黑" w:eastAsia="微软雅黑" w:cs="微软雅黑"/>
        </w:rPr>
      </w:pPr>
      <w:r>
        <w:rPr>
          <w:rFonts w:hint="eastAsia" w:ascii="微软雅黑" w:hAnsi="微软雅黑" w:eastAsia="微软雅黑" w:cs="微软雅黑"/>
        </w:rPr>
        <w:t>4.3.3.5 支援工作站亦须能接入入境处封闭网络。承办商须负责相关网络配置，使支援工作站及服务器可连接入境处中央网络及相关网络设备。</w:t>
      </w:r>
    </w:p>
    <w:p w14:paraId="159BCE65">
      <w:pPr>
        <w:pStyle w:val="5"/>
        <w:rPr>
          <w:rFonts w:hint="eastAsia" w:ascii="微软雅黑" w:hAnsi="微软雅黑" w:eastAsia="微软雅黑" w:cs="微软雅黑"/>
        </w:rPr>
      </w:pPr>
      <w:r>
        <w:rPr>
          <w:rFonts w:hint="eastAsia" w:ascii="微软雅黑" w:hAnsi="微软雅黑" w:eastAsia="微软雅黑" w:cs="微软雅黑"/>
        </w:rPr>
        <w:t>4.3.4 资料抽取／预处理</w:t>
      </w:r>
    </w:p>
    <w:p w14:paraId="60C9B4BC">
      <w:pPr>
        <w:spacing w:after="120" w:line="264" w:lineRule="auto"/>
        <w:rPr>
          <w:rFonts w:hint="eastAsia" w:ascii="微软雅黑" w:hAnsi="微软雅黑" w:eastAsia="微软雅黑" w:cs="微软雅黑"/>
        </w:rPr>
      </w:pPr>
      <w:r>
        <w:rPr>
          <w:rFonts w:hint="eastAsia" w:ascii="微软雅黑" w:hAnsi="微软雅黑" w:eastAsia="微软雅黑" w:cs="微软雅黑"/>
        </w:rPr>
        <w:t>4.3.4.1 须从现有入境处系统执行资料抽取、转换、清洗及载入（ETL）。该等资料须按 AI 模型要求准备，尤其用于 AI 调校及训练。</w:t>
      </w:r>
    </w:p>
    <w:p w14:paraId="4C87E4F1">
      <w:pPr>
        <w:spacing w:after="120" w:line="264" w:lineRule="auto"/>
        <w:rPr>
          <w:rFonts w:hint="eastAsia" w:ascii="微软雅黑" w:hAnsi="微软雅黑" w:eastAsia="微软雅黑" w:cs="微软雅黑"/>
        </w:rPr>
      </w:pPr>
      <w:r>
        <w:rPr>
          <w:rFonts w:hint="eastAsia" w:ascii="微软雅黑" w:hAnsi="微软雅黑" w:eastAsia="微软雅黑" w:cs="微软雅黑"/>
        </w:rPr>
        <w:t>4.3.4.2 须提供支援资料抽取及预处理操作所需的一切基础设施，包括硬件、软件、网络架构及广域网连接。</w:t>
      </w:r>
    </w:p>
    <w:p w14:paraId="2F148730">
      <w:pPr>
        <w:pStyle w:val="16"/>
        <w:spacing w:after="60"/>
        <w:rPr>
          <w:rFonts w:hint="eastAsia" w:ascii="微软雅黑" w:hAnsi="微软雅黑" w:eastAsia="微软雅黑" w:cs="微软雅黑"/>
        </w:rPr>
      </w:pPr>
      <w:r>
        <w:rPr>
          <w:rFonts w:hint="eastAsia" w:ascii="微软雅黑" w:hAnsi="微软雅黑" w:eastAsia="微软雅黑" w:cs="微软雅黑"/>
        </w:rPr>
        <w:t>实施阶段成功完成后，所有提供的设备须退役并交还承办商。</w:t>
      </w:r>
    </w:p>
    <w:p w14:paraId="240EBAB8">
      <w:pPr>
        <w:pStyle w:val="16"/>
        <w:spacing w:after="60"/>
        <w:rPr>
          <w:rFonts w:hint="eastAsia" w:ascii="微软雅黑" w:hAnsi="微软雅黑" w:eastAsia="微软雅黑" w:cs="微软雅黑"/>
        </w:rPr>
      </w:pPr>
      <w:r>
        <w:rPr>
          <w:rFonts w:hint="eastAsia" w:ascii="微软雅黑" w:hAnsi="微软雅黑" w:eastAsia="微软雅黑" w:cs="微软雅黑"/>
        </w:rPr>
        <w:t>在任何设备实体交还前，承办商须确保所有储存媒体及硬盘完成正式消磁程序，以永久销毁所有敏感资料。</w:t>
      </w:r>
    </w:p>
    <w:p w14:paraId="0392E235">
      <w:pPr>
        <w:pStyle w:val="5"/>
        <w:rPr>
          <w:rFonts w:hint="eastAsia" w:ascii="微软雅黑" w:hAnsi="微软雅黑" w:eastAsia="微软雅黑" w:cs="微软雅黑"/>
        </w:rPr>
      </w:pPr>
      <w:r>
        <w:rPr>
          <w:rFonts w:hint="eastAsia" w:ascii="微软雅黑" w:hAnsi="微软雅黑" w:eastAsia="微软雅黑" w:cs="微软雅黑"/>
        </w:rPr>
        <w:t>4.3.5 其他基础设施及系统要求</w:t>
      </w:r>
    </w:p>
    <w:p w14:paraId="4E8185B4">
      <w:pPr>
        <w:spacing w:after="120" w:line="264" w:lineRule="auto"/>
        <w:rPr>
          <w:rFonts w:hint="eastAsia" w:ascii="微软雅黑" w:hAnsi="微软雅黑" w:eastAsia="微软雅黑" w:cs="微软雅黑"/>
        </w:rPr>
      </w:pPr>
      <w:r>
        <w:rPr>
          <w:rFonts w:hint="eastAsia" w:ascii="微软雅黑" w:hAnsi="微软雅黑" w:eastAsia="微软雅黑" w:cs="微软雅黑"/>
        </w:rPr>
        <w:t>4.3.5.1 须将新 AI 方案与入境处现有基础设施及网络整合，包括但不限于 Active Directory（AD）、网域名称系统（DNS）、动态主机配置协定（DHCP）、网络时间协定（NTP）、端点侦测及回应（EDR）、防病毒服务监察方案、安全信息及事件管理（SIEM）及企业系统管理（ESM）。</w:t>
      </w:r>
    </w:p>
    <w:p w14:paraId="242075BF">
      <w:pPr>
        <w:spacing w:after="120" w:line="264" w:lineRule="auto"/>
        <w:rPr>
          <w:rFonts w:hint="eastAsia" w:ascii="微软雅黑" w:hAnsi="微软雅黑" w:eastAsia="微软雅黑" w:cs="微软雅黑"/>
        </w:rPr>
      </w:pPr>
      <w:r>
        <w:rPr>
          <w:rFonts w:hint="eastAsia" w:ascii="微软雅黑" w:hAnsi="微软雅黑" w:eastAsia="微软雅黑" w:cs="微软雅黑"/>
        </w:rPr>
        <w:t>4.3.5.2 须提供防病毒及／或安全服务器，以向服务器及工作站（包括实体及虚拟化平台）部署最新防病毒更新及安全修补程序。</w:t>
      </w:r>
    </w:p>
    <w:p w14:paraId="40086EB5">
      <w:pPr>
        <w:spacing w:after="120" w:line="264" w:lineRule="auto"/>
        <w:rPr>
          <w:rFonts w:hint="eastAsia" w:ascii="微软雅黑" w:hAnsi="微软雅黑" w:eastAsia="微软雅黑" w:cs="微软雅黑"/>
        </w:rPr>
      </w:pPr>
      <w:r>
        <w:rPr>
          <w:rFonts w:hint="eastAsia" w:ascii="微软雅黑" w:hAnsi="微软雅黑" w:eastAsia="微软雅黑" w:cs="微软雅黑"/>
        </w:rPr>
        <w:t>4.3.5.3 须提供 ESM 软件／授权。</w:t>
      </w:r>
    </w:p>
    <w:p w14:paraId="3220B9EE">
      <w:pPr>
        <w:spacing w:after="120" w:line="264" w:lineRule="auto"/>
        <w:rPr>
          <w:rFonts w:hint="eastAsia" w:ascii="微软雅黑" w:hAnsi="微软雅黑" w:eastAsia="微软雅黑" w:cs="微软雅黑"/>
        </w:rPr>
      </w:pPr>
      <w:r>
        <w:rPr>
          <w:rFonts w:hint="eastAsia" w:ascii="微软雅黑" w:hAnsi="微软雅黑" w:eastAsia="微软雅黑" w:cs="微软雅黑"/>
        </w:rPr>
        <w:t>4.3.5.4 须提供 EDR 软件／授权。</w:t>
      </w:r>
    </w:p>
    <w:p w14:paraId="3E4CA945">
      <w:pPr>
        <w:spacing w:after="120" w:line="264" w:lineRule="auto"/>
        <w:rPr>
          <w:rFonts w:hint="eastAsia" w:ascii="微软雅黑" w:hAnsi="微软雅黑" w:eastAsia="微软雅黑" w:cs="微软雅黑"/>
        </w:rPr>
      </w:pPr>
      <w:r>
        <w:rPr>
          <w:rFonts w:hint="eastAsia" w:ascii="微软雅黑" w:hAnsi="微软雅黑" w:eastAsia="微软雅黑" w:cs="微软雅黑"/>
        </w:rPr>
        <w:t>4.3.5.5 须提供 SIEM 软件／授权。</w:t>
      </w:r>
    </w:p>
    <w:p w14:paraId="6DC4B490">
      <w:pPr>
        <w:spacing w:after="120" w:line="264" w:lineRule="auto"/>
        <w:rPr>
          <w:rFonts w:hint="eastAsia" w:ascii="微软雅黑" w:hAnsi="微软雅黑" w:eastAsia="微软雅黑" w:cs="微软雅黑"/>
        </w:rPr>
      </w:pPr>
      <w:r>
        <w:rPr>
          <w:rFonts w:hint="eastAsia" w:ascii="微软雅黑" w:hAnsi="微软雅黑" w:eastAsia="微软雅黑" w:cs="微软雅黑"/>
        </w:rPr>
        <w:t>4.3.5.6 须提供批次作业排程功能。</w:t>
      </w:r>
    </w:p>
    <w:p w14:paraId="125C0894">
      <w:pPr>
        <w:spacing w:after="120" w:line="264" w:lineRule="auto"/>
        <w:rPr>
          <w:rFonts w:hint="eastAsia" w:ascii="微软雅黑" w:hAnsi="微软雅黑" w:eastAsia="微软雅黑" w:cs="微软雅黑"/>
        </w:rPr>
      </w:pPr>
      <w:r>
        <w:rPr>
          <w:rFonts w:hint="eastAsia" w:ascii="微软雅黑" w:hAnsi="微软雅黑" w:eastAsia="微软雅黑" w:cs="微软雅黑"/>
        </w:rPr>
        <w:t>4.3.5.7 须提供报告及打印功能，例如 AI 审计追踪及统计资料。</w:t>
      </w:r>
    </w:p>
    <w:p w14:paraId="3B5552B4">
      <w:pPr>
        <w:spacing w:after="120" w:line="264" w:lineRule="auto"/>
        <w:rPr>
          <w:rFonts w:hint="eastAsia" w:ascii="微软雅黑" w:hAnsi="微软雅黑" w:eastAsia="微软雅黑" w:cs="微软雅黑"/>
        </w:rPr>
      </w:pPr>
      <w:r>
        <w:rPr>
          <w:rFonts w:hint="eastAsia" w:ascii="微软雅黑" w:hAnsi="微软雅黑" w:eastAsia="微软雅黑" w:cs="微软雅黑"/>
        </w:rPr>
        <w:t>4.3.5.8 须提供密钥管理方案，以管理资料加密密钥／证书的生命周期并安全保护该等密钥／证书；密钥管理方案须配置具韧性的专用服务器。</w:t>
      </w:r>
    </w:p>
    <w:p w14:paraId="6F2C154D">
      <w:pPr>
        <w:pStyle w:val="5"/>
        <w:rPr>
          <w:rFonts w:hint="eastAsia" w:ascii="微软雅黑" w:hAnsi="微软雅黑" w:eastAsia="微软雅黑" w:cs="微软雅黑"/>
        </w:rPr>
      </w:pPr>
      <w:r>
        <w:rPr>
          <w:rFonts w:hint="eastAsia" w:ascii="微软雅黑" w:hAnsi="微软雅黑" w:eastAsia="微软雅黑" w:cs="微软雅黑"/>
        </w:rPr>
        <w:t>4.3.6 硬件及软件要求</w:t>
      </w:r>
    </w:p>
    <w:p w14:paraId="319D0951">
      <w:pPr>
        <w:spacing w:after="120" w:line="264" w:lineRule="auto"/>
        <w:rPr>
          <w:rFonts w:hint="eastAsia" w:ascii="微软雅黑" w:hAnsi="微软雅黑" w:eastAsia="微软雅黑" w:cs="微软雅黑"/>
        </w:rPr>
      </w:pPr>
      <w:r>
        <w:rPr>
          <w:rFonts w:hint="eastAsia" w:ascii="微软雅黑" w:hAnsi="微软雅黑" w:eastAsia="微软雅黑" w:cs="微软雅黑"/>
        </w:rPr>
        <w:t>4.3.6.1 实施时须尽可能将信息技术应用创新（ITAI）或「信创」作为战略措施采用。建议 ITAI 方案须符合以下要求：</w:t>
      </w:r>
    </w:p>
    <w:p w14:paraId="23A0AEFA">
      <w:pPr>
        <w:pStyle w:val="16"/>
        <w:spacing w:after="60"/>
        <w:rPr>
          <w:rFonts w:hint="eastAsia" w:ascii="微软雅黑" w:hAnsi="微软雅黑" w:eastAsia="微软雅黑" w:cs="微软雅黑"/>
        </w:rPr>
      </w:pPr>
      <w:r>
        <w:rPr>
          <w:rFonts w:hint="eastAsia" w:ascii="微软雅黑" w:hAnsi="微软雅黑" w:eastAsia="微软雅黑" w:cs="微软雅黑"/>
        </w:rPr>
        <w:t>建议硬件及软件已列入中国信息安全测评中心；</w:t>
      </w:r>
    </w:p>
    <w:p w14:paraId="41D5EF92">
      <w:pPr>
        <w:pStyle w:val="16"/>
        <w:spacing w:after="60"/>
        <w:rPr>
          <w:rFonts w:hint="eastAsia" w:ascii="微软雅黑" w:hAnsi="微软雅黑" w:eastAsia="微软雅黑" w:cs="微软雅黑"/>
        </w:rPr>
      </w:pPr>
      <w:r>
        <w:rPr>
          <w:rFonts w:hint="eastAsia" w:ascii="微软雅黑" w:hAnsi="微软雅黑" w:eastAsia="微软雅黑" w:cs="微软雅黑"/>
        </w:rPr>
        <w:t>建议硬件及软件的原产地须为中华人民共和国（PRC）；或</w:t>
      </w:r>
    </w:p>
    <w:p w14:paraId="4E34433D">
      <w:pPr>
        <w:pStyle w:val="16"/>
        <w:spacing w:after="60"/>
        <w:rPr>
          <w:rFonts w:hint="eastAsia" w:ascii="微软雅黑" w:hAnsi="微软雅黑" w:eastAsia="微软雅黑" w:cs="微软雅黑"/>
        </w:rPr>
      </w:pPr>
      <w:r>
        <w:rPr>
          <w:rFonts w:hint="eastAsia" w:ascii="微软雅黑" w:hAnsi="微软雅黑" w:eastAsia="微软雅黑" w:cs="微软雅黑"/>
        </w:rPr>
        <w:t>建议软件须为开源产品。</w:t>
      </w:r>
    </w:p>
    <w:p w14:paraId="7872F15E">
      <w:pPr>
        <w:spacing w:after="120" w:line="264" w:lineRule="auto"/>
        <w:rPr>
          <w:rFonts w:hint="eastAsia" w:ascii="微软雅黑" w:hAnsi="微软雅黑" w:eastAsia="微软雅黑" w:cs="微软雅黑"/>
        </w:rPr>
      </w:pPr>
      <w:r>
        <w:rPr>
          <w:rFonts w:hint="eastAsia" w:ascii="微软雅黑" w:hAnsi="微软雅黑" w:eastAsia="微软雅黑" w:cs="微软雅黑"/>
        </w:rPr>
        <w:t>4.3.6.2 须为第 4.3.1 节所述所有环境提供所需硬件及软件，即生产／用户培训及非生产站点。</w:t>
      </w:r>
    </w:p>
    <w:p w14:paraId="6B76100A">
      <w:pPr>
        <w:spacing w:after="120" w:line="264" w:lineRule="auto"/>
        <w:rPr>
          <w:rFonts w:hint="eastAsia" w:ascii="微软雅黑" w:hAnsi="微软雅黑" w:eastAsia="微软雅黑" w:cs="微软雅黑"/>
        </w:rPr>
      </w:pPr>
      <w:r>
        <w:rPr>
          <w:rFonts w:hint="eastAsia" w:ascii="微软雅黑" w:hAnsi="微软雅黑" w:eastAsia="微软雅黑" w:cs="微软雅黑"/>
        </w:rPr>
        <w:t>4.3.6.3 须采用服务器虚拟化或类似方法，以利用服务器资源并减少服务器故障对服务的影响；所有资料来源须储存于集中式储存区域网络（SAN）或本地储存，并以加密格式保存。</w:t>
      </w:r>
    </w:p>
    <w:p w14:paraId="14323C55">
      <w:pPr>
        <w:spacing w:after="120" w:line="264" w:lineRule="auto"/>
        <w:rPr>
          <w:rFonts w:hint="eastAsia" w:ascii="微软雅黑" w:hAnsi="微软雅黑" w:eastAsia="微软雅黑" w:cs="微软雅黑"/>
        </w:rPr>
      </w:pPr>
      <w:r>
        <w:rPr>
          <w:rFonts w:hint="eastAsia" w:ascii="微软雅黑" w:hAnsi="微软雅黑" w:eastAsia="微软雅黑" w:cs="微软雅黑"/>
        </w:rPr>
        <w:t>4.3.6.4 资料须储存在集中式储存区域网络（SAN）或本地服务器储存。以下为新 AI 方案可能需要且可按设计及功能部署于不同网段的服务器（或虚拟化服务器）示例：</w:t>
      </w:r>
    </w:p>
    <w:p w14:paraId="43728FE2">
      <w:pPr>
        <w:pStyle w:val="16"/>
        <w:spacing w:after="60"/>
        <w:rPr>
          <w:rFonts w:hint="eastAsia" w:ascii="微软雅黑" w:hAnsi="微软雅黑" w:eastAsia="微软雅黑" w:cs="微软雅黑"/>
        </w:rPr>
      </w:pPr>
      <w:r>
        <w:rPr>
          <w:rFonts w:hint="eastAsia" w:ascii="微软雅黑" w:hAnsi="微软雅黑" w:eastAsia="微软雅黑" w:cs="微软雅黑"/>
        </w:rPr>
        <w:t>(a) AI 服务器；</w:t>
      </w:r>
    </w:p>
    <w:p w14:paraId="0CD6B2BE">
      <w:pPr>
        <w:pStyle w:val="16"/>
        <w:spacing w:after="60"/>
        <w:rPr>
          <w:rFonts w:hint="eastAsia" w:ascii="微软雅黑" w:hAnsi="微软雅黑" w:eastAsia="微软雅黑" w:cs="微软雅黑"/>
        </w:rPr>
      </w:pPr>
      <w:r>
        <w:rPr>
          <w:rFonts w:hint="eastAsia" w:ascii="微软雅黑" w:hAnsi="微软雅黑" w:eastAsia="微软雅黑" w:cs="微软雅黑"/>
        </w:rPr>
        <w:t>(b) AI 管理／RAG 服务器；</w:t>
      </w:r>
    </w:p>
    <w:p w14:paraId="2873ACF9">
      <w:pPr>
        <w:pStyle w:val="16"/>
        <w:spacing w:after="60"/>
        <w:rPr>
          <w:rFonts w:hint="eastAsia" w:ascii="微软雅黑" w:hAnsi="微软雅黑" w:eastAsia="微软雅黑" w:cs="微软雅黑"/>
        </w:rPr>
      </w:pPr>
      <w:r>
        <w:rPr>
          <w:rFonts w:hint="eastAsia" w:ascii="微软雅黑" w:hAnsi="微软雅黑" w:eastAsia="微软雅黑" w:cs="微软雅黑"/>
        </w:rPr>
        <w:t>(c) 应用服务器（如适用）；</w:t>
      </w:r>
    </w:p>
    <w:p w14:paraId="2D75EB4E">
      <w:pPr>
        <w:pStyle w:val="16"/>
        <w:spacing w:after="60"/>
        <w:rPr>
          <w:rFonts w:hint="eastAsia" w:ascii="微软雅黑" w:hAnsi="微软雅黑" w:eastAsia="微软雅黑" w:cs="微软雅黑"/>
        </w:rPr>
      </w:pPr>
      <w:r>
        <w:rPr>
          <w:rFonts w:hint="eastAsia" w:ascii="微软雅黑" w:hAnsi="微软雅黑" w:eastAsia="微软雅黑" w:cs="微软雅黑"/>
        </w:rPr>
        <w:t>(d) 数据库服务器（如适用）；</w:t>
      </w:r>
    </w:p>
    <w:p w14:paraId="6D1DEB6A">
      <w:pPr>
        <w:pStyle w:val="16"/>
        <w:spacing w:after="60"/>
        <w:rPr>
          <w:rFonts w:hint="eastAsia" w:ascii="微软雅黑" w:hAnsi="微软雅黑" w:eastAsia="微软雅黑" w:cs="微软雅黑"/>
        </w:rPr>
      </w:pPr>
      <w:r>
        <w:rPr>
          <w:rFonts w:hint="eastAsia" w:ascii="微软雅黑" w:hAnsi="微软雅黑" w:eastAsia="微软雅黑" w:cs="微软雅黑"/>
        </w:rPr>
        <w:t>(e) 系统接口服务器（如适用）；</w:t>
      </w:r>
    </w:p>
    <w:p w14:paraId="73A26E75">
      <w:pPr>
        <w:pStyle w:val="16"/>
        <w:spacing w:after="60"/>
        <w:rPr>
          <w:rFonts w:hint="eastAsia" w:ascii="微软雅黑" w:hAnsi="微软雅黑" w:eastAsia="微软雅黑" w:cs="微软雅黑"/>
        </w:rPr>
      </w:pPr>
      <w:r>
        <w:rPr>
          <w:rFonts w:hint="eastAsia" w:ascii="微软雅黑" w:hAnsi="微软雅黑" w:eastAsia="微软雅黑" w:cs="微软雅黑"/>
        </w:rPr>
        <w:t>(f) 基础设施服务器，功能包括但不限于 AD、防病毒管理、DNS、时间同步、防病毒、EDR、SIEM、修补程序／软件分发管理、监察服务及 ESM 闸道；</w:t>
      </w:r>
    </w:p>
    <w:p w14:paraId="1071F494">
      <w:pPr>
        <w:pStyle w:val="16"/>
        <w:spacing w:after="60"/>
        <w:rPr>
          <w:rFonts w:hint="eastAsia" w:ascii="微软雅黑" w:hAnsi="微软雅黑" w:eastAsia="微软雅黑" w:cs="微软雅黑"/>
        </w:rPr>
      </w:pPr>
      <w:r>
        <w:rPr>
          <w:rFonts w:hint="eastAsia" w:ascii="微软雅黑" w:hAnsi="微软雅黑" w:eastAsia="微软雅黑" w:cs="微软雅黑"/>
        </w:rPr>
        <w:t>(g) 用于资料及系统备份的备份服务器及设备；</w:t>
      </w:r>
    </w:p>
    <w:p w14:paraId="7AC8606D">
      <w:pPr>
        <w:pStyle w:val="16"/>
        <w:spacing w:after="60"/>
        <w:rPr>
          <w:rFonts w:hint="eastAsia" w:ascii="微软雅黑" w:hAnsi="微软雅黑" w:eastAsia="微软雅黑" w:cs="微软雅黑"/>
        </w:rPr>
      </w:pPr>
      <w:r>
        <w:rPr>
          <w:rFonts w:hint="eastAsia" w:ascii="微软雅黑" w:hAnsi="微软雅黑" w:eastAsia="微软雅黑" w:cs="微软雅黑"/>
        </w:rPr>
        <w:t>(h) 磁碟式备份储存；</w:t>
      </w:r>
    </w:p>
    <w:p w14:paraId="01268AA5">
      <w:pPr>
        <w:pStyle w:val="16"/>
        <w:spacing w:after="60"/>
        <w:rPr>
          <w:rFonts w:hint="eastAsia" w:ascii="微软雅黑" w:hAnsi="微软雅黑" w:eastAsia="微软雅黑" w:cs="微软雅黑"/>
        </w:rPr>
      </w:pPr>
      <w:r>
        <w:rPr>
          <w:rFonts w:hint="eastAsia" w:ascii="微软雅黑" w:hAnsi="微软雅黑" w:eastAsia="微软雅黑" w:cs="微软雅黑"/>
        </w:rPr>
        <w:t>(i) SAN 储存（如适用）；</w:t>
      </w:r>
    </w:p>
    <w:p w14:paraId="0D1918AA">
      <w:pPr>
        <w:pStyle w:val="16"/>
        <w:spacing w:after="60"/>
        <w:rPr>
          <w:rFonts w:hint="eastAsia" w:ascii="微软雅黑" w:hAnsi="微软雅黑" w:eastAsia="微软雅黑" w:cs="微软雅黑"/>
        </w:rPr>
      </w:pPr>
      <w:r>
        <w:rPr>
          <w:rFonts w:hint="eastAsia" w:ascii="微软雅黑" w:hAnsi="微软雅黑" w:eastAsia="微软雅黑" w:cs="微软雅黑"/>
        </w:rPr>
        <w:t>(j) SAN 加密设备（如适用）；以及</w:t>
      </w:r>
    </w:p>
    <w:p w14:paraId="562E3E96">
      <w:pPr>
        <w:pStyle w:val="16"/>
        <w:spacing w:after="60"/>
        <w:rPr>
          <w:rFonts w:hint="eastAsia" w:ascii="微软雅黑" w:hAnsi="微软雅黑" w:eastAsia="微软雅黑" w:cs="微软雅黑"/>
        </w:rPr>
      </w:pPr>
      <w:r>
        <w:rPr>
          <w:rFonts w:hint="eastAsia" w:ascii="微软雅黑" w:hAnsi="微软雅黑" w:eastAsia="微软雅黑" w:cs="微软雅黑"/>
        </w:rPr>
        <w:t>(k) 用于备份储存、SAN 储存、本地储存及服务器的密钥管理子系统服务器／设备。</w:t>
      </w:r>
    </w:p>
    <w:p w14:paraId="5DD86EF8">
      <w:pPr>
        <w:spacing w:after="120" w:line="264" w:lineRule="auto"/>
        <w:rPr>
          <w:rFonts w:hint="eastAsia" w:ascii="微软雅黑" w:hAnsi="微软雅黑" w:eastAsia="微软雅黑" w:cs="微软雅黑"/>
        </w:rPr>
      </w:pPr>
      <w:r>
        <w:rPr>
          <w:rFonts w:hint="eastAsia" w:ascii="微软雅黑" w:hAnsi="微软雅黑" w:eastAsia="微软雅黑" w:cs="微软雅黑"/>
        </w:rPr>
        <w:t>4.3.6.5 其他服务器支援功能包括但不限于主机式 IDS 管理、虚拟化管理、系统管理、网络管理、工作站管理及修补程序／软件分发管理及监察服务。</w:t>
      </w:r>
    </w:p>
    <w:p w14:paraId="0546A18C">
      <w:pPr>
        <w:spacing w:after="120" w:line="264" w:lineRule="auto"/>
        <w:rPr>
          <w:rFonts w:hint="eastAsia" w:ascii="微软雅黑" w:hAnsi="微软雅黑" w:eastAsia="微软雅黑" w:cs="微软雅黑"/>
        </w:rPr>
      </w:pPr>
      <w:r>
        <w:rPr>
          <w:rFonts w:hint="eastAsia" w:ascii="微软雅黑" w:hAnsi="微软雅黑" w:eastAsia="微软雅黑" w:cs="微软雅黑"/>
        </w:rPr>
        <w:t>4.3.6.6 AI 调校及训练活动可于生产环境内进行，并可共享生产环境中的其他实体服务器及资源；但 AI 调校及训练活动资料、AI 模型与生产环境之间须维持严格逻辑分隔。</w:t>
      </w:r>
    </w:p>
    <w:p w14:paraId="73B81BB8">
      <w:pPr>
        <w:spacing w:after="120" w:line="264" w:lineRule="auto"/>
        <w:rPr>
          <w:rFonts w:hint="eastAsia" w:ascii="微软雅黑" w:hAnsi="微软雅黑" w:eastAsia="微软雅黑" w:cs="微软雅黑"/>
        </w:rPr>
      </w:pPr>
      <w:r>
        <w:rPr>
          <w:rFonts w:hint="eastAsia" w:ascii="微软雅黑" w:hAnsi="微软雅黑" w:eastAsia="微软雅黑" w:cs="微软雅黑"/>
        </w:rPr>
        <w:t>4.3.6.7 对于生产环境，所有服务器（包括 AI 服务器、应用及数据库服务器、AI 管理／RAG 服务器）须以双活机制提供本地韧性。</w:t>
      </w:r>
    </w:p>
    <w:p w14:paraId="71CBCF8E">
      <w:pPr>
        <w:spacing w:after="120" w:line="264" w:lineRule="auto"/>
        <w:rPr>
          <w:rFonts w:hint="eastAsia" w:ascii="微软雅黑" w:hAnsi="微软雅黑" w:eastAsia="微软雅黑" w:cs="微软雅黑"/>
        </w:rPr>
      </w:pPr>
      <w:r>
        <w:rPr>
          <w:rFonts w:hint="eastAsia" w:ascii="微软雅黑" w:hAnsi="微软雅黑" w:eastAsia="微软雅黑" w:cs="微软雅黑"/>
        </w:rPr>
        <w:t>4.3.6.8 须为生产及非生产环境提供至少 5 部连显示器的支援工作站、5 部 A4 纸张网络彩色打印机、5 部 A4 纸张网络黑白打印机，以及 5 部配备自动送稿器和平板的 A4 纸张本地扫描器。</w:t>
      </w:r>
    </w:p>
    <w:p w14:paraId="5C5A9543">
      <w:pPr>
        <w:pStyle w:val="5"/>
        <w:rPr>
          <w:rFonts w:hint="eastAsia" w:ascii="微软雅黑" w:hAnsi="微软雅黑" w:eastAsia="微软雅黑" w:cs="微软雅黑"/>
        </w:rPr>
      </w:pPr>
      <w:r>
        <w:rPr>
          <w:rFonts w:hint="eastAsia" w:ascii="微软雅黑" w:hAnsi="微软雅黑" w:eastAsia="微软雅黑" w:cs="微软雅黑"/>
        </w:rPr>
        <w:t>4.3.7 备份要求</w:t>
      </w:r>
    </w:p>
    <w:p w14:paraId="08092C8D">
      <w:pPr>
        <w:spacing w:after="120" w:line="264" w:lineRule="auto"/>
        <w:rPr>
          <w:rFonts w:hint="eastAsia" w:ascii="微软雅黑" w:hAnsi="微软雅黑" w:eastAsia="微软雅黑" w:cs="微软雅黑"/>
        </w:rPr>
      </w:pPr>
      <w:r>
        <w:rPr>
          <w:rFonts w:hint="eastAsia" w:ascii="微软雅黑" w:hAnsi="微软雅黑" w:eastAsia="微软雅黑" w:cs="微软雅黑"/>
        </w:rPr>
        <w:t>4.3.7.1 须同时支援磁碟至磁碟、磁碟至磁碟至磁带，以及磁碟至磁带的备份方式。</w:t>
      </w:r>
    </w:p>
    <w:p w14:paraId="58CDD0A5">
      <w:pPr>
        <w:spacing w:after="120" w:line="264" w:lineRule="auto"/>
        <w:rPr>
          <w:rFonts w:hint="eastAsia" w:ascii="微软雅黑" w:hAnsi="微软雅黑" w:eastAsia="微软雅黑" w:cs="微软雅黑"/>
        </w:rPr>
      </w:pPr>
      <w:r>
        <w:rPr>
          <w:rFonts w:hint="eastAsia" w:ascii="微软雅黑" w:hAnsi="微软雅黑" w:eastAsia="微软雅黑" w:cs="微软雅黑"/>
        </w:rPr>
        <w:t>4.3.7.2 须支援远端备份、还原，以及将备份副本由数据中心传送至总部机房。</w:t>
      </w:r>
    </w:p>
    <w:p w14:paraId="4B4EE686">
      <w:pPr>
        <w:spacing w:after="120" w:line="264" w:lineRule="auto"/>
        <w:rPr>
          <w:rFonts w:hint="eastAsia" w:ascii="微软雅黑" w:hAnsi="微软雅黑" w:eastAsia="微软雅黑" w:cs="微软雅黑"/>
        </w:rPr>
      </w:pPr>
      <w:r>
        <w:rPr>
          <w:rFonts w:hint="eastAsia" w:ascii="微软雅黑" w:hAnsi="微软雅黑" w:eastAsia="微软雅黑" w:cs="微软雅黑"/>
        </w:rPr>
        <w:t>4.3.7.3 须支援备份客户端与备份服务器之间传输资料的加密。</w:t>
      </w:r>
    </w:p>
    <w:p w14:paraId="2329FA14">
      <w:pPr>
        <w:spacing w:after="120" w:line="264" w:lineRule="auto"/>
        <w:rPr>
          <w:rFonts w:hint="eastAsia" w:ascii="微软雅黑" w:hAnsi="微软雅黑" w:eastAsia="微软雅黑" w:cs="微软雅黑"/>
        </w:rPr>
      </w:pPr>
      <w:r>
        <w:rPr>
          <w:rFonts w:hint="eastAsia" w:ascii="微软雅黑" w:hAnsi="微软雅黑" w:eastAsia="微软雅黑" w:cs="微软雅黑"/>
        </w:rPr>
        <w:t>4.3.7.4 须支援不同服务器、虚拟机及容器之间的备份及还原。</w:t>
      </w:r>
    </w:p>
    <w:p w14:paraId="5A73BAEE">
      <w:pPr>
        <w:spacing w:after="120" w:line="264" w:lineRule="auto"/>
        <w:rPr>
          <w:rFonts w:hint="eastAsia" w:ascii="微软雅黑" w:hAnsi="微软雅黑" w:eastAsia="微软雅黑" w:cs="微软雅黑"/>
        </w:rPr>
      </w:pPr>
      <w:r>
        <w:rPr>
          <w:rFonts w:hint="eastAsia" w:ascii="微软雅黑" w:hAnsi="微软雅黑" w:eastAsia="微软雅黑" w:cs="微软雅黑"/>
        </w:rPr>
        <w:t>4.3.7.5 须支援加密密钥分开储存。</w:t>
      </w:r>
    </w:p>
    <w:p w14:paraId="531B9AF8">
      <w:pPr>
        <w:spacing w:after="120" w:line="264" w:lineRule="auto"/>
        <w:rPr>
          <w:rFonts w:hint="eastAsia" w:ascii="微软雅黑" w:hAnsi="微软雅黑" w:eastAsia="微软雅黑" w:cs="微软雅黑"/>
        </w:rPr>
      </w:pPr>
      <w:r>
        <w:rPr>
          <w:rFonts w:hint="eastAsia" w:ascii="微软雅黑" w:hAnsi="微软雅黑" w:eastAsia="微软雅黑" w:cs="微软雅黑"/>
        </w:rPr>
        <w:t>4.3.7.6 须提供每日、每周及每月定期系统及资料备份；备份媒体须同时具备在线及离线储存。</w:t>
      </w:r>
    </w:p>
    <w:p w14:paraId="12BB49F8">
      <w:pPr>
        <w:spacing w:after="120" w:line="264" w:lineRule="auto"/>
        <w:rPr>
          <w:rFonts w:hint="eastAsia" w:ascii="微软雅黑" w:hAnsi="微软雅黑" w:eastAsia="微软雅黑" w:cs="微软雅黑"/>
        </w:rPr>
      </w:pPr>
      <w:r>
        <w:rPr>
          <w:rFonts w:hint="eastAsia" w:ascii="微软雅黑" w:hAnsi="微软雅黑" w:eastAsia="微软雅黑" w:cs="微软雅黑"/>
        </w:rPr>
        <w:t>4.3.7.7 备份媒体上的所有资料须加密，所用加密密钥须按政府保安要求与备份资料分开储存。</w:t>
      </w:r>
    </w:p>
    <w:p w14:paraId="49B4B2EE">
      <w:pPr>
        <w:spacing w:after="120" w:line="264" w:lineRule="auto"/>
        <w:rPr>
          <w:rFonts w:hint="eastAsia" w:ascii="微软雅黑" w:hAnsi="微软雅黑" w:eastAsia="微软雅黑" w:cs="微软雅黑"/>
        </w:rPr>
      </w:pPr>
      <w:r>
        <w:rPr>
          <w:rFonts w:hint="eastAsia" w:ascii="微软雅黑" w:hAnsi="微软雅黑" w:eastAsia="微软雅黑" w:cs="微软雅黑"/>
        </w:rPr>
        <w:t>4.3.7.8 从数据中心磁碟式备份储存将备份资料复制至总部机房磁碟式备份储存的时间不得超过 8 小时。</w:t>
      </w:r>
    </w:p>
    <w:p w14:paraId="1ACE5E51">
      <w:pPr>
        <w:spacing w:after="120" w:line="264" w:lineRule="auto"/>
        <w:rPr>
          <w:rFonts w:hint="eastAsia" w:ascii="微软雅黑" w:hAnsi="微软雅黑" w:eastAsia="微软雅黑" w:cs="微软雅黑"/>
        </w:rPr>
      </w:pPr>
      <w:r>
        <w:rPr>
          <w:rFonts w:hint="eastAsia" w:ascii="微软雅黑" w:hAnsi="微软雅黑" w:eastAsia="微软雅黑" w:cs="微软雅黑"/>
        </w:rPr>
        <w:t>4.3.7.9 须提供至少 10 盒备份磁带供开发备份使用。</w:t>
      </w:r>
    </w:p>
    <w:p w14:paraId="4B0CBA3A">
      <w:pPr>
        <w:pStyle w:val="5"/>
        <w:rPr>
          <w:rFonts w:hint="eastAsia" w:ascii="微软雅黑" w:hAnsi="微软雅黑" w:eastAsia="微软雅黑" w:cs="微软雅黑"/>
        </w:rPr>
      </w:pPr>
      <w:r>
        <w:rPr>
          <w:rFonts w:hint="eastAsia" w:ascii="微软雅黑" w:hAnsi="微软雅黑" w:eastAsia="微软雅黑" w:cs="微软雅黑"/>
        </w:rPr>
        <w:t>4.3.8 系统效能要求</w:t>
      </w:r>
    </w:p>
    <w:p w14:paraId="7351C495">
      <w:pPr>
        <w:spacing w:after="120" w:line="264" w:lineRule="auto"/>
        <w:rPr>
          <w:rFonts w:hint="eastAsia" w:ascii="微软雅黑" w:hAnsi="微软雅黑" w:eastAsia="微软雅黑" w:cs="微软雅黑"/>
        </w:rPr>
      </w:pPr>
      <w:r>
        <w:rPr>
          <w:rFonts w:hint="eastAsia" w:ascii="微软雅黑" w:hAnsi="微软雅黑" w:eastAsia="微软雅黑" w:cs="微软雅黑"/>
        </w:rPr>
        <w:t>4.3.8.1 须采用第 4.1 及 4.2 节所载工作量要求及效能要求作为最低要求。</w:t>
      </w:r>
    </w:p>
    <w:p w14:paraId="2C7A3653">
      <w:pPr>
        <w:spacing w:after="120" w:line="264" w:lineRule="auto"/>
        <w:rPr>
          <w:rFonts w:hint="eastAsia" w:ascii="微软雅黑" w:hAnsi="微软雅黑" w:eastAsia="微软雅黑" w:cs="微软雅黑"/>
        </w:rPr>
      </w:pPr>
      <w:r>
        <w:rPr>
          <w:rFonts w:hint="eastAsia" w:ascii="微软雅黑" w:hAnsi="微软雅黑" w:eastAsia="微软雅黑" w:cs="微软雅黑"/>
        </w:rPr>
        <w:t>4.3.8.2 须于附件 I 表 1 提供建议系统效能。</w:t>
      </w:r>
    </w:p>
    <w:p w14:paraId="191ED970">
      <w:pPr>
        <w:pStyle w:val="5"/>
        <w:rPr>
          <w:rFonts w:hint="eastAsia" w:ascii="微软雅黑" w:hAnsi="微软雅黑" w:eastAsia="微软雅黑" w:cs="微软雅黑"/>
        </w:rPr>
      </w:pPr>
      <w:r>
        <w:rPr>
          <w:rFonts w:hint="eastAsia" w:ascii="微软雅黑" w:hAnsi="微软雅黑" w:eastAsia="微软雅黑" w:cs="微软雅黑"/>
        </w:rPr>
        <w:t>4.3.9 系统可靠性要求</w:t>
      </w:r>
    </w:p>
    <w:p w14:paraId="51102FC7">
      <w:pPr>
        <w:spacing w:after="120" w:line="264" w:lineRule="auto"/>
        <w:rPr>
          <w:rFonts w:hint="eastAsia" w:ascii="微软雅黑" w:hAnsi="微软雅黑" w:eastAsia="微软雅黑" w:cs="微软雅黑"/>
        </w:rPr>
      </w:pPr>
      <w:r>
        <w:rPr>
          <w:rFonts w:hint="eastAsia" w:ascii="微软雅黑" w:hAnsi="微软雅黑" w:eastAsia="微软雅黑" w:cs="微软雅黑"/>
        </w:rPr>
        <w:t>4.3.9.1 须采用最低可服务水平：99.5%。</w:t>
      </w:r>
    </w:p>
    <w:p w14:paraId="290CF865">
      <w:pPr>
        <w:pStyle w:val="5"/>
        <w:rPr>
          <w:rFonts w:hint="eastAsia" w:ascii="微软雅黑" w:hAnsi="微软雅黑" w:eastAsia="微软雅黑" w:cs="微软雅黑"/>
        </w:rPr>
      </w:pPr>
      <w:r>
        <w:rPr>
          <w:rFonts w:hint="eastAsia" w:ascii="微软雅黑" w:hAnsi="微软雅黑" w:eastAsia="微软雅黑" w:cs="微软雅黑"/>
        </w:rPr>
        <w:t>4.3.10 指引及标准</w:t>
      </w:r>
    </w:p>
    <w:p w14:paraId="27459C71">
      <w:pPr>
        <w:spacing w:after="120" w:line="264" w:lineRule="auto"/>
        <w:rPr>
          <w:rFonts w:hint="eastAsia" w:ascii="微软雅黑" w:hAnsi="微软雅黑" w:eastAsia="微软雅黑" w:cs="微软雅黑"/>
        </w:rPr>
      </w:pPr>
      <w:r>
        <w:rPr>
          <w:rFonts w:hint="eastAsia" w:ascii="微软雅黑" w:hAnsi="微软雅黑" w:eastAsia="微软雅黑" w:cs="微软雅黑"/>
        </w:rPr>
        <w:t>4.3.11 实施 AI 生态系统时须采用所有现行政府标准及指引。</w:t>
      </w:r>
    </w:p>
    <w:p w14:paraId="217D623A">
      <w:pPr>
        <w:pStyle w:val="16"/>
        <w:spacing w:after="60"/>
        <w:rPr>
          <w:rFonts w:hint="eastAsia" w:ascii="微软雅黑" w:hAnsi="微软雅黑" w:eastAsia="微软雅黑" w:cs="微软雅黑"/>
        </w:rPr>
      </w:pPr>
      <w:r>
        <w:rPr>
          <w:rFonts w:hint="eastAsia" w:ascii="微软雅黑" w:hAnsi="微软雅黑" w:eastAsia="微软雅黑" w:cs="微软雅黑"/>
        </w:rPr>
        <w:t>(i) 政府信息科技保安政策及指引：https://www.digitalpolicy.gov.hk/en/our_work/digital_infrastructure/information_cyber_security/government/</w:t>
      </w:r>
    </w:p>
    <w:p w14:paraId="4A9BCD7F">
      <w:pPr>
        <w:pStyle w:val="16"/>
        <w:spacing w:after="60"/>
        <w:rPr>
          <w:rFonts w:hint="eastAsia" w:ascii="微软雅黑" w:hAnsi="微软雅黑" w:eastAsia="微软雅黑" w:cs="微软雅黑"/>
        </w:rPr>
      </w:pPr>
      <w:r>
        <w:rPr>
          <w:rFonts w:hint="eastAsia" w:ascii="微软雅黑" w:hAnsi="微软雅黑" w:eastAsia="微软雅黑" w:cs="微软雅黑"/>
        </w:rPr>
        <w:t>(ii) 数字政策办公室（DPO）《道德人工智能框架》：https://www.digitalpolicy.gov.hk/en/our_work/data_governance/policies_standards/ethical_ai_framework/</w:t>
      </w:r>
    </w:p>
    <w:p w14:paraId="146E5931">
      <w:pPr>
        <w:pStyle w:val="16"/>
        <w:spacing w:after="60"/>
        <w:rPr>
          <w:rFonts w:hint="eastAsia" w:ascii="微软雅黑" w:hAnsi="微软雅黑" w:eastAsia="微软雅黑" w:cs="微软雅黑"/>
        </w:rPr>
      </w:pPr>
      <w:r>
        <w:rPr>
          <w:rFonts w:hint="eastAsia" w:ascii="微软雅黑" w:hAnsi="微软雅黑" w:eastAsia="微软雅黑" w:cs="微软雅黑"/>
        </w:rPr>
        <w:t>(iii) 数字政策办公室（DPO）《香港生成式人工智能技术及应用指引》：https://www.digitalpolicy.gov.hk/en/our_work/data_governance/policies_standards/ethical_ai_framework/doc/HK_Generative_AI_Technical_and_Application_Guideline_en.pdf</w:t>
      </w:r>
    </w:p>
    <w:p w14:paraId="5B6086D1">
      <w:pPr>
        <w:pStyle w:val="16"/>
        <w:spacing w:after="60"/>
        <w:rPr>
          <w:rFonts w:hint="eastAsia" w:ascii="微软雅黑" w:hAnsi="微软雅黑" w:eastAsia="微软雅黑" w:cs="微软雅黑"/>
        </w:rPr>
      </w:pPr>
      <w:r>
        <w:rPr>
          <w:rFonts w:hint="eastAsia" w:ascii="微软雅黑" w:hAnsi="微软雅黑" w:eastAsia="微软雅黑" w:cs="微软雅黑"/>
        </w:rPr>
        <w:t>(iv) 个人资料私隐专员公署（PCPD）《人工智能：个人资料保障模式框架》：https://www.pcpd.org.hk/english/resources_centre/publications/files/ai_protection_framework.pdf</w:t>
      </w:r>
    </w:p>
    <w:p w14:paraId="65A1BAE8">
      <w:pPr>
        <w:pStyle w:val="16"/>
        <w:spacing w:after="60"/>
        <w:rPr>
          <w:rFonts w:hint="eastAsia" w:ascii="微软雅黑" w:hAnsi="微软雅黑" w:eastAsia="微软雅黑" w:cs="微软雅黑"/>
        </w:rPr>
      </w:pPr>
      <w:r>
        <w:rPr>
          <w:rFonts w:hint="eastAsia" w:ascii="微软雅黑" w:hAnsi="微软雅黑" w:eastAsia="微软雅黑" w:cs="微软雅黑"/>
        </w:rPr>
        <w:t>(v) 个人资料私隐专员公署（PCPD）《人工智能道德开发及使用指引》：https://www.pcpd.org.hk/english/resources_centre/publications/files/guidance_ethical_e.pdf</w:t>
      </w:r>
    </w:p>
    <w:p w14:paraId="1DF04C5C">
      <w:pPr>
        <w:pStyle w:val="16"/>
        <w:spacing w:after="60"/>
        <w:rPr>
          <w:rFonts w:hint="eastAsia" w:ascii="微软雅黑" w:hAnsi="微软雅黑" w:eastAsia="微软雅黑" w:cs="微软雅黑"/>
        </w:rPr>
      </w:pPr>
      <w:r>
        <w:rPr>
          <w:rFonts w:hint="eastAsia" w:ascii="微软雅黑" w:hAnsi="微软雅黑" w:eastAsia="微软雅黑" w:cs="微软雅黑"/>
        </w:rPr>
        <w:t>(vi) 司法机构政务处《香港司法机构法官、司法人员及支援人员使用生成式人工智能指引》：https://www.judiciary.hk/doc/en/court_services_facilities/guidelines_on_the_use_of_generative_ai.pdf</w:t>
      </w:r>
    </w:p>
    <w:p w14:paraId="149DA35D">
      <w:pPr>
        <w:pStyle w:val="5"/>
        <w:rPr>
          <w:rFonts w:hint="eastAsia" w:ascii="微软雅黑" w:hAnsi="微软雅黑" w:eastAsia="微软雅黑" w:cs="微软雅黑"/>
        </w:rPr>
      </w:pPr>
      <w:r>
        <w:rPr>
          <w:rFonts w:hint="eastAsia" w:ascii="微软雅黑" w:hAnsi="微软雅黑" w:eastAsia="微软雅黑" w:cs="微软雅黑"/>
        </w:rPr>
        <w:t>4.3.12 其他要求</w:t>
      </w:r>
    </w:p>
    <w:p w14:paraId="3DC4964F">
      <w:pPr>
        <w:spacing w:after="120" w:line="264" w:lineRule="auto"/>
        <w:rPr>
          <w:rFonts w:hint="eastAsia" w:ascii="微软雅黑" w:hAnsi="微软雅黑" w:eastAsia="微软雅黑" w:cs="微软雅黑"/>
        </w:rPr>
      </w:pPr>
      <w:r>
        <w:rPr>
          <w:rFonts w:hint="eastAsia" w:ascii="微软雅黑" w:hAnsi="微软雅黑" w:eastAsia="微软雅黑" w:cs="微软雅黑"/>
        </w:rPr>
        <w:t>4.3.12.1 须遵守所有政府就储存及处理受限制资料（RESTRICTED data）的保安要求，即所有受限制资料在储存期间须加密，加密密钥须与受限制资料分开储存；所有资料传输均须加密。</w:t>
      </w:r>
    </w:p>
    <w:p w14:paraId="35D5F82F">
      <w:pPr>
        <w:spacing w:after="120" w:line="264" w:lineRule="auto"/>
        <w:rPr>
          <w:rFonts w:hint="eastAsia" w:ascii="微软雅黑" w:hAnsi="微软雅黑" w:eastAsia="微软雅黑" w:cs="微软雅黑"/>
        </w:rPr>
      </w:pPr>
      <w:r>
        <w:rPr>
          <w:rFonts w:hint="eastAsia" w:ascii="微软雅黑" w:hAnsi="微软雅黑" w:eastAsia="微软雅黑" w:cs="微软雅黑"/>
        </w:rPr>
        <w:t>4.3.12.2 承办商须就以下功能范畴提出准确率：</w:t>
      </w:r>
    </w:p>
    <w:p w14:paraId="60E136C1">
      <w:pPr>
        <w:pStyle w:val="16"/>
        <w:spacing w:after="60"/>
        <w:rPr>
          <w:rFonts w:hint="eastAsia" w:ascii="微软雅黑" w:hAnsi="微软雅黑" w:eastAsia="微软雅黑" w:cs="微软雅黑"/>
        </w:rPr>
      </w:pPr>
      <w:r>
        <w:rPr>
          <w:rFonts w:hint="eastAsia" w:ascii="微软雅黑" w:hAnsi="微软雅黑" w:eastAsia="微软雅黑" w:cs="微软雅黑"/>
        </w:rPr>
        <w:t>(a) 自动文件分类</w:t>
      </w:r>
    </w:p>
    <w:p w14:paraId="0FF68CFF">
      <w:pPr>
        <w:pStyle w:val="16"/>
        <w:spacing w:after="60"/>
        <w:rPr>
          <w:rFonts w:hint="eastAsia" w:ascii="微软雅黑" w:hAnsi="微软雅黑" w:eastAsia="微软雅黑" w:cs="微软雅黑"/>
        </w:rPr>
      </w:pPr>
      <w:r>
        <w:rPr>
          <w:rFonts w:hint="eastAsia" w:ascii="微软雅黑" w:hAnsi="微软雅黑" w:eastAsia="微软雅黑" w:cs="微软雅黑"/>
        </w:rPr>
        <w:t>(b) 智能资料核验</w:t>
      </w:r>
    </w:p>
    <w:p w14:paraId="0E5D9F90">
      <w:pPr>
        <w:pStyle w:val="16"/>
        <w:spacing w:after="60"/>
        <w:rPr>
          <w:rFonts w:hint="eastAsia" w:ascii="微软雅黑" w:hAnsi="微软雅黑" w:eastAsia="微软雅黑" w:cs="微软雅黑"/>
        </w:rPr>
      </w:pPr>
      <w:r>
        <w:rPr>
          <w:rFonts w:hint="eastAsia" w:ascii="微软雅黑" w:hAnsi="微软雅黑" w:eastAsia="微软雅黑" w:cs="微软雅黑"/>
        </w:rPr>
        <w:t>(c) 智能会议记录草拟</w:t>
      </w:r>
    </w:p>
    <w:p w14:paraId="606B32A5">
      <w:pPr>
        <w:spacing w:after="120" w:line="264" w:lineRule="auto"/>
        <w:rPr>
          <w:rFonts w:hint="eastAsia" w:ascii="微软雅黑" w:hAnsi="微软雅黑" w:eastAsia="微软雅黑" w:cs="微软雅黑"/>
        </w:rPr>
      </w:pPr>
      <w:r>
        <w:rPr>
          <w:rFonts w:hint="eastAsia" w:ascii="微软雅黑" w:hAnsi="微软雅黑" w:eastAsia="微软雅黑" w:cs="微软雅黑"/>
        </w:rPr>
        <w:t>4.3.12.3 建议硬件及软件项目须符合国际标准的信息科技保安标准或认证（例如在适用于保安相关产品时采用 ISO/IEC 15408 等 ISO 标准），以及国家 GB 标准（例如网页应用程序防火墙产品的 GB/T32917-2016）。</w:t>
      </w:r>
    </w:p>
    <w:p w14:paraId="3177D64C">
      <w:pPr>
        <w:pStyle w:val="5"/>
        <w:rPr>
          <w:rFonts w:hint="eastAsia" w:ascii="微软雅黑" w:hAnsi="微软雅黑" w:eastAsia="微软雅黑" w:cs="微软雅黑"/>
        </w:rPr>
      </w:pPr>
      <w:r>
        <w:rPr>
          <w:rFonts w:hint="eastAsia" w:ascii="微软雅黑" w:hAnsi="微软雅黑" w:eastAsia="微软雅黑" w:cs="微软雅黑"/>
        </w:rPr>
        <w:t>4.3.13 新 AI 方案高可用性要求</w:t>
      </w:r>
    </w:p>
    <w:p w14:paraId="5C200A8C">
      <w:pPr>
        <w:spacing w:after="120" w:line="264" w:lineRule="auto"/>
        <w:rPr>
          <w:rFonts w:hint="eastAsia" w:ascii="微软雅黑" w:hAnsi="微软雅黑" w:eastAsia="微软雅黑" w:cs="微软雅黑"/>
        </w:rPr>
      </w:pPr>
      <w:r>
        <w:rPr>
          <w:rFonts w:hint="eastAsia" w:ascii="微软雅黑" w:hAnsi="微软雅黑" w:eastAsia="微软雅黑" w:cs="微软雅黑"/>
        </w:rPr>
        <w:t>4.3.13.1 须为生产环境中的所有 AI 推理服务器提供双活机制的本地韧性。</w:t>
      </w:r>
    </w:p>
    <w:p w14:paraId="127EC355">
      <w:pPr>
        <w:spacing w:after="120" w:line="264" w:lineRule="auto"/>
        <w:rPr>
          <w:rFonts w:hint="eastAsia" w:ascii="微软雅黑" w:hAnsi="微软雅黑" w:eastAsia="微软雅黑" w:cs="微软雅黑"/>
        </w:rPr>
      </w:pPr>
      <w:r>
        <w:rPr>
          <w:rFonts w:hint="eastAsia" w:ascii="微软雅黑" w:hAnsi="微软雅黑" w:eastAsia="微软雅黑" w:cs="微软雅黑"/>
        </w:rPr>
        <w:t>4.3.13.2 须为生产环境中的所有服务采用主备或双活方式提供本地韧性。</w:t>
      </w:r>
    </w:p>
    <w:p w14:paraId="56A121E8">
      <w:pPr>
        <w:pStyle w:val="5"/>
        <w:rPr>
          <w:rFonts w:hint="eastAsia" w:ascii="微软雅黑" w:hAnsi="微软雅黑" w:eastAsia="微软雅黑" w:cs="微软雅黑"/>
        </w:rPr>
      </w:pPr>
      <w:r>
        <w:rPr>
          <w:rFonts w:hint="eastAsia" w:ascii="微软雅黑" w:hAnsi="微软雅黑" w:eastAsia="微软雅黑" w:cs="微软雅黑"/>
        </w:rPr>
        <w:t>4.3.14 系统实施服务要求</w:t>
      </w:r>
    </w:p>
    <w:p w14:paraId="4C3337D1">
      <w:pPr>
        <w:spacing w:after="120" w:line="264" w:lineRule="auto"/>
        <w:rPr>
          <w:rFonts w:hint="eastAsia" w:ascii="微软雅黑" w:hAnsi="微软雅黑" w:eastAsia="微软雅黑" w:cs="微软雅黑"/>
        </w:rPr>
      </w:pPr>
      <w:r>
        <w:rPr>
          <w:rFonts w:hint="eastAsia" w:ascii="微软雅黑" w:hAnsi="微软雅黑" w:eastAsia="微软雅黑" w:cs="微软雅黑"/>
        </w:rPr>
        <w:t>4.3.14.1 新 AI 方案须按以下暂定里程碑实施：</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4608"/>
        <w:gridCol w:w="4608"/>
      </w:tblGrid>
      <w:tr w14:paraId="48BEC31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shd w:val="clear" w:color="auto" w:fill="E8EEF5"/>
            <w:vAlign w:val="center"/>
          </w:tcPr>
          <w:p w14:paraId="7AB26177">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第 1 阶段里程碑</w:t>
            </w:r>
          </w:p>
        </w:tc>
        <w:tc>
          <w:tcPr>
            <w:tcW w:w="4608" w:type="dxa"/>
            <w:shd w:val="clear" w:color="auto" w:fill="E8EEF5"/>
            <w:vAlign w:val="center"/>
          </w:tcPr>
          <w:p w14:paraId="594185B0">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暂定时间表（工期）</w:t>
            </w:r>
          </w:p>
        </w:tc>
      </w:tr>
      <w:tr w14:paraId="1E383E6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4A70B7D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系统分析及设计（SA&amp;D）</w:t>
            </w:r>
          </w:p>
        </w:tc>
        <w:tc>
          <w:tcPr>
            <w:tcW w:w="4608" w:type="dxa"/>
            <w:vAlign w:val="center"/>
          </w:tcPr>
          <w:p w14:paraId="21232E8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第1个月至第3个月（3个月）</w:t>
            </w:r>
          </w:p>
        </w:tc>
      </w:tr>
      <w:tr w14:paraId="72B3C80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4A85823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系统开发及测试</w:t>
            </w:r>
          </w:p>
        </w:tc>
        <w:tc>
          <w:tcPr>
            <w:tcW w:w="4608" w:type="dxa"/>
            <w:vAlign w:val="center"/>
          </w:tcPr>
          <w:p w14:paraId="15D4EF7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第3个月至第5个月（3个月）</w:t>
            </w:r>
          </w:p>
        </w:tc>
      </w:tr>
      <w:tr w14:paraId="728DC44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6E5654D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系统及用户验收测试</w:t>
            </w:r>
          </w:p>
        </w:tc>
        <w:tc>
          <w:tcPr>
            <w:tcW w:w="4608" w:type="dxa"/>
            <w:vAlign w:val="center"/>
          </w:tcPr>
          <w:p w14:paraId="14817CB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第5个月至第6个月（2个月）</w:t>
            </w:r>
          </w:p>
        </w:tc>
      </w:tr>
      <w:tr w14:paraId="4CCED89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3E1D229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用户培训</w:t>
            </w:r>
          </w:p>
        </w:tc>
        <w:tc>
          <w:tcPr>
            <w:tcW w:w="4608" w:type="dxa"/>
            <w:vAlign w:val="center"/>
          </w:tcPr>
          <w:p w14:paraId="102957B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第6个月至第7个月（1个月）</w:t>
            </w:r>
          </w:p>
        </w:tc>
      </w:tr>
      <w:tr w14:paraId="340B53B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4FD2FD7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生产试行</w:t>
            </w:r>
          </w:p>
        </w:tc>
        <w:tc>
          <w:tcPr>
            <w:tcW w:w="4608" w:type="dxa"/>
            <w:vAlign w:val="center"/>
          </w:tcPr>
          <w:p w14:paraId="005F6F2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第6个月（1个月）</w:t>
            </w:r>
          </w:p>
        </w:tc>
      </w:tr>
      <w:tr w14:paraId="7D5A37B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6E76A67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系统推出</w:t>
            </w:r>
          </w:p>
        </w:tc>
        <w:tc>
          <w:tcPr>
            <w:tcW w:w="4608" w:type="dxa"/>
            <w:vAlign w:val="center"/>
          </w:tcPr>
          <w:p w14:paraId="2308A81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第7个月（1个月）</w:t>
            </w:r>
          </w:p>
        </w:tc>
      </w:tr>
      <w:tr w14:paraId="0150269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1E62441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系统护理</w:t>
            </w:r>
          </w:p>
        </w:tc>
        <w:tc>
          <w:tcPr>
            <w:tcW w:w="4608" w:type="dxa"/>
            <w:vAlign w:val="center"/>
          </w:tcPr>
          <w:p w14:paraId="1C5998F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第8至第10个月（3个月）</w:t>
            </w:r>
          </w:p>
        </w:tc>
      </w:tr>
    </w:tbl>
    <w:p w14:paraId="796BEA6C">
      <w:pPr>
        <w:rPr>
          <w:rFonts w:hint="eastAsia" w:ascii="微软雅黑" w:hAnsi="微软雅黑" w:eastAsia="微软雅黑" w:cs="微软雅黑"/>
        </w:rPr>
      </w:pP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4608"/>
        <w:gridCol w:w="4608"/>
      </w:tblGrid>
      <w:tr w14:paraId="0880031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shd w:val="clear" w:color="auto" w:fill="E8EEF5"/>
            <w:vAlign w:val="center"/>
          </w:tcPr>
          <w:p w14:paraId="13BBCFB2">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第 2 阶段里程碑</w:t>
            </w:r>
          </w:p>
        </w:tc>
        <w:tc>
          <w:tcPr>
            <w:tcW w:w="4608" w:type="dxa"/>
            <w:shd w:val="clear" w:color="auto" w:fill="E8EEF5"/>
            <w:vAlign w:val="center"/>
          </w:tcPr>
          <w:p w14:paraId="4646E08B">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暂定工期</w:t>
            </w:r>
          </w:p>
        </w:tc>
      </w:tr>
      <w:tr w14:paraId="352DAE7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6F75B34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系统开发及测试</w:t>
            </w:r>
          </w:p>
        </w:tc>
        <w:tc>
          <w:tcPr>
            <w:tcW w:w="4608" w:type="dxa"/>
            <w:vAlign w:val="center"/>
          </w:tcPr>
          <w:p w14:paraId="2374255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第8个月至第12个月（5个月）</w:t>
            </w:r>
          </w:p>
        </w:tc>
      </w:tr>
      <w:tr w14:paraId="01EB2156">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6D6A54C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系统及用户验收测试</w:t>
            </w:r>
          </w:p>
        </w:tc>
        <w:tc>
          <w:tcPr>
            <w:tcW w:w="4608" w:type="dxa"/>
            <w:vAlign w:val="center"/>
          </w:tcPr>
          <w:p w14:paraId="263731A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第12个月至第13个月（2个月）</w:t>
            </w:r>
          </w:p>
        </w:tc>
      </w:tr>
      <w:tr w14:paraId="707E00C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55C6BFE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用户培训</w:t>
            </w:r>
          </w:p>
        </w:tc>
        <w:tc>
          <w:tcPr>
            <w:tcW w:w="4608" w:type="dxa"/>
            <w:vAlign w:val="center"/>
          </w:tcPr>
          <w:p w14:paraId="0377714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第13个月（1个月）</w:t>
            </w:r>
          </w:p>
        </w:tc>
      </w:tr>
      <w:tr w14:paraId="1E5D44C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189C867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系统推出</w:t>
            </w:r>
          </w:p>
        </w:tc>
        <w:tc>
          <w:tcPr>
            <w:tcW w:w="4608" w:type="dxa"/>
            <w:vAlign w:val="center"/>
          </w:tcPr>
          <w:p w14:paraId="642B41F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第13个月（1个月）</w:t>
            </w:r>
          </w:p>
        </w:tc>
      </w:tr>
      <w:tr w14:paraId="60461F9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608" w:type="dxa"/>
            <w:vAlign w:val="center"/>
          </w:tcPr>
          <w:p w14:paraId="686DB45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系统护理</w:t>
            </w:r>
          </w:p>
        </w:tc>
        <w:tc>
          <w:tcPr>
            <w:tcW w:w="4608" w:type="dxa"/>
            <w:vAlign w:val="center"/>
          </w:tcPr>
          <w:p w14:paraId="476DF8D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第14至第16个月（3个月）</w:t>
            </w:r>
          </w:p>
        </w:tc>
      </w:tr>
    </w:tbl>
    <w:p w14:paraId="765D0B4C">
      <w:pPr>
        <w:rPr>
          <w:rFonts w:hint="eastAsia" w:ascii="微软雅黑" w:hAnsi="微软雅黑" w:eastAsia="微软雅黑" w:cs="微软雅黑"/>
        </w:rPr>
      </w:pPr>
    </w:p>
    <w:p w14:paraId="491CBC04">
      <w:pPr>
        <w:spacing w:after="120" w:line="264" w:lineRule="auto"/>
        <w:rPr>
          <w:rFonts w:hint="eastAsia" w:ascii="微软雅黑" w:hAnsi="微软雅黑" w:eastAsia="微软雅黑" w:cs="微软雅黑"/>
        </w:rPr>
      </w:pPr>
      <w:r>
        <w:rPr>
          <w:rFonts w:hint="eastAsia" w:ascii="微软雅黑" w:hAnsi="微软雅黑" w:eastAsia="微软雅黑" w:cs="微软雅黑"/>
        </w:rPr>
        <w:t>4.3.14.2 承办商须提供生产及非生产支援 PC 工作站，并安装及配置已加固的 Windows Enterprise 操作系统（或其他版本 Windows OS）。承办商须为支援工作站提供足够 Windows Enterprise 操作系统授权。</w:t>
      </w:r>
    </w:p>
    <w:p w14:paraId="6361EE43">
      <w:pPr>
        <w:spacing w:after="120" w:line="264" w:lineRule="auto"/>
        <w:rPr>
          <w:rFonts w:hint="eastAsia" w:ascii="微软雅黑" w:hAnsi="微软雅黑" w:eastAsia="微软雅黑" w:cs="微软雅黑"/>
        </w:rPr>
      </w:pPr>
      <w:r>
        <w:rPr>
          <w:rFonts w:hint="eastAsia" w:ascii="微软雅黑" w:hAnsi="微软雅黑" w:eastAsia="微软雅黑" w:cs="微软雅黑"/>
        </w:rPr>
        <w:t>4.3.14.3 主要服务工作包括：</w:t>
      </w:r>
    </w:p>
    <w:p w14:paraId="4E4F488C">
      <w:pPr>
        <w:pStyle w:val="16"/>
        <w:spacing w:after="60"/>
        <w:rPr>
          <w:rFonts w:hint="eastAsia" w:ascii="微软雅黑" w:hAnsi="微软雅黑" w:eastAsia="微软雅黑" w:cs="微软雅黑"/>
        </w:rPr>
      </w:pPr>
      <w:r>
        <w:rPr>
          <w:rFonts w:hint="eastAsia" w:ascii="微软雅黑" w:hAnsi="微软雅黑" w:eastAsia="微软雅黑" w:cs="微软雅黑"/>
        </w:rPr>
        <w:t>(a) 执行新 AI 方案的 SA&amp;D 及实施。</w:t>
      </w:r>
    </w:p>
    <w:p w14:paraId="021AD83D">
      <w:pPr>
        <w:pStyle w:val="16"/>
        <w:spacing w:after="60"/>
        <w:rPr>
          <w:rFonts w:hint="eastAsia" w:ascii="微软雅黑" w:hAnsi="微软雅黑" w:eastAsia="微软雅黑" w:cs="微软雅黑"/>
        </w:rPr>
      </w:pPr>
      <w:r>
        <w:rPr>
          <w:rFonts w:hint="eastAsia" w:ascii="微软雅黑" w:hAnsi="微软雅黑" w:eastAsia="微软雅黑" w:cs="微软雅黑"/>
        </w:rPr>
        <w:t>(b) 执行所有必要程序开发及配置。</w:t>
      </w:r>
    </w:p>
    <w:p w14:paraId="0385A8DC">
      <w:pPr>
        <w:pStyle w:val="16"/>
        <w:spacing w:after="60"/>
        <w:rPr>
          <w:rFonts w:hint="eastAsia" w:ascii="微软雅黑" w:hAnsi="微软雅黑" w:eastAsia="微软雅黑" w:cs="微软雅黑"/>
        </w:rPr>
      </w:pPr>
      <w:r>
        <w:rPr>
          <w:rFonts w:hint="eastAsia" w:ascii="微软雅黑" w:hAnsi="微软雅黑" w:eastAsia="微软雅黑" w:cs="微软雅黑"/>
        </w:rPr>
        <w:t>(c) 建立所有系统环境（包括服务器端及客户端系统加固），并提供高可用性及韧性支援。</w:t>
      </w:r>
    </w:p>
    <w:p w14:paraId="54B7E267">
      <w:pPr>
        <w:pStyle w:val="16"/>
        <w:spacing w:after="60"/>
        <w:rPr>
          <w:rFonts w:hint="eastAsia" w:ascii="微软雅黑" w:hAnsi="微软雅黑" w:eastAsia="微软雅黑" w:cs="微软雅黑"/>
        </w:rPr>
      </w:pPr>
      <w:r>
        <w:rPr>
          <w:rFonts w:hint="eastAsia" w:ascii="微软雅黑" w:hAnsi="微软雅黑" w:eastAsia="微软雅黑" w:cs="微软雅黑"/>
        </w:rPr>
        <w:t>(d) 就与入境处网络连接的网络提供系统整合及应用整合服务。</w:t>
      </w:r>
    </w:p>
    <w:p w14:paraId="7BA0D7CD">
      <w:pPr>
        <w:pStyle w:val="16"/>
        <w:spacing w:after="60"/>
        <w:rPr>
          <w:rFonts w:hint="eastAsia" w:ascii="微软雅黑" w:hAnsi="微软雅黑" w:eastAsia="微软雅黑" w:cs="微软雅黑"/>
        </w:rPr>
      </w:pPr>
      <w:r>
        <w:rPr>
          <w:rFonts w:hint="eastAsia" w:ascii="微软雅黑" w:hAnsi="微软雅黑" w:eastAsia="微软雅黑" w:cs="微软雅黑"/>
        </w:rPr>
        <w:t>(e) 为单元测试及系统整合测试准备测试案例。</w:t>
      </w:r>
    </w:p>
    <w:p w14:paraId="19051CC3">
      <w:pPr>
        <w:pStyle w:val="16"/>
        <w:spacing w:after="60"/>
        <w:rPr>
          <w:rFonts w:hint="eastAsia" w:ascii="微软雅黑" w:hAnsi="微软雅黑" w:eastAsia="微软雅黑" w:cs="微软雅黑"/>
        </w:rPr>
      </w:pPr>
      <w:r>
        <w:rPr>
          <w:rFonts w:hint="eastAsia" w:ascii="微软雅黑" w:hAnsi="微软雅黑" w:eastAsia="微软雅黑" w:cs="微软雅黑"/>
        </w:rPr>
        <w:t>(f) 在实施期间执行所有测试，包括但不限于安装测试、单元测试、功能测试、系统整合测试、负载测试、备份及复原测试、韧性测试，并为用户验收测试提供支援。</w:t>
      </w:r>
    </w:p>
    <w:p w14:paraId="714619A3">
      <w:pPr>
        <w:pStyle w:val="16"/>
        <w:spacing w:after="60"/>
        <w:rPr>
          <w:rFonts w:hint="eastAsia" w:ascii="微软雅黑" w:hAnsi="微软雅黑" w:eastAsia="微软雅黑" w:cs="微软雅黑"/>
        </w:rPr>
      </w:pPr>
      <w:r>
        <w:rPr>
          <w:rFonts w:hint="eastAsia" w:ascii="微软雅黑" w:hAnsi="微软雅黑" w:eastAsia="微软雅黑" w:cs="微软雅黑"/>
        </w:rPr>
        <w:t>(g) 为由其他承办商进行的信息科技保安风险评估及审计，以及私隐影响评估提供支援。</w:t>
      </w:r>
    </w:p>
    <w:p w14:paraId="6F41C526">
      <w:pPr>
        <w:pStyle w:val="16"/>
        <w:spacing w:after="60"/>
        <w:rPr>
          <w:rFonts w:hint="eastAsia" w:ascii="微软雅黑" w:hAnsi="微软雅黑" w:eastAsia="微软雅黑" w:cs="微软雅黑"/>
        </w:rPr>
      </w:pPr>
      <w:r>
        <w:rPr>
          <w:rFonts w:hint="eastAsia" w:ascii="微软雅黑" w:hAnsi="微软雅黑" w:eastAsia="微软雅黑" w:cs="微软雅黑"/>
        </w:rPr>
        <w:t>(h) 协助入境处用户执行资料抽取、清洗及预处理（例如撰写脚本等）。</w:t>
      </w:r>
    </w:p>
    <w:p w14:paraId="5D60CBAC">
      <w:pPr>
        <w:pStyle w:val="16"/>
        <w:spacing w:after="60"/>
        <w:rPr>
          <w:rFonts w:hint="eastAsia" w:ascii="微软雅黑" w:hAnsi="微软雅黑" w:eastAsia="微软雅黑" w:cs="微软雅黑"/>
        </w:rPr>
      </w:pPr>
      <w:r>
        <w:rPr>
          <w:rFonts w:hint="eastAsia" w:ascii="微软雅黑" w:hAnsi="微软雅黑" w:eastAsia="微软雅黑" w:cs="微软雅黑"/>
        </w:rPr>
        <w:t>(i) 执行由现有系统至新 AI 方案的资料转换及迁移，提供自动化资料验证，并支援入境处用户执行资料核验。</w:t>
      </w:r>
    </w:p>
    <w:p w14:paraId="6343756B">
      <w:pPr>
        <w:pStyle w:val="16"/>
        <w:spacing w:after="60"/>
        <w:rPr>
          <w:rFonts w:hint="eastAsia" w:ascii="微软雅黑" w:hAnsi="微软雅黑" w:eastAsia="微软雅黑" w:cs="微软雅黑"/>
        </w:rPr>
      </w:pPr>
      <w:r>
        <w:rPr>
          <w:rFonts w:hint="eastAsia" w:ascii="微软雅黑" w:hAnsi="微软雅黑" w:eastAsia="微软雅黑" w:cs="微软雅黑"/>
        </w:rPr>
        <w:t>(j) 提供系统效能调校。</w:t>
      </w:r>
    </w:p>
    <w:p w14:paraId="3C9ED122">
      <w:pPr>
        <w:pStyle w:val="16"/>
        <w:spacing w:after="60"/>
        <w:rPr>
          <w:rFonts w:hint="eastAsia" w:ascii="微软雅黑" w:hAnsi="微软雅黑" w:eastAsia="微软雅黑" w:cs="微软雅黑"/>
        </w:rPr>
      </w:pPr>
      <w:r>
        <w:rPr>
          <w:rFonts w:hint="eastAsia" w:ascii="微软雅黑" w:hAnsi="微软雅黑" w:eastAsia="微软雅黑" w:cs="微软雅黑"/>
        </w:rPr>
        <w:t>(k) 提供持续模型调校及训练服务，以确保在实施及维护期间维持准确率。</w:t>
      </w:r>
    </w:p>
    <w:p w14:paraId="68715A74">
      <w:pPr>
        <w:pStyle w:val="16"/>
        <w:spacing w:after="60"/>
        <w:rPr>
          <w:rFonts w:hint="eastAsia" w:ascii="微软雅黑" w:hAnsi="微软雅黑" w:eastAsia="微软雅黑" w:cs="微软雅黑"/>
        </w:rPr>
      </w:pPr>
      <w:r>
        <w:rPr>
          <w:rFonts w:hint="eastAsia" w:ascii="微软雅黑" w:hAnsi="微软雅黑" w:eastAsia="微软雅黑" w:cs="微软雅黑"/>
        </w:rPr>
        <w:t>(l) 执行生产推出及相关准备。</w:t>
      </w:r>
    </w:p>
    <w:p w14:paraId="008FFAAD">
      <w:pPr>
        <w:pStyle w:val="16"/>
        <w:spacing w:after="60"/>
        <w:rPr>
          <w:rFonts w:hint="eastAsia" w:ascii="微软雅黑" w:hAnsi="微软雅黑" w:eastAsia="微软雅黑" w:cs="微软雅黑"/>
        </w:rPr>
      </w:pPr>
      <w:r>
        <w:rPr>
          <w:rFonts w:hint="eastAsia" w:ascii="微软雅黑" w:hAnsi="微软雅黑" w:eastAsia="微软雅黑" w:cs="微软雅黑"/>
        </w:rPr>
        <w:t>(m) 提供系统操作及监察。</w:t>
      </w:r>
    </w:p>
    <w:p w14:paraId="06E25F3E">
      <w:pPr>
        <w:pStyle w:val="16"/>
        <w:spacing w:after="60"/>
        <w:rPr>
          <w:rFonts w:hint="eastAsia" w:ascii="微软雅黑" w:hAnsi="微软雅黑" w:eastAsia="微软雅黑" w:cs="微软雅黑"/>
        </w:rPr>
      </w:pPr>
      <w:r>
        <w:rPr>
          <w:rFonts w:hint="eastAsia" w:ascii="微软雅黑" w:hAnsi="微软雅黑" w:eastAsia="微软雅黑" w:cs="微软雅黑"/>
        </w:rPr>
        <w:t>(n) 生产推出后提供 3 个月系统护理。</w:t>
      </w:r>
    </w:p>
    <w:p w14:paraId="26C212E1">
      <w:pPr>
        <w:pStyle w:val="16"/>
        <w:spacing w:after="60"/>
        <w:rPr>
          <w:rFonts w:hint="eastAsia" w:ascii="微软雅黑" w:hAnsi="微软雅黑" w:eastAsia="微软雅黑" w:cs="微软雅黑"/>
        </w:rPr>
      </w:pPr>
      <w:r>
        <w:rPr>
          <w:rFonts w:hint="eastAsia" w:ascii="微软雅黑" w:hAnsi="微软雅黑" w:eastAsia="微软雅黑" w:cs="微软雅黑"/>
        </w:rPr>
        <w:t>(o) 提供系统文件。</w:t>
      </w:r>
    </w:p>
    <w:p w14:paraId="534AB961">
      <w:pPr>
        <w:pStyle w:val="16"/>
        <w:spacing w:after="60"/>
        <w:rPr>
          <w:rFonts w:hint="eastAsia" w:ascii="微软雅黑" w:hAnsi="微软雅黑" w:eastAsia="微软雅黑" w:cs="微软雅黑"/>
        </w:rPr>
      </w:pPr>
      <w:r>
        <w:rPr>
          <w:rFonts w:hint="eastAsia" w:ascii="微软雅黑" w:hAnsi="微软雅黑" w:eastAsia="微软雅黑" w:cs="微软雅黑"/>
        </w:rPr>
        <w:t>(p) 提供灾难复原规划。</w:t>
      </w:r>
    </w:p>
    <w:p w14:paraId="64E388AC">
      <w:pPr>
        <w:pStyle w:val="16"/>
        <w:spacing w:after="60"/>
        <w:rPr>
          <w:rFonts w:hint="eastAsia" w:ascii="微软雅黑" w:hAnsi="微软雅黑" w:eastAsia="微软雅黑" w:cs="微软雅黑"/>
        </w:rPr>
      </w:pPr>
      <w:r>
        <w:rPr>
          <w:rFonts w:hint="eastAsia" w:ascii="微软雅黑" w:hAnsi="微软雅黑" w:eastAsia="微软雅黑" w:cs="微软雅黑"/>
        </w:rPr>
        <w:t>(q) 提供至少 10 场用户培训。</w:t>
      </w:r>
    </w:p>
    <w:p w14:paraId="4B90F1E1">
      <w:pPr>
        <w:spacing w:after="120" w:line="264" w:lineRule="auto"/>
        <w:rPr>
          <w:rFonts w:hint="eastAsia" w:ascii="微软雅黑" w:hAnsi="微软雅黑" w:eastAsia="微软雅黑" w:cs="微软雅黑"/>
        </w:rPr>
      </w:pPr>
      <w:r>
        <w:rPr>
          <w:rFonts w:hint="eastAsia" w:ascii="微软雅黑" w:hAnsi="微软雅黑" w:eastAsia="微软雅黑" w:cs="微软雅黑"/>
        </w:rPr>
        <w:t>4.3.14.4 须建议一支实施团队，配置足够现场／离场及驻场人员，以支援实施及系统护理，例如项目经理、应用系统分析员、负责 AI 应用开发的数据科学家、基础设施系统分析员、数据库管理员、分析程序员、网络基础设施系统工程师、服务器、储存及备份系统工程师、现场工程师及技术员等。</w:t>
      </w:r>
    </w:p>
    <w:p w14:paraId="14BD83D3">
      <w:pPr>
        <w:spacing w:after="120" w:line="264" w:lineRule="auto"/>
        <w:rPr>
          <w:rFonts w:hint="eastAsia" w:ascii="微软雅黑" w:hAnsi="微软雅黑" w:eastAsia="微软雅黑" w:cs="微软雅黑"/>
        </w:rPr>
      </w:pPr>
      <w:r>
        <w:rPr>
          <w:rFonts w:hint="eastAsia" w:ascii="微软雅黑" w:hAnsi="微软雅黑" w:eastAsia="微软雅黑" w:cs="微软雅黑"/>
        </w:rPr>
        <w:t>4.3.14.5 须于实施期间提供至少 120 人天作系统变更（其中 20 人天由项目经理执行、40 人天由数据科学家／应用或 AI 应用系统分析员执行、60 人天由分析程序员执行）。</w:t>
      </w:r>
    </w:p>
    <w:p w14:paraId="395CDF9E">
      <w:pPr>
        <w:pStyle w:val="5"/>
        <w:rPr>
          <w:rFonts w:hint="eastAsia" w:ascii="微软雅黑" w:hAnsi="微软雅黑" w:eastAsia="微软雅黑" w:cs="微软雅黑"/>
        </w:rPr>
      </w:pPr>
      <w:r>
        <w:rPr>
          <w:rFonts w:hint="eastAsia" w:ascii="微软雅黑" w:hAnsi="微软雅黑" w:eastAsia="微软雅黑" w:cs="微软雅黑"/>
        </w:rPr>
        <w:t>4.3.15 储存及频宽要求</w:t>
      </w:r>
    </w:p>
    <w:p w14:paraId="63B48176">
      <w:pPr>
        <w:spacing w:after="120" w:line="264" w:lineRule="auto"/>
        <w:rPr>
          <w:rFonts w:hint="eastAsia" w:ascii="微软雅黑" w:hAnsi="微软雅黑" w:eastAsia="微软雅黑" w:cs="微软雅黑"/>
        </w:rPr>
      </w:pPr>
      <w:r>
        <w:rPr>
          <w:rFonts w:hint="eastAsia" w:ascii="微软雅黑" w:hAnsi="微软雅黑" w:eastAsia="微软雅黑" w:cs="微软雅黑"/>
        </w:rPr>
        <w:t>4.3.15.1 须于附件 I 表 1 提供建议储存容量及频宽。</w:t>
      </w:r>
    </w:p>
    <w:p w14:paraId="5D6BA17F">
      <w:pPr>
        <w:spacing w:after="120" w:line="264" w:lineRule="auto"/>
        <w:rPr>
          <w:rFonts w:hint="eastAsia" w:ascii="微软雅黑" w:hAnsi="微软雅黑" w:eastAsia="微软雅黑" w:cs="微软雅黑"/>
        </w:rPr>
      </w:pPr>
      <w:r>
        <w:rPr>
          <w:rFonts w:hint="eastAsia" w:ascii="微软雅黑" w:hAnsi="微软雅黑" w:eastAsia="微软雅黑" w:cs="微软雅黑"/>
        </w:rPr>
        <w:t>4.3.15.2 须提供足够储存空间以承载整个系统，包括支援及维护期。资料保留期如下：</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4320"/>
        <w:gridCol w:w="2160"/>
        <w:gridCol w:w="2160"/>
      </w:tblGrid>
      <w:tr w14:paraId="6B8DB07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320" w:type="dxa"/>
            <w:shd w:val="clear" w:color="auto" w:fill="E8EEF5"/>
            <w:vAlign w:val="center"/>
          </w:tcPr>
          <w:p w14:paraId="126D3875">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需保留资料元素</w:t>
            </w:r>
          </w:p>
        </w:tc>
        <w:tc>
          <w:tcPr>
            <w:tcW w:w="2160" w:type="dxa"/>
            <w:shd w:val="clear" w:color="auto" w:fill="E8EEF5"/>
            <w:vAlign w:val="center"/>
          </w:tcPr>
          <w:p w14:paraId="7A1238D4">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在线储存</w:t>
            </w:r>
          </w:p>
        </w:tc>
        <w:tc>
          <w:tcPr>
            <w:tcW w:w="2160" w:type="dxa"/>
            <w:shd w:val="clear" w:color="auto" w:fill="E8EEF5"/>
            <w:vAlign w:val="center"/>
          </w:tcPr>
          <w:p w14:paraId="3E80C5A9">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归档储存</w:t>
            </w:r>
          </w:p>
        </w:tc>
      </w:tr>
      <w:tr w14:paraId="616143A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320" w:type="dxa"/>
            <w:vAlign w:val="center"/>
          </w:tcPr>
          <w:p w14:paraId="1C00853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申请资料（含个人资料）</w:t>
            </w:r>
          </w:p>
        </w:tc>
        <w:tc>
          <w:tcPr>
            <w:tcW w:w="2160" w:type="dxa"/>
            <w:vAlign w:val="center"/>
          </w:tcPr>
          <w:p w14:paraId="6FFE587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30天</w:t>
            </w:r>
          </w:p>
        </w:tc>
        <w:tc>
          <w:tcPr>
            <w:tcW w:w="2160" w:type="dxa"/>
            <w:vAlign w:val="center"/>
          </w:tcPr>
          <w:p w14:paraId="451A210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p>
        </w:tc>
      </w:tr>
      <w:tr w14:paraId="69E28C9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320" w:type="dxa"/>
            <w:vAlign w:val="center"/>
          </w:tcPr>
          <w:p w14:paraId="2069127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AI 应用结果</w:t>
            </w:r>
          </w:p>
        </w:tc>
        <w:tc>
          <w:tcPr>
            <w:tcW w:w="2160" w:type="dxa"/>
            <w:vAlign w:val="center"/>
          </w:tcPr>
          <w:p w14:paraId="521A93B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60天</w:t>
            </w:r>
          </w:p>
        </w:tc>
        <w:tc>
          <w:tcPr>
            <w:tcW w:w="2160" w:type="dxa"/>
            <w:vAlign w:val="center"/>
          </w:tcPr>
          <w:p w14:paraId="1AD4C2C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1年</w:t>
            </w:r>
          </w:p>
        </w:tc>
      </w:tr>
      <w:tr w14:paraId="54C32813">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320" w:type="dxa"/>
            <w:vAlign w:val="center"/>
          </w:tcPr>
          <w:p w14:paraId="5301AFE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AI 系统推理／处理日志</w:t>
            </w:r>
          </w:p>
        </w:tc>
        <w:tc>
          <w:tcPr>
            <w:tcW w:w="2160" w:type="dxa"/>
            <w:vAlign w:val="center"/>
          </w:tcPr>
          <w:p w14:paraId="4E7B6FD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60天</w:t>
            </w:r>
          </w:p>
        </w:tc>
        <w:tc>
          <w:tcPr>
            <w:tcW w:w="2160" w:type="dxa"/>
            <w:vAlign w:val="center"/>
          </w:tcPr>
          <w:p w14:paraId="4C7C17A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1年</w:t>
            </w:r>
          </w:p>
        </w:tc>
      </w:tr>
      <w:tr w14:paraId="413DEC8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4320" w:type="dxa"/>
            <w:vAlign w:val="center"/>
          </w:tcPr>
          <w:p w14:paraId="0145714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审计日志</w:t>
            </w:r>
          </w:p>
        </w:tc>
        <w:tc>
          <w:tcPr>
            <w:tcW w:w="2160" w:type="dxa"/>
            <w:vAlign w:val="center"/>
          </w:tcPr>
          <w:p w14:paraId="1A63893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60天</w:t>
            </w:r>
          </w:p>
        </w:tc>
        <w:tc>
          <w:tcPr>
            <w:tcW w:w="2160" w:type="dxa"/>
            <w:vAlign w:val="center"/>
          </w:tcPr>
          <w:p w14:paraId="6A2FBC7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1年</w:t>
            </w:r>
          </w:p>
        </w:tc>
      </w:tr>
    </w:tbl>
    <w:p w14:paraId="55DD31B7">
      <w:pPr>
        <w:rPr>
          <w:rFonts w:hint="eastAsia" w:ascii="微软雅黑" w:hAnsi="微软雅黑" w:eastAsia="微软雅黑" w:cs="微软雅黑"/>
        </w:rPr>
      </w:pPr>
    </w:p>
    <w:p w14:paraId="54A41C58">
      <w:pPr>
        <w:pStyle w:val="4"/>
        <w:rPr>
          <w:rFonts w:hint="eastAsia" w:ascii="微软雅黑" w:hAnsi="微软雅黑" w:eastAsia="微软雅黑" w:cs="微软雅黑"/>
        </w:rPr>
      </w:pPr>
      <w:r>
        <w:rPr>
          <w:rFonts w:hint="eastAsia" w:ascii="微软雅黑" w:hAnsi="微软雅黑" w:eastAsia="微软雅黑" w:cs="微软雅黑"/>
        </w:rPr>
        <w:t>4.4 系统支援及维护要求</w:t>
      </w:r>
    </w:p>
    <w:p w14:paraId="0F96184C">
      <w:pPr>
        <w:spacing w:after="120" w:line="264" w:lineRule="auto"/>
        <w:rPr>
          <w:rFonts w:hint="eastAsia" w:ascii="微软雅黑" w:hAnsi="微软雅黑" w:eastAsia="微软雅黑" w:cs="微软雅黑"/>
        </w:rPr>
      </w:pPr>
      <w:r>
        <w:rPr>
          <w:rFonts w:hint="eastAsia" w:ascii="微软雅黑" w:hAnsi="微软雅黑" w:eastAsia="微软雅黑" w:cs="微软雅黑"/>
        </w:rPr>
        <w:t>4.4.1 系统护理完成后，须为新系统提供 1 年免费保养，以及 4 年持续支援及维护服务，包括硬件、软件及系统支援服务，并须为全日制支援，即每周 7 天、每天 24 小时。</w:t>
      </w:r>
    </w:p>
    <w:p w14:paraId="69DF7FB8">
      <w:pPr>
        <w:spacing w:after="120" w:line="264" w:lineRule="auto"/>
        <w:rPr>
          <w:rFonts w:hint="eastAsia" w:ascii="微软雅黑" w:hAnsi="微软雅黑" w:eastAsia="微软雅黑" w:cs="微软雅黑"/>
        </w:rPr>
      </w:pPr>
      <w:r>
        <w:rPr>
          <w:rFonts w:hint="eastAsia" w:ascii="微软雅黑" w:hAnsi="微软雅黑" w:eastAsia="微软雅黑" w:cs="微软雅黑"/>
        </w:rPr>
        <w:t>4.4.2 须提供 7x24 服务台服务。</w:t>
      </w:r>
    </w:p>
    <w:p w14:paraId="2E43619C">
      <w:pPr>
        <w:spacing w:after="120" w:line="264" w:lineRule="auto"/>
        <w:rPr>
          <w:rFonts w:hint="eastAsia" w:ascii="微软雅黑" w:hAnsi="微软雅黑" w:eastAsia="微软雅黑" w:cs="微软雅黑"/>
        </w:rPr>
      </w:pPr>
      <w:r>
        <w:rPr>
          <w:rFonts w:hint="eastAsia" w:ascii="微软雅黑" w:hAnsi="微软雅黑" w:eastAsia="微软雅黑" w:cs="微软雅黑"/>
        </w:rPr>
        <w:t>4.4.3 所有类型维护支援服务的回应时间须为：(a) 30 分钟内以电话回应（即联络来电者）；及 (b) 2 小时内亲身回应（即到达现场）。</w:t>
      </w:r>
    </w:p>
    <w:p w14:paraId="04A84874">
      <w:pPr>
        <w:spacing w:after="120" w:line="264" w:lineRule="auto"/>
        <w:rPr>
          <w:rFonts w:hint="eastAsia" w:ascii="微软雅黑" w:hAnsi="微软雅黑" w:eastAsia="微软雅黑" w:cs="微软雅黑"/>
        </w:rPr>
      </w:pPr>
      <w:r>
        <w:rPr>
          <w:rFonts w:hint="eastAsia" w:ascii="微软雅黑" w:hAnsi="微软雅黑" w:eastAsia="微软雅黑" w:cs="微软雅黑"/>
        </w:rPr>
        <w:t>4.4.4 须提供软件更新及安全修补程序安装服务。</w:t>
      </w:r>
    </w:p>
    <w:p w14:paraId="173942E5">
      <w:pPr>
        <w:spacing w:after="120" w:line="264" w:lineRule="auto"/>
        <w:rPr>
          <w:rFonts w:hint="eastAsia" w:ascii="微软雅黑" w:hAnsi="微软雅黑" w:eastAsia="微软雅黑" w:cs="微软雅黑"/>
        </w:rPr>
      </w:pPr>
      <w:r>
        <w:rPr>
          <w:rFonts w:hint="eastAsia" w:ascii="微软雅黑" w:hAnsi="微软雅黑" w:eastAsia="微软雅黑" w:cs="微软雅黑"/>
        </w:rPr>
        <w:t>4.4.5 须提供问题判定及程序错误修正服务。</w:t>
      </w:r>
    </w:p>
    <w:p w14:paraId="64AAF751">
      <w:pPr>
        <w:spacing w:after="120" w:line="264" w:lineRule="auto"/>
        <w:rPr>
          <w:rFonts w:hint="eastAsia" w:ascii="微软雅黑" w:hAnsi="微软雅黑" w:eastAsia="微软雅黑" w:cs="微软雅黑"/>
        </w:rPr>
      </w:pPr>
      <w:r>
        <w:rPr>
          <w:rFonts w:hint="eastAsia" w:ascii="微软雅黑" w:hAnsi="微软雅黑" w:eastAsia="微软雅黑" w:cs="微软雅黑"/>
        </w:rPr>
        <w:t>4.4.6 须调校系统效能，以符合准确率及其他要求。</w:t>
      </w:r>
    </w:p>
    <w:p w14:paraId="05F7BC78">
      <w:pPr>
        <w:spacing w:after="120" w:line="264" w:lineRule="auto"/>
        <w:rPr>
          <w:rFonts w:hint="eastAsia" w:ascii="微软雅黑" w:hAnsi="微软雅黑" w:eastAsia="微软雅黑" w:cs="微软雅黑"/>
        </w:rPr>
      </w:pPr>
      <w:r>
        <w:rPr>
          <w:rFonts w:hint="eastAsia" w:ascii="微软雅黑" w:hAnsi="微软雅黑" w:eastAsia="微软雅黑" w:cs="微软雅黑"/>
        </w:rPr>
        <w:t>4.4.7 须按要求执行年度系统容量规划及分析，以及其他系统测试。</w:t>
      </w:r>
    </w:p>
    <w:p w14:paraId="63149141">
      <w:pPr>
        <w:spacing w:after="120" w:line="264" w:lineRule="auto"/>
        <w:rPr>
          <w:rFonts w:hint="eastAsia" w:ascii="微软雅黑" w:hAnsi="微软雅黑" w:eastAsia="微软雅黑" w:cs="微软雅黑"/>
        </w:rPr>
      </w:pPr>
      <w:r>
        <w:rPr>
          <w:rFonts w:hint="eastAsia" w:ascii="微软雅黑" w:hAnsi="微软雅黑" w:eastAsia="微软雅黑" w:cs="微软雅黑"/>
        </w:rPr>
        <w:t>4.4.8 须每年执行灾难复原（DR）演练。</w:t>
      </w:r>
    </w:p>
    <w:p w14:paraId="3F2D80CB">
      <w:pPr>
        <w:spacing w:after="120" w:line="264" w:lineRule="auto"/>
        <w:rPr>
          <w:rFonts w:hint="eastAsia" w:ascii="微软雅黑" w:hAnsi="微软雅黑" w:eastAsia="微软雅黑" w:cs="微软雅黑"/>
        </w:rPr>
      </w:pPr>
      <w:r>
        <w:rPr>
          <w:rFonts w:hint="eastAsia" w:ascii="微软雅黑" w:hAnsi="微软雅黑" w:eastAsia="微软雅黑" w:cs="微软雅黑"/>
        </w:rPr>
        <w:t>4.4.9 须就私隐影响评估（PIA）、信息科技保安风险评估及审计（ITSRAA）、AI 应用影响评估提供协助及支援，并落实建议措施。</w:t>
      </w:r>
    </w:p>
    <w:p w14:paraId="5DD04731">
      <w:pPr>
        <w:spacing w:after="120" w:line="264" w:lineRule="auto"/>
        <w:rPr>
          <w:rFonts w:hint="eastAsia" w:ascii="微软雅黑" w:hAnsi="微软雅黑" w:eastAsia="微软雅黑" w:cs="微软雅黑"/>
        </w:rPr>
      </w:pPr>
      <w:r>
        <w:rPr>
          <w:rFonts w:hint="eastAsia" w:ascii="微软雅黑" w:hAnsi="微软雅黑" w:eastAsia="微软雅黑" w:cs="微软雅黑"/>
        </w:rPr>
        <w:t>4.4.10 须提供效能及容量管理。</w:t>
      </w:r>
    </w:p>
    <w:p w14:paraId="503375A0">
      <w:pPr>
        <w:spacing w:after="120" w:line="264" w:lineRule="auto"/>
        <w:rPr>
          <w:rFonts w:hint="eastAsia" w:ascii="微软雅黑" w:hAnsi="微软雅黑" w:eastAsia="微软雅黑" w:cs="微软雅黑"/>
        </w:rPr>
      </w:pPr>
      <w:r>
        <w:rPr>
          <w:rFonts w:hint="eastAsia" w:ascii="微软雅黑" w:hAnsi="微软雅黑" w:eastAsia="微软雅黑" w:cs="微软雅黑"/>
        </w:rPr>
        <w:t>4.4.11 须提供系统操作及监察。</w:t>
      </w:r>
    </w:p>
    <w:p w14:paraId="30564F04">
      <w:pPr>
        <w:spacing w:after="120" w:line="264" w:lineRule="auto"/>
        <w:rPr>
          <w:rFonts w:hint="eastAsia" w:ascii="微软雅黑" w:hAnsi="微软雅黑" w:eastAsia="微软雅黑" w:cs="微软雅黑"/>
        </w:rPr>
      </w:pPr>
      <w:r>
        <w:rPr>
          <w:rFonts w:hint="eastAsia" w:ascii="微软雅黑" w:hAnsi="微软雅黑" w:eastAsia="微软雅黑" w:cs="微软雅黑"/>
        </w:rPr>
        <w:t>4.4.12 须提供保安控制管理。</w:t>
      </w:r>
    </w:p>
    <w:p w14:paraId="7DF9E458">
      <w:pPr>
        <w:spacing w:after="120" w:line="264" w:lineRule="auto"/>
        <w:rPr>
          <w:rFonts w:hint="eastAsia" w:ascii="微软雅黑" w:hAnsi="微软雅黑" w:eastAsia="微软雅黑" w:cs="微软雅黑"/>
        </w:rPr>
      </w:pPr>
      <w:r>
        <w:rPr>
          <w:rFonts w:hint="eastAsia" w:ascii="微软雅黑" w:hAnsi="微软雅黑" w:eastAsia="微软雅黑" w:cs="微软雅黑"/>
        </w:rPr>
        <w:t>4.4.13 须在系统护理及系统维护期间覆核、调校及训练所有 OCR 及 AI 模型。</w:t>
      </w:r>
    </w:p>
    <w:p w14:paraId="5A690287">
      <w:pPr>
        <w:spacing w:after="120" w:line="264" w:lineRule="auto"/>
        <w:rPr>
          <w:rFonts w:hint="eastAsia" w:ascii="微软雅黑" w:hAnsi="微软雅黑" w:eastAsia="微软雅黑" w:cs="微软雅黑"/>
        </w:rPr>
      </w:pPr>
      <w:r>
        <w:rPr>
          <w:rFonts w:hint="eastAsia" w:ascii="微软雅黑" w:hAnsi="微软雅黑" w:eastAsia="微软雅黑" w:cs="微软雅黑"/>
        </w:rPr>
        <w:t>4.4.14 须建议一支维护团队，配置足够现场／离场及驻场／非驻场人员，以支援系统维护及支援服务，例如项目经理、应用系统分析员、基础设施系统分析员、数据科学家、分析程序员、系统工程师、现场工程师及技术员。</w:t>
      </w:r>
    </w:p>
    <w:p w14:paraId="67B69E08">
      <w:pPr>
        <w:spacing w:after="120" w:line="264" w:lineRule="auto"/>
        <w:rPr>
          <w:rFonts w:hint="eastAsia" w:ascii="微软雅黑" w:hAnsi="微软雅黑" w:eastAsia="微软雅黑" w:cs="微软雅黑"/>
        </w:rPr>
      </w:pPr>
      <w:r>
        <w:rPr>
          <w:rFonts w:hint="eastAsia" w:ascii="微软雅黑" w:hAnsi="微软雅黑" w:eastAsia="微软雅黑" w:cs="微软雅黑"/>
        </w:rPr>
        <w:t>4.4.15 须提供足够在香港境内工作的维护团队人手，以支援上文第 4.4.1 及 4.4.3 条所述维护要求。</w:t>
      </w:r>
    </w:p>
    <w:p w14:paraId="4D72A61E">
      <w:pPr>
        <w:spacing w:after="120" w:line="264" w:lineRule="auto"/>
        <w:rPr>
          <w:rFonts w:hint="eastAsia" w:ascii="微软雅黑" w:hAnsi="微软雅黑" w:eastAsia="微软雅黑" w:cs="微软雅黑"/>
        </w:rPr>
      </w:pPr>
      <w:r>
        <w:rPr>
          <w:rFonts w:hint="eastAsia" w:ascii="微软雅黑" w:hAnsi="微软雅黑" w:eastAsia="微软雅黑" w:cs="微软雅黑"/>
        </w:rPr>
        <w:t>4.4.16 须每年提供至少 140 人天作系统变更（其中 30 人天由项目经理执行、30 人天由数据科学家／AI 应用或应用系统分析员执行、30 人天由基础设施系统分析员执行，以及 50 人天由分析程序员执行）。</w:t>
      </w:r>
    </w:p>
    <w:p w14:paraId="43481BD2">
      <w:pPr>
        <w:pStyle w:val="3"/>
        <w:rPr>
          <w:rFonts w:hint="eastAsia" w:ascii="微软雅黑" w:hAnsi="微软雅黑" w:eastAsia="微软雅黑" w:cs="微软雅黑"/>
        </w:rPr>
      </w:pPr>
      <w:r>
        <w:rPr>
          <w:rFonts w:hint="eastAsia" w:ascii="微软雅黑" w:hAnsi="微软雅黑" w:eastAsia="微软雅黑" w:cs="微软雅黑"/>
        </w:rPr>
        <w:t>5 查询</w:t>
      </w:r>
    </w:p>
    <w:p w14:paraId="37B27BE0">
      <w:pPr>
        <w:spacing w:after="120" w:line="264" w:lineRule="auto"/>
        <w:rPr>
          <w:rFonts w:hint="eastAsia" w:ascii="微软雅黑" w:hAnsi="微软雅黑" w:eastAsia="微软雅黑" w:cs="微软雅黑"/>
        </w:rPr>
      </w:pPr>
      <w:r>
        <w:rPr>
          <w:rFonts w:hint="eastAsia" w:ascii="微软雅黑" w:hAnsi="微软雅黑" w:eastAsia="微软雅黑" w:cs="微软雅黑"/>
        </w:rPr>
        <w:t>5.1 为便利沟通，如有任何查询，请透过电邮联络以下联络点：</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1934"/>
        <w:gridCol w:w="2747"/>
        <w:gridCol w:w="1588"/>
        <w:gridCol w:w="3359"/>
      </w:tblGrid>
      <w:tr w14:paraId="2742FC4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160" w:type="dxa"/>
            <w:shd w:val="clear" w:color="auto" w:fill="E8EEF5"/>
            <w:vAlign w:val="center"/>
          </w:tcPr>
          <w:p w14:paraId="04E8B825">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类别</w:t>
            </w:r>
          </w:p>
        </w:tc>
        <w:tc>
          <w:tcPr>
            <w:tcW w:w="3024" w:type="dxa"/>
            <w:shd w:val="clear" w:color="auto" w:fill="E8EEF5"/>
            <w:vAlign w:val="center"/>
          </w:tcPr>
          <w:p w14:paraId="5652A5AF">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联络人</w:t>
            </w:r>
          </w:p>
        </w:tc>
        <w:tc>
          <w:tcPr>
            <w:tcW w:w="1728" w:type="dxa"/>
            <w:shd w:val="clear" w:color="auto" w:fill="E8EEF5"/>
            <w:vAlign w:val="center"/>
          </w:tcPr>
          <w:p w14:paraId="50801EB7">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电话</w:t>
            </w:r>
          </w:p>
        </w:tc>
        <w:tc>
          <w:tcPr>
            <w:tcW w:w="3456" w:type="dxa"/>
            <w:shd w:val="clear" w:color="auto" w:fill="E8EEF5"/>
            <w:vAlign w:val="center"/>
          </w:tcPr>
          <w:p w14:paraId="11C6E0B7">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电邮</w:t>
            </w:r>
          </w:p>
        </w:tc>
      </w:tr>
      <w:tr w14:paraId="7828723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160" w:type="dxa"/>
            <w:vAlign w:val="center"/>
          </w:tcPr>
          <w:p w14:paraId="3C4599A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业务相关事项</w:t>
            </w:r>
          </w:p>
        </w:tc>
        <w:tc>
          <w:tcPr>
            <w:tcW w:w="3024" w:type="dxa"/>
            <w:vAlign w:val="center"/>
          </w:tcPr>
          <w:p w14:paraId="0DB3F98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刘永发先生（Mr. LAU Wing-fat）</w:t>
            </w:r>
          </w:p>
        </w:tc>
        <w:tc>
          <w:tcPr>
            <w:tcW w:w="1728" w:type="dxa"/>
            <w:vAlign w:val="center"/>
          </w:tcPr>
          <w:p w14:paraId="63736A0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2294 2385</w:t>
            </w:r>
          </w:p>
        </w:tc>
        <w:tc>
          <w:tcPr>
            <w:tcW w:w="3456" w:type="dxa"/>
            <w:vAlign w:val="center"/>
          </w:tcPr>
          <w:p w14:paraId="22F0CB9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wflau3@immd.gov.hk</w:t>
            </w:r>
          </w:p>
        </w:tc>
      </w:tr>
      <w:tr w14:paraId="46A0322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160" w:type="dxa"/>
            <w:vAlign w:val="center"/>
          </w:tcPr>
          <w:p w14:paraId="7EC9C5A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业务相关事项</w:t>
            </w:r>
          </w:p>
        </w:tc>
        <w:tc>
          <w:tcPr>
            <w:tcW w:w="3024" w:type="dxa"/>
            <w:vAlign w:val="center"/>
          </w:tcPr>
          <w:p w14:paraId="0EDCAC9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游家伟先生（Mr. YAU Ka-wai）</w:t>
            </w:r>
          </w:p>
        </w:tc>
        <w:tc>
          <w:tcPr>
            <w:tcW w:w="1728" w:type="dxa"/>
            <w:vAlign w:val="center"/>
          </w:tcPr>
          <w:p w14:paraId="335294B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2294 2010</w:t>
            </w:r>
          </w:p>
        </w:tc>
        <w:tc>
          <w:tcPr>
            <w:tcW w:w="3456" w:type="dxa"/>
            <w:vAlign w:val="center"/>
          </w:tcPr>
          <w:p w14:paraId="27F0552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kwyau1@immd.gov.hk</w:t>
            </w:r>
          </w:p>
        </w:tc>
      </w:tr>
      <w:tr w14:paraId="7926ADE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160" w:type="dxa"/>
            <w:vAlign w:val="center"/>
          </w:tcPr>
          <w:p w14:paraId="04EFE34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技术相关事项</w:t>
            </w:r>
          </w:p>
        </w:tc>
        <w:tc>
          <w:tcPr>
            <w:tcW w:w="3024" w:type="dxa"/>
            <w:vAlign w:val="center"/>
          </w:tcPr>
          <w:p w14:paraId="469A362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William MOK 先生</w:t>
            </w:r>
          </w:p>
        </w:tc>
        <w:tc>
          <w:tcPr>
            <w:tcW w:w="1728" w:type="dxa"/>
            <w:vAlign w:val="center"/>
          </w:tcPr>
          <w:p w14:paraId="7005482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2829 3307</w:t>
            </w:r>
          </w:p>
        </w:tc>
        <w:tc>
          <w:tcPr>
            <w:tcW w:w="3456" w:type="dxa"/>
            <w:vAlign w:val="center"/>
          </w:tcPr>
          <w:p w14:paraId="0D372BC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williamkymok@immd.gov.hk</w:t>
            </w:r>
          </w:p>
        </w:tc>
      </w:tr>
    </w:tbl>
    <w:p w14:paraId="72D30FC3">
      <w:pPr>
        <w:rPr>
          <w:rFonts w:hint="eastAsia" w:ascii="微软雅黑" w:hAnsi="微软雅黑" w:eastAsia="微软雅黑" w:cs="微软雅黑"/>
        </w:rPr>
      </w:pPr>
    </w:p>
    <w:p w14:paraId="31BB5236">
      <w:pPr>
        <w:rPr>
          <w:rFonts w:hint="eastAsia" w:ascii="微软雅黑" w:hAnsi="微软雅黑" w:eastAsia="微软雅黑" w:cs="微软雅黑"/>
        </w:rPr>
      </w:pPr>
      <w:r>
        <w:rPr>
          <w:rFonts w:hint="eastAsia" w:ascii="微软雅黑" w:hAnsi="微软雅黑" w:eastAsia="微软雅黑" w:cs="微软雅黑"/>
        </w:rPr>
        <w:br w:type="page"/>
      </w:r>
    </w:p>
    <w:p w14:paraId="227377B1">
      <w:pPr>
        <w:pStyle w:val="3"/>
        <w:rPr>
          <w:rFonts w:hint="eastAsia" w:ascii="微软雅黑" w:hAnsi="微软雅黑" w:eastAsia="微软雅黑" w:cs="微软雅黑"/>
        </w:rPr>
      </w:pPr>
      <w:r>
        <w:rPr>
          <w:rFonts w:hint="eastAsia" w:ascii="微软雅黑" w:hAnsi="微软雅黑" w:eastAsia="微软雅黑" w:cs="微软雅黑"/>
        </w:rPr>
        <w:t>附录 A - 概念网络环境</w:t>
      </w:r>
    </w:p>
    <w:p w14:paraId="53A5C4AC">
      <w:pPr>
        <w:spacing w:after="120" w:line="264" w:lineRule="auto"/>
        <w:rPr>
          <w:rFonts w:hint="eastAsia" w:ascii="微软雅黑" w:hAnsi="微软雅黑" w:eastAsia="微软雅黑" w:cs="微软雅黑"/>
        </w:rPr>
      </w:pPr>
      <w:r>
        <w:rPr>
          <w:rFonts w:hint="eastAsia" w:ascii="微软雅黑" w:hAnsi="微软雅黑" w:eastAsia="微软雅黑" w:cs="微软雅黑"/>
        </w:rPr>
        <w:t>承办商在考虑建议的新 AI 方案时，可参考以下生产及非生产环境的概念网络环境示例。</w:t>
      </w:r>
    </w:p>
    <w:p w14:paraId="23AE67F0">
      <w:pPr>
        <w:spacing w:after="120" w:line="264" w:lineRule="auto"/>
        <w:rPr>
          <w:rFonts w:hint="eastAsia" w:ascii="微软雅黑" w:hAnsi="微软雅黑" w:eastAsia="微软雅黑" w:cs="微软雅黑"/>
        </w:rPr>
      </w:pPr>
      <w:r>
        <w:rPr>
          <w:rFonts w:hint="eastAsia" w:ascii="微软雅黑" w:hAnsi="微软雅黑" w:eastAsia="微软雅黑" w:cs="微软雅黑"/>
        </w:rPr>
        <w:t>图 1：概念生产架构</w:t>
      </w:r>
    </w:p>
    <w:p w14:paraId="0573427E">
      <w:pPr>
        <w:spacing w:after="120" w:line="264" w:lineRule="auto"/>
        <w:rPr>
          <w:rFonts w:hint="eastAsia" w:ascii="微软雅黑" w:hAnsi="微软雅黑" w:eastAsia="微软雅黑" w:cs="微软雅黑"/>
        </w:rPr>
      </w:pPr>
      <w:r>
        <w:rPr>
          <w:rFonts w:hint="eastAsia" w:ascii="微软雅黑" w:hAnsi="微软雅黑" w:eastAsia="微软雅黑" w:cs="微软雅黑"/>
        </w:rPr>
        <w:t>图 2：概念非生产架构</w:t>
      </w:r>
    </w:p>
    <w:p w14:paraId="11ED5D08">
      <w:pPr>
        <w:pStyle w:val="3"/>
        <w:rPr>
          <w:rFonts w:hint="eastAsia" w:ascii="微软雅黑" w:hAnsi="微软雅黑" w:eastAsia="微软雅黑" w:cs="微软雅黑"/>
        </w:rPr>
      </w:pPr>
      <w:r>
        <w:rPr>
          <w:rFonts w:hint="eastAsia" w:ascii="微软雅黑" w:hAnsi="微软雅黑" w:eastAsia="微软雅黑" w:cs="微软雅黑"/>
        </w:rPr>
        <w:t>附录 B - 高层次硬件要求</w:t>
      </w:r>
    </w:p>
    <w:p w14:paraId="425CC6C0">
      <w:pPr>
        <w:spacing w:after="120" w:line="264" w:lineRule="auto"/>
        <w:rPr>
          <w:rFonts w:hint="eastAsia" w:ascii="微软雅黑" w:hAnsi="微软雅黑" w:eastAsia="微软雅黑" w:cs="微软雅黑"/>
        </w:rPr>
      </w:pPr>
      <w:r>
        <w:rPr>
          <w:rFonts w:hint="eastAsia" w:ascii="微软雅黑" w:hAnsi="微软雅黑" w:eastAsia="微软雅黑" w:cs="微软雅黑"/>
        </w:rPr>
        <w:t>承办商在考虑建议的新 AI 方案时，可参考以下高层次硬件要求示例。承办商可为其建议方案提出任何硬件，主要初步硬件要求仅供承办商参考。</w:t>
      </w:r>
    </w:p>
    <w:p w14:paraId="0BB6C726">
      <w:pPr>
        <w:spacing w:after="120" w:line="264" w:lineRule="auto"/>
        <w:rPr>
          <w:rFonts w:hint="eastAsia" w:ascii="微软雅黑" w:hAnsi="微软雅黑" w:eastAsia="微软雅黑" w:cs="微软雅黑"/>
        </w:rPr>
      </w:pPr>
      <w:r>
        <w:rPr>
          <w:rFonts w:hint="eastAsia" w:ascii="微软雅黑" w:hAnsi="微软雅黑" w:eastAsia="微软雅黑" w:cs="微软雅黑"/>
        </w:rPr>
        <w:t>建议硬件须符合国际标准的信息科技保安标准或认证（例如在适用于保安相关产品时采用 ISO/IEC 15408 等 ISO 标准），以及国家 GB 标准（例如网页应用程序防火墙产品的 GB/T32917-2016）。</w:t>
      </w:r>
    </w:p>
    <w:p w14:paraId="1B9BF576">
      <w:pPr>
        <w:spacing w:after="120" w:line="264" w:lineRule="auto"/>
        <w:rPr>
          <w:rFonts w:hint="eastAsia" w:ascii="微软雅黑" w:hAnsi="微软雅黑" w:eastAsia="微软雅黑" w:cs="微软雅黑"/>
        </w:rPr>
      </w:pPr>
      <w:r>
        <w:rPr>
          <w:rFonts w:hint="eastAsia" w:ascii="微软雅黑" w:hAnsi="微软雅黑" w:eastAsia="微软雅黑" w:cs="微软雅黑"/>
        </w:rPr>
        <w:t>建议硬件须采用并可与国产产品的设备及软件互通，以及与信息技术应用创新（ITAI 或「信创」）产业的方案及产品互通，并须符合下列最低要求。</w:t>
      </w:r>
    </w:p>
    <w:p w14:paraId="245E35DF">
      <w:pPr>
        <w:pStyle w:val="4"/>
        <w:rPr>
          <w:rFonts w:hint="eastAsia" w:ascii="微软雅黑" w:hAnsi="微软雅黑" w:eastAsia="微软雅黑" w:cs="微软雅黑"/>
        </w:rPr>
      </w:pPr>
      <w:r>
        <w:rPr>
          <w:rFonts w:hint="eastAsia" w:ascii="微软雅黑" w:hAnsi="微软雅黑" w:eastAsia="微软雅黑" w:cs="微软雅黑"/>
        </w:rPr>
        <w:t>H01. AI 服务器</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304"/>
        <w:gridCol w:w="6912"/>
      </w:tblGrid>
      <w:tr w14:paraId="02F7F1F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shd w:val="clear" w:color="auto" w:fill="E8EEF5"/>
            <w:vAlign w:val="center"/>
          </w:tcPr>
          <w:p w14:paraId="17B864E5">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功能</w:t>
            </w:r>
          </w:p>
        </w:tc>
        <w:tc>
          <w:tcPr>
            <w:tcW w:w="6912" w:type="dxa"/>
            <w:shd w:val="clear" w:color="auto" w:fill="E8EEF5"/>
            <w:vAlign w:val="center"/>
          </w:tcPr>
          <w:p w14:paraId="269B9E63">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要求</w:t>
            </w:r>
          </w:p>
        </w:tc>
      </w:tr>
      <w:tr w14:paraId="4FEE422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2BF2BE9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外形规格</w:t>
            </w:r>
          </w:p>
        </w:tc>
        <w:tc>
          <w:tcPr>
            <w:tcW w:w="6912" w:type="dxa"/>
            <w:vAlign w:val="center"/>
          </w:tcPr>
          <w:p w14:paraId="19CA32A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可安装于标准 19 吋机架，深度不超过 1200 毫米。</w:t>
            </w:r>
          </w:p>
        </w:tc>
      </w:tr>
      <w:tr w14:paraId="45FC4EE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7268117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处理器</w:t>
            </w:r>
          </w:p>
        </w:tc>
        <w:tc>
          <w:tcPr>
            <w:tcW w:w="6912" w:type="dxa"/>
            <w:vAlign w:val="center"/>
          </w:tcPr>
          <w:p w14:paraId="6CA9DDB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2 个处理器。</w:t>
            </w:r>
          </w:p>
        </w:tc>
      </w:tr>
      <w:tr w14:paraId="5088643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5AC7D4A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NPU/GPU</w:t>
            </w:r>
          </w:p>
        </w:tc>
        <w:tc>
          <w:tcPr>
            <w:tcW w:w="6912" w:type="dxa"/>
            <w:vAlign w:val="center"/>
          </w:tcPr>
          <w:p w14:paraId="133E006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8 个 NPU/GPU 模块或兼容卡；每个 GPU/NPU 模块或兼容卡至少 275 TFLOPS FP16。</w:t>
            </w:r>
          </w:p>
        </w:tc>
      </w:tr>
      <w:tr w14:paraId="60A9717E">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3756E34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存储器</w:t>
            </w:r>
          </w:p>
        </w:tc>
        <w:tc>
          <w:tcPr>
            <w:tcW w:w="6912" w:type="dxa"/>
            <w:vAlign w:val="center"/>
          </w:tcPr>
          <w:p w14:paraId="74FAEF0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1024 GB；支援高频宽存储器（HBM）。</w:t>
            </w:r>
          </w:p>
        </w:tc>
      </w:tr>
      <w:tr w14:paraId="6CA71104">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45DE96C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内部储存</w:t>
            </w:r>
          </w:p>
        </w:tc>
        <w:tc>
          <w:tcPr>
            <w:tcW w:w="6912" w:type="dxa"/>
            <w:vAlign w:val="center"/>
          </w:tcPr>
          <w:p w14:paraId="5768AAC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2 个 SSD 热插拔磁碟。</w:t>
            </w:r>
          </w:p>
        </w:tc>
      </w:tr>
      <w:tr w14:paraId="1466F1D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6F3FB2C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网络</w:t>
            </w:r>
          </w:p>
        </w:tc>
        <w:tc>
          <w:tcPr>
            <w:tcW w:w="6912" w:type="dxa"/>
            <w:vAlign w:val="center"/>
          </w:tcPr>
          <w:p w14:paraId="4631DF4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1 个控制台埠及 1 个管理埠；应用网络须具备足够双埠。</w:t>
            </w:r>
          </w:p>
        </w:tc>
      </w:tr>
      <w:tr w14:paraId="470D2ED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64E5E4A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电源</w:t>
            </w:r>
          </w:p>
        </w:tc>
        <w:tc>
          <w:tcPr>
            <w:tcW w:w="6912" w:type="dxa"/>
            <w:vAlign w:val="center"/>
          </w:tcPr>
          <w:p w14:paraId="2455789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2 个冗余及热插拔电源；最大耗电量不超过 16 kW。</w:t>
            </w:r>
          </w:p>
        </w:tc>
      </w:tr>
      <w:tr w14:paraId="02A6C0D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20AC0E7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配件</w:t>
            </w:r>
          </w:p>
        </w:tc>
        <w:tc>
          <w:tcPr>
            <w:tcW w:w="6912" w:type="dxa"/>
            <w:vAlign w:val="center"/>
          </w:tcPr>
          <w:p w14:paraId="6D0FEF4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提供所有必要配件，包括但不限于 GBIC、机架安装套件、转接器、电源线、光纤线、网络线、系统复原工具、所有其他随附软件、束线带及标签。</w:t>
            </w:r>
          </w:p>
        </w:tc>
      </w:tr>
      <w:tr w14:paraId="2C9DCC0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188C1EE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其他</w:t>
            </w:r>
          </w:p>
        </w:tc>
        <w:tc>
          <w:tcPr>
            <w:tcW w:w="6912" w:type="dxa"/>
            <w:vAlign w:val="center"/>
          </w:tcPr>
          <w:p w14:paraId="6E3D901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建议产品须已可在市场上作现成产品购买；提供所有必要授权；符合电气及电子设备有害物质限制（RoHS）。</w:t>
            </w:r>
          </w:p>
        </w:tc>
      </w:tr>
    </w:tbl>
    <w:p w14:paraId="150A3955">
      <w:pPr>
        <w:rPr>
          <w:rFonts w:hint="eastAsia" w:ascii="微软雅黑" w:hAnsi="微软雅黑" w:eastAsia="微软雅黑" w:cs="微软雅黑"/>
        </w:rPr>
      </w:pPr>
    </w:p>
    <w:p w14:paraId="00B6501B">
      <w:pPr>
        <w:pStyle w:val="4"/>
        <w:rPr>
          <w:rFonts w:hint="eastAsia" w:ascii="微软雅黑" w:hAnsi="微软雅黑" w:eastAsia="微软雅黑" w:cs="微软雅黑"/>
        </w:rPr>
      </w:pPr>
      <w:r>
        <w:rPr>
          <w:rFonts w:hint="eastAsia" w:ascii="微软雅黑" w:hAnsi="微软雅黑" w:eastAsia="微软雅黑" w:cs="微软雅黑"/>
        </w:rPr>
        <w:t>H02. AI 管理／RAG 服务器</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304"/>
        <w:gridCol w:w="6912"/>
      </w:tblGrid>
      <w:tr w14:paraId="2FD34CD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shd w:val="clear" w:color="auto" w:fill="E8EEF5"/>
            <w:vAlign w:val="center"/>
          </w:tcPr>
          <w:p w14:paraId="04876614">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功能</w:t>
            </w:r>
          </w:p>
        </w:tc>
        <w:tc>
          <w:tcPr>
            <w:tcW w:w="6912" w:type="dxa"/>
            <w:shd w:val="clear" w:color="auto" w:fill="E8EEF5"/>
            <w:vAlign w:val="center"/>
          </w:tcPr>
          <w:p w14:paraId="3C5F3A60">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要求</w:t>
            </w:r>
          </w:p>
        </w:tc>
      </w:tr>
      <w:tr w14:paraId="4386A6E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05D3171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外形规格</w:t>
            </w:r>
          </w:p>
        </w:tc>
        <w:tc>
          <w:tcPr>
            <w:tcW w:w="6912" w:type="dxa"/>
            <w:vAlign w:val="center"/>
          </w:tcPr>
          <w:p w14:paraId="4E5080A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可安装于标准 19 吋机架，深度不超过 1200 毫米。</w:t>
            </w:r>
          </w:p>
        </w:tc>
      </w:tr>
      <w:tr w14:paraId="7756C3A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1B7FAA9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处理器</w:t>
            </w:r>
          </w:p>
        </w:tc>
        <w:tc>
          <w:tcPr>
            <w:tcW w:w="6912" w:type="dxa"/>
            <w:vAlign w:val="center"/>
          </w:tcPr>
          <w:p w14:paraId="349F26C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2 个处理器。</w:t>
            </w:r>
          </w:p>
        </w:tc>
      </w:tr>
      <w:tr w14:paraId="722AD88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41DC77F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存储器</w:t>
            </w:r>
          </w:p>
        </w:tc>
        <w:tc>
          <w:tcPr>
            <w:tcW w:w="6912" w:type="dxa"/>
            <w:vAlign w:val="center"/>
          </w:tcPr>
          <w:p w14:paraId="7753D8A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512 GB。</w:t>
            </w:r>
          </w:p>
        </w:tc>
      </w:tr>
      <w:tr w14:paraId="1AFBF9C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52DC88F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内部储存</w:t>
            </w:r>
          </w:p>
        </w:tc>
        <w:tc>
          <w:tcPr>
            <w:tcW w:w="6912" w:type="dxa"/>
            <w:vAlign w:val="center"/>
          </w:tcPr>
          <w:p w14:paraId="42238B7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2 个 SSD 热插拔磁碟。</w:t>
            </w:r>
          </w:p>
        </w:tc>
      </w:tr>
      <w:tr w14:paraId="084F746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776CB9B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网络</w:t>
            </w:r>
          </w:p>
        </w:tc>
        <w:tc>
          <w:tcPr>
            <w:tcW w:w="6912" w:type="dxa"/>
            <w:vAlign w:val="center"/>
          </w:tcPr>
          <w:p w14:paraId="1630CC1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1 个控制台埠及 1 个管理埠；应用网络须具备足够双埠。</w:t>
            </w:r>
          </w:p>
        </w:tc>
      </w:tr>
      <w:tr w14:paraId="2190C8B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6E95494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电源</w:t>
            </w:r>
          </w:p>
        </w:tc>
        <w:tc>
          <w:tcPr>
            <w:tcW w:w="6912" w:type="dxa"/>
            <w:vAlign w:val="center"/>
          </w:tcPr>
          <w:p w14:paraId="696076C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 2 个冗余及热插拔电源。</w:t>
            </w:r>
          </w:p>
        </w:tc>
      </w:tr>
      <w:tr w14:paraId="2EE660B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01C0B1B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配件</w:t>
            </w:r>
          </w:p>
        </w:tc>
        <w:tc>
          <w:tcPr>
            <w:tcW w:w="6912" w:type="dxa"/>
            <w:vAlign w:val="center"/>
          </w:tcPr>
          <w:p w14:paraId="2E8F535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提供所有必要配件，包括但不限于 GBIC、机架安装套件、转接器、电源线、光纤线、网络线、系统复原工具、所有其他随附软件、束线带及标签。</w:t>
            </w:r>
          </w:p>
        </w:tc>
      </w:tr>
      <w:tr w14:paraId="2BB4F08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304" w:type="dxa"/>
            <w:vAlign w:val="center"/>
          </w:tcPr>
          <w:p w14:paraId="44EA147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其他</w:t>
            </w:r>
          </w:p>
        </w:tc>
        <w:tc>
          <w:tcPr>
            <w:tcW w:w="6912" w:type="dxa"/>
            <w:vAlign w:val="center"/>
          </w:tcPr>
          <w:p w14:paraId="69DDF9B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建议产品须已可在市场上作现成产品购买；提供所有必要授权；符合电气及电子设备有害物质限制（RoHS）。</w:t>
            </w:r>
          </w:p>
        </w:tc>
      </w:tr>
    </w:tbl>
    <w:p w14:paraId="71E279A2">
      <w:pPr>
        <w:rPr>
          <w:rFonts w:hint="eastAsia" w:ascii="微软雅黑" w:hAnsi="微软雅黑" w:eastAsia="微软雅黑" w:cs="微软雅黑"/>
        </w:rPr>
      </w:pPr>
    </w:p>
    <w:p w14:paraId="08CBF2CF">
      <w:pPr>
        <w:pStyle w:val="3"/>
        <w:rPr>
          <w:rFonts w:hint="eastAsia" w:ascii="微软雅黑" w:hAnsi="微软雅黑" w:eastAsia="微软雅黑" w:cs="微软雅黑"/>
        </w:rPr>
      </w:pPr>
      <w:r>
        <w:rPr>
          <w:rFonts w:hint="eastAsia" w:ascii="微软雅黑" w:hAnsi="微软雅黑" w:eastAsia="微软雅黑" w:cs="微软雅黑"/>
        </w:rPr>
        <w:t>附录 C - 高层次软件要求</w:t>
      </w:r>
    </w:p>
    <w:p w14:paraId="0BE6E62E">
      <w:pPr>
        <w:spacing w:after="120" w:line="264" w:lineRule="auto"/>
        <w:rPr>
          <w:rFonts w:hint="eastAsia" w:ascii="微软雅黑" w:hAnsi="微软雅黑" w:eastAsia="微软雅黑" w:cs="微软雅黑"/>
        </w:rPr>
      </w:pPr>
      <w:r>
        <w:rPr>
          <w:rFonts w:hint="eastAsia" w:ascii="微软雅黑" w:hAnsi="微软雅黑" w:eastAsia="微软雅黑" w:cs="微软雅黑"/>
        </w:rPr>
        <w:t>承办商在考虑建议的新 AI 方案时，可参考以下高层次软件要求示例。承办商可为其建议方案提出任何软件，主要初步软件要求仅供承办商参考。</w:t>
      </w:r>
    </w:p>
    <w:p w14:paraId="04701179">
      <w:pPr>
        <w:spacing w:after="120" w:line="264" w:lineRule="auto"/>
        <w:rPr>
          <w:rFonts w:hint="eastAsia" w:ascii="微软雅黑" w:hAnsi="微软雅黑" w:eastAsia="微软雅黑" w:cs="微软雅黑"/>
        </w:rPr>
      </w:pPr>
      <w:r>
        <w:rPr>
          <w:rFonts w:hint="eastAsia" w:ascii="微软雅黑" w:hAnsi="微软雅黑" w:eastAsia="微软雅黑" w:cs="微软雅黑"/>
        </w:rPr>
        <w:t>建议软件须与入境处现有软件方案或国家／本地产品的设备及软件兼容及互通，亦须与信息技术应用创新（ITAI 或「信创」）产业的方案及产品兼容及互通，并符合下列最低要求。</w:t>
      </w:r>
    </w:p>
    <w:p w14:paraId="46F654D5">
      <w:pPr>
        <w:pStyle w:val="4"/>
        <w:rPr>
          <w:rFonts w:hint="eastAsia" w:ascii="微软雅黑" w:hAnsi="微软雅黑" w:eastAsia="微软雅黑" w:cs="微软雅黑"/>
        </w:rPr>
      </w:pPr>
      <w:r>
        <w:rPr>
          <w:rFonts w:hint="eastAsia" w:ascii="微软雅黑" w:hAnsi="微软雅黑" w:eastAsia="微软雅黑" w:cs="微软雅黑"/>
        </w:rPr>
        <w:t>S01. AI 管理平台／推理引擎</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448"/>
        <w:gridCol w:w="6768"/>
      </w:tblGrid>
      <w:tr w14:paraId="1376900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shd w:val="clear" w:color="auto" w:fill="E8EEF5"/>
            <w:vAlign w:val="center"/>
          </w:tcPr>
          <w:p w14:paraId="4EF0BA9E">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功能</w:t>
            </w:r>
          </w:p>
        </w:tc>
        <w:tc>
          <w:tcPr>
            <w:tcW w:w="6768" w:type="dxa"/>
            <w:shd w:val="clear" w:color="auto" w:fill="E8EEF5"/>
            <w:vAlign w:val="center"/>
          </w:tcPr>
          <w:p w14:paraId="19F4C246">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要求</w:t>
            </w:r>
          </w:p>
        </w:tc>
      </w:tr>
      <w:tr w14:paraId="168763BF">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7C40DDE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加速卡</w:t>
            </w:r>
          </w:p>
        </w:tc>
        <w:tc>
          <w:tcPr>
            <w:tcW w:w="6768" w:type="dxa"/>
            <w:vAlign w:val="center"/>
          </w:tcPr>
          <w:p w14:paraId="2D527B3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支援在建议推理服务器上运行。</w:t>
            </w:r>
          </w:p>
        </w:tc>
      </w:tr>
      <w:tr w14:paraId="154C4F4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005B359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AI 模型</w:t>
            </w:r>
          </w:p>
        </w:tc>
        <w:tc>
          <w:tcPr>
            <w:tcW w:w="6768" w:type="dxa"/>
            <w:vAlign w:val="center"/>
          </w:tcPr>
          <w:p w14:paraId="2441F58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支援 DeepSeek、Qwen3.5 或以上等大型语言模型；支援 Qwen3-VL 或以上等多模态模型；每次请求至少支援 1,300 个输入 token；每次请求至少支援 50 个输出 token。</w:t>
            </w:r>
          </w:p>
        </w:tc>
      </w:tr>
      <w:tr w14:paraId="5FC2161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01A6DBE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模型格式</w:t>
            </w:r>
          </w:p>
        </w:tc>
        <w:tc>
          <w:tcPr>
            <w:tcW w:w="6768" w:type="dxa"/>
            <w:vAlign w:val="center"/>
          </w:tcPr>
          <w:p w14:paraId="76F51C4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至少支援 Safetensors 格式；支援原生模型格式。</w:t>
            </w:r>
          </w:p>
        </w:tc>
      </w:tr>
      <w:tr w14:paraId="0C2D3CA2">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64BFD80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计算资源管理</w:t>
            </w:r>
          </w:p>
        </w:tc>
        <w:tc>
          <w:tcPr>
            <w:tcW w:w="6768" w:type="dxa"/>
            <w:vAlign w:val="center"/>
          </w:tcPr>
          <w:p w14:paraId="76D8BAD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同时支援共享资源池（多任务计算）及专用资源池（保障高优先级任务效能）；支援中大型集群水平扩展。</w:t>
            </w:r>
          </w:p>
        </w:tc>
      </w:tr>
      <w:tr w14:paraId="33D6C0B9">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6F2F286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推理优化</w:t>
            </w:r>
          </w:p>
        </w:tc>
        <w:tc>
          <w:tcPr>
            <w:tcW w:w="6768" w:type="dxa"/>
            <w:vAlign w:val="center"/>
          </w:tcPr>
          <w:p w14:paraId="1213E51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在模型架构支援时，支援连续批处理、分页注意力及 KV cache 管理；在模型架构支援时，支援 flash/speculative decoding。</w:t>
            </w:r>
          </w:p>
        </w:tc>
      </w:tr>
      <w:tr w14:paraId="5059FC6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2BC5827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API 接口功能</w:t>
            </w:r>
          </w:p>
        </w:tc>
        <w:tc>
          <w:tcPr>
            <w:tcW w:w="6768" w:type="dxa"/>
            <w:vAlign w:val="center"/>
          </w:tcPr>
          <w:p w14:paraId="05A1278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支援 OpenAI 兼容 API 服务；支援串流及非串流输出。</w:t>
            </w:r>
          </w:p>
        </w:tc>
      </w:tr>
      <w:tr w14:paraId="098ACFE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74114E7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推理监察</w:t>
            </w:r>
          </w:p>
        </w:tc>
        <w:tc>
          <w:tcPr>
            <w:tcW w:w="6768" w:type="dxa"/>
            <w:vAlign w:val="center"/>
          </w:tcPr>
          <w:p w14:paraId="3961C5D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健康检查运行状态；实时追踪延迟、吞吐量、资源使用率及预测漂移。</w:t>
            </w:r>
          </w:p>
        </w:tc>
      </w:tr>
      <w:tr w14:paraId="3C1CA7C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602EE17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日志</w:t>
            </w:r>
          </w:p>
        </w:tc>
        <w:tc>
          <w:tcPr>
            <w:tcW w:w="6768" w:type="dxa"/>
            <w:vAlign w:val="center"/>
          </w:tcPr>
          <w:p w14:paraId="34508BD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记录输入／输出以支援除错、审计、调校及训练管道；须支援提供与入境处现有中央监察整合的日志。</w:t>
            </w:r>
          </w:p>
        </w:tc>
      </w:tr>
      <w:tr w14:paraId="1F59129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0E00094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系统管理</w:t>
            </w:r>
          </w:p>
        </w:tc>
        <w:tc>
          <w:tcPr>
            <w:tcW w:w="6768" w:type="dxa"/>
            <w:vAlign w:val="center"/>
          </w:tcPr>
          <w:p w14:paraId="53ED5C6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支援用户及权限管理；支援高可用性；支援备份复原。</w:t>
            </w:r>
          </w:p>
        </w:tc>
      </w:tr>
      <w:tr w14:paraId="232ADC9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0F8638F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部署</w:t>
            </w:r>
          </w:p>
        </w:tc>
        <w:tc>
          <w:tcPr>
            <w:tcW w:w="6768" w:type="dxa"/>
            <w:vAlign w:val="center"/>
          </w:tcPr>
          <w:p w14:paraId="172F5D0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支援 Docker 容器。</w:t>
            </w:r>
          </w:p>
        </w:tc>
      </w:tr>
      <w:tr w14:paraId="2A5809B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72DF7C6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其他</w:t>
            </w:r>
          </w:p>
        </w:tc>
        <w:tc>
          <w:tcPr>
            <w:tcW w:w="6768" w:type="dxa"/>
            <w:vAlign w:val="center"/>
          </w:tcPr>
          <w:p w14:paraId="3DDD129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建议产品须已可在市场上作现成产品购买；产品供应商不得已宣布不再支援或已公布「停止销售」日期；提供所有必要授权。</w:t>
            </w:r>
          </w:p>
        </w:tc>
      </w:tr>
    </w:tbl>
    <w:p w14:paraId="14940802">
      <w:pPr>
        <w:rPr>
          <w:rFonts w:hint="eastAsia" w:ascii="微软雅黑" w:hAnsi="微软雅黑" w:eastAsia="微软雅黑" w:cs="微软雅黑"/>
        </w:rPr>
      </w:pPr>
    </w:p>
    <w:p w14:paraId="1F696FD4">
      <w:pPr>
        <w:pStyle w:val="4"/>
        <w:rPr>
          <w:rFonts w:hint="eastAsia" w:ascii="微软雅黑" w:hAnsi="微软雅黑" w:eastAsia="微软雅黑" w:cs="微软雅黑"/>
        </w:rPr>
      </w:pPr>
      <w:r>
        <w:rPr>
          <w:rFonts w:hint="eastAsia" w:ascii="微软雅黑" w:hAnsi="微软雅黑" w:eastAsia="微软雅黑" w:cs="微软雅黑"/>
        </w:rPr>
        <w:t>S02. 防病毒软件</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448"/>
        <w:gridCol w:w="6768"/>
      </w:tblGrid>
      <w:tr w14:paraId="3C566E4C">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shd w:val="clear" w:color="auto" w:fill="E8EEF5"/>
            <w:vAlign w:val="center"/>
          </w:tcPr>
          <w:p w14:paraId="79A367C4">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功能</w:t>
            </w:r>
          </w:p>
        </w:tc>
        <w:tc>
          <w:tcPr>
            <w:tcW w:w="6768" w:type="dxa"/>
            <w:shd w:val="clear" w:color="auto" w:fill="E8EEF5"/>
            <w:vAlign w:val="center"/>
          </w:tcPr>
          <w:p w14:paraId="1699A937">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要求</w:t>
            </w:r>
          </w:p>
        </w:tc>
      </w:tr>
      <w:tr w14:paraId="1461A585">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2B7E680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兼容性</w:t>
            </w:r>
          </w:p>
        </w:tc>
        <w:tc>
          <w:tcPr>
            <w:tcW w:w="6768" w:type="dxa"/>
            <w:vAlign w:val="center"/>
          </w:tcPr>
          <w:p w14:paraId="0219408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须与入境处中央防病毒方案软件「Trellix ePolicy Orchestrator」及「Trellix Endpoint Security」兼容，以确保整合管理；或须与端点侦测及回应（EDR）方案整合。</w:t>
            </w:r>
          </w:p>
        </w:tc>
      </w:tr>
    </w:tbl>
    <w:p w14:paraId="42FB5CAF">
      <w:pPr>
        <w:rPr>
          <w:rFonts w:hint="eastAsia" w:ascii="微软雅黑" w:hAnsi="微软雅黑" w:eastAsia="微软雅黑" w:cs="微软雅黑"/>
        </w:rPr>
      </w:pPr>
    </w:p>
    <w:p w14:paraId="5911F9D7">
      <w:pPr>
        <w:pStyle w:val="4"/>
        <w:rPr>
          <w:rFonts w:hint="eastAsia" w:ascii="微软雅黑" w:hAnsi="微软雅黑" w:eastAsia="微软雅黑" w:cs="微软雅黑"/>
        </w:rPr>
      </w:pPr>
      <w:r>
        <w:rPr>
          <w:rFonts w:hint="eastAsia" w:ascii="微软雅黑" w:hAnsi="微软雅黑" w:eastAsia="微软雅黑" w:cs="微软雅黑"/>
        </w:rPr>
        <w:t>S03. 端点侦测及回应（EDR）软件</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448"/>
        <w:gridCol w:w="6768"/>
      </w:tblGrid>
      <w:tr w14:paraId="5AAD1BBD">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shd w:val="clear" w:color="auto" w:fill="E8EEF5"/>
            <w:vAlign w:val="center"/>
          </w:tcPr>
          <w:p w14:paraId="221D7A15">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功能</w:t>
            </w:r>
          </w:p>
        </w:tc>
        <w:tc>
          <w:tcPr>
            <w:tcW w:w="6768" w:type="dxa"/>
            <w:shd w:val="clear" w:color="auto" w:fill="E8EEF5"/>
            <w:vAlign w:val="center"/>
          </w:tcPr>
          <w:p w14:paraId="58D2E42B">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要求</w:t>
            </w:r>
          </w:p>
        </w:tc>
      </w:tr>
      <w:tr w14:paraId="343B9AF0">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5395EFC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兼容性</w:t>
            </w:r>
          </w:p>
        </w:tc>
        <w:tc>
          <w:tcPr>
            <w:tcW w:w="6768" w:type="dxa"/>
            <w:vAlign w:val="center"/>
          </w:tcPr>
          <w:p w14:paraId="5ECE31D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须与入境处现有中央 EDR 方案软件「Leagsoft UniEDR」兼容，以确保整合管理。</w:t>
            </w:r>
          </w:p>
        </w:tc>
      </w:tr>
    </w:tbl>
    <w:p w14:paraId="566D93BE">
      <w:pPr>
        <w:rPr>
          <w:rFonts w:hint="eastAsia" w:ascii="微软雅黑" w:hAnsi="微软雅黑" w:eastAsia="微软雅黑" w:cs="微软雅黑"/>
        </w:rPr>
      </w:pPr>
    </w:p>
    <w:p w14:paraId="42FACE1F">
      <w:pPr>
        <w:pStyle w:val="4"/>
        <w:rPr>
          <w:rFonts w:hint="eastAsia" w:ascii="微软雅黑" w:hAnsi="微软雅黑" w:eastAsia="微软雅黑" w:cs="微软雅黑"/>
        </w:rPr>
      </w:pPr>
      <w:r>
        <w:rPr>
          <w:rFonts w:hint="eastAsia" w:ascii="微软雅黑" w:hAnsi="微软雅黑" w:eastAsia="微软雅黑" w:cs="微软雅黑"/>
        </w:rPr>
        <w:t>S04. 安全信息及事件管理（SIEM）软件</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448"/>
        <w:gridCol w:w="6768"/>
      </w:tblGrid>
      <w:tr w14:paraId="653B72E7">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shd w:val="clear" w:color="auto" w:fill="E8EEF5"/>
            <w:vAlign w:val="center"/>
          </w:tcPr>
          <w:p w14:paraId="77B9A570">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功能</w:t>
            </w:r>
          </w:p>
        </w:tc>
        <w:tc>
          <w:tcPr>
            <w:tcW w:w="6768" w:type="dxa"/>
            <w:shd w:val="clear" w:color="auto" w:fill="E8EEF5"/>
            <w:vAlign w:val="center"/>
          </w:tcPr>
          <w:p w14:paraId="27ACB794">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要求</w:t>
            </w:r>
          </w:p>
        </w:tc>
      </w:tr>
      <w:tr w14:paraId="37D17C58">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Ex>
        <w:trPr>
          <w:jc w:val="center"/>
        </w:trPr>
        <w:tc>
          <w:tcPr>
            <w:tcW w:w="2448" w:type="dxa"/>
            <w:vAlign w:val="center"/>
          </w:tcPr>
          <w:p w14:paraId="4D7AE5C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兼容性</w:t>
            </w:r>
          </w:p>
        </w:tc>
        <w:tc>
          <w:tcPr>
            <w:tcW w:w="6768" w:type="dxa"/>
            <w:vAlign w:val="center"/>
          </w:tcPr>
          <w:p w14:paraId="5858164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须与入境处现有中央 SIEM 方案软件「Rizhiyi」兼容，以确保整合管理。</w:t>
            </w:r>
          </w:p>
        </w:tc>
      </w:tr>
    </w:tbl>
    <w:p w14:paraId="61761067">
      <w:pPr>
        <w:rPr>
          <w:rFonts w:hint="eastAsia" w:ascii="微软雅黑" w:hAnsi="微软雅黑" w:eastAsia="微软雅黑" w:cs="微软雅黑"/>
        </w:rPr>
      </w:pPr>
    </w:p>
    <w:p w14:paraId="3AC2B0FE">
      <w:pPr>
        <w:pStyle w:val="4"/>
        <w:rPr>
          <w:rFonts w:hint="eastAsia" w:ascii="微软雅黑" w:hAnsi="微软雅黑" w:eastAsia="微软雅黑" w:cs="微软雅黑"/>
        </w:rPr>
      </w:pPr>
      <w:r>
        <w:rPr>
          <w:rFonts w:hint="eastAsia" w:ascii="微软雅黑" w:hAnsi="微软雅黑" w:eastAsia="微软雅黑" w:cs="微软雅黑"/>
        </w:rPr>
        <w:t>S05. 系统监察软件（主机启动／停止）</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448"/>
        <w:gridCol w:w="6768"/>
      </w:tblGrid>
      <w:tr w14:paraId="48A0EA3B">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shd w:val="clear" w:color="auto" w:fill="E8EEF5"/>
            <w:vAlign w:val="center"/>
          </w:tcPr>
          <w:p w14:paraId="295D616E">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功能</w:t>
            </w:r>
          </w:p>
        </w:tc>
        <w:tc>
          <w:tcPr>
            <w:tcW w:w="6768" w:type="dxa"/>
            <w:shd w:val="clear" w:color="auto" w:fill="E8EEF5"/>
            <w:vAlign w:val="center"/>
          </w:tcPr>
          <w:p w14:paraId="4D0DFD2B">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要求</w:t>
            </w:r>
          </w:p>
        </w:tc>
      </w:tr>
      <w:tr w14:paraId="7D0D914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6C23FC5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兼容性</w:t>
            </w:r>
          </w:p>
        </w:tc>
        <w:tc>
          <w:tcPr>
            <w:tcW w:w="6768" w:type="dxa"/>
            <w:vAlign w:val="center"/>
          </w:tcPr>
          <w:p w14:paraId="5870A82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须与入境处现有中央监察方案软件「IBM Netcool Operations Insight Network Management PA Managed Virtual Server」兼容，以确保整合管理。</w:t>
            </w:r>
          </w:p>
        </w:tc>
      </w:tr>
    </w:tbl>
    <w:p w14:paraId="12AF0900">
      <w:pPr>
        <w:rPr>
          <w:rFonts w:hint="eastAsia" w:ascii="微软雅黑" w:hAnsi="微软雅黑" w:eastAsia="微软雅黑" w:cs="微软雅黑"/>
        </w:rPr>
      </w:pPr>
    </w:p>
    <w:p w14:paraId="57B9D129">
      <w:pPr>
        <w:pStyle w:val="4"/>
        <w:rPr>
          <w:rFonts w:hint="eastAsia" w:ascii="微软雅黑" w:hAnsi="微软雅黑" w:eastAsia="微软雅黑" w:cs="微软雅黑"/>
        </w:rPr>
      </w:pPr>
      <w:r>
        <w:rPr>
          <w:rFonts w:hint="eastAsia" w:ascii="微软雅黑" w:hAnsi="微软雅黑" w:eastAsia="微软雅黑" w:cs="微软雅黑"/>
        </w:rPr>
        <w:t>S06. 系统监察软件（传送事件讯息）</w:t>
      </w:r>
    </w:p>
    <w:tbl>
      <w:tblPr>
        <w:tblStyle w:val="33"/>
        <w:tblW w:w="0" w:type="auto"/>
        <w:jc w:val="center"/>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448"/>
        <w:gridCol w:w="6768"/>
      </w:tblGrid>
      <w:tr w14:paraId="4B4FCF01">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PrEx>
        <w:trPr>
          <w:jc w:val="center"/>
        </w:trPr>
        <w:tc>
          <w:tcPr>
            <w:tcW w:w="2448" w:type="dxa"/>
            <w:shd w:val="clear" w:color="auto" w:fill="E8EEF5"/>
            <w:vAlign w:val="center"/>
          </w:tcPr>
          <w:p w14:paraId="46C539EC">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功能</w:t>
            </w:r>
          </w:p>
        </w:tc>
        <w:tc>
          <w:tcPr>
            <w:tcW w:w="6768" w:type="dxa"/>
            <w:shd w:val="clear" w:color="auto" w:fill="E8EEF5"/>
            <w:vAlign w:val="center"/>
          </w:tcPr>
          <w:p w14:paraId="3716DC9B">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要求</w:t>
            </w:r>
          </w:p>
        </w:tc>
      </w:tr>
      <w:tr w14:paraId="06366BEA">
        <w:tblPrEx>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CellMar>
            <w:top w:w="0" w:type="dxa"/>
            <w:left w:w="108" w:type="dxa"/>
            <w:bottom w:w="0" w:type="dxa"/>
            <w:right w:w="108" w:type="dxa"/>
          </w:tblCellMar>
        </w:tblPrEx>
        <w:trPr>
          <w:jc w:val="center"/>
        </w:trPr>
        <w:tc>
          <w:tcPr>
            <w:tcW w:w="2448" w:type="dxa"/>
            <w:vAlign w:val="center"/>
          </w:tcPr>
          <w:p w14:paraId="0E647EC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兼容性</w:t>
            </w:r>
          </w:p>
        </w:tc>
        <w:tc>
          <w:tcPr>
            <w:tcW w:w="6768" w:type="dxa"/>
            <w:vAlign w:val="center"/>
          </w:tcPr>
          <w:p w14:paraId="6687BB0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须与入境处中央监察方案软件「IBM Netcool Operations Insight Operations Management Managed Virtual Network Device License」兼容，以确保整合管理。</w:t>
            </w:r>
          </w:p>
        </w:tc>
      </w:tr>
    </w:tbl>
    <w:p w14:paraId="12B7305F">
      <w:pPr>
        <w:rPr>
          <w:rFonts w:hint="eastAsia" w:ascii="微软雅黑" w:hAnsi="微软雅黑" w:eastAsia="微软雅黑" w:cs="微软雅黑"/>
        </w:rPr>
      </w:pPr>
    </w:p>
    <w:sectPr>
      <w:footerReference r:id="rId5" w:type="default"/>
      <w:pgSz w:w="11906" w:h="16838"/>
      <w:pgMar w:top="1247" w:right="1247" w:bottom="1134" w:left="1247"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icrosoft JhengHei">
    <w:panose1 w:val="020B0604030504040204"/>
    <w:charset w:val="88"/>
    <w:family w:val="auto"/>
    <w:pitch w:val="default"/>
    <w:sig w:usb0="000002A7" w:usb1="28CF4400" w:usb2="00000016" w:usb3="00000000" w:csb0="00100009"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93A0D">
    <w:pPr>
      <w:pStyle w:val="24"/>
      <w:jc w:val="center"/>
    </w:pPr>
    <w:r>
      <w:rPr>
        <w:rFonts w:ascii="Calibri" w:hAnsi="Calibri" w:eastAsia="Microsoft JhengHei"/>
      </w:rPr>
      <w:t>RFI 中文譯本｜入境事務處 AI 方案資料邀請書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AD01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Microsoft JhengHei" w:cstheme="minorBidi"/>
      <w:color w:val="222222"/>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D78"/>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3916</Words>
  <Characters>4630</Characters>
  <Lines>0</Lines>
  <Paragraphs>0</Paragraphs>
  <TotalTime>1</TotalTime>
  <ScaleCrop>false</ScaleCrop>
  <LinksUpToDate>false</LinksUpToDate>
  <CharactersWithSpaces>4831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黄博林</cp:lastModifiedBy>
  <dcterms:modified xsi:type="dcterms:W3CDTF">2026-06-17T07:09:01Z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eyJoZGlkIjoiZjJiYzRjZDg4ODIxMmZkMzVjYzYxNzIzMDEwYjJjY2IiLCJ1c2VySWQiOiIyNTc1OTUwNTAifQ==</vt:lpwstr>
  </property>
  <property fmtid="{D5CDD505-2E9C-101B-9397-08002B2CF9AE}" pid="3" name="KSOProductBuildVer">
    <vt:lpwstr>2052-12.1.0.26895</vt:lpwstr>
  </property>
  <property fmtid="{D5CDD505-2E9C-101B-9397-08002B2CF9AE}" pid="4" name="ICV">
    <vt:lpwstr>9AF48123717546479C2BB1CF2104DE53_12</vt:lpwstr>
  </property>
</Properties>
</file>