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7CC35F">
      <w:pPr>
        <w:spacing w:after="40"/>
      </w:pPr>
      <w:r>
        <w:rPr>
          <w:b/>
          <w:color w:val="003D7A"/>
          <w:sz w:val="22"/>
        </w:rPr>
        <w:t>● CMHK · CHINA MOBILE HONG KONG</w:t>
      </w:r>
    </w:p>
    <w:p w14:paraId="0281A349">
      <w:pPr>
        <w:spacing w:after="80"/>
      </w:pPr>
      <w:r>
        <w:rPr>
          <w:b/>
          <w:color w:val="003D7A"/>
          <w:sz w:val="44"/>
        </w:rPr>
        <w:t>Technical Proposal</w:t>
      </w:r>
    </w:p>
    <w:p w14:paraId="68C2E83F">
      <w:pPr>
        <w:spacing w:after="40"/>
      </w:pPr>
      <w:r>
        <w:rPr>
          <w:b/>
          <w:color w:val="222222"/>
          <w:sz w:val="28"/>
        </w:rPr>
        <w:t>AI Total Solutions for ImmD APPLIES-2</w:t>
      </w:r>
    </w:p>
    <w:p w14:paraId="62439DB5">
      <w:pPr>
        <w:spacing w:after="280"/>
      </w:pPr>
      <w:r>
        <w:rPr>
          <w:b/>
          <w:color w:val="5A8A00"/>
          <w:sz w:val="24"/>
        </w:rPr>
        <w:t>Sub-Contractor Layer: AI Application Layer (應用層)</w:t>
      </w:r>
    </w:p>
    <w:p w14:paraId="378C3809">
      <w:r>
        <w:rPr>
          <w:color w:val="555555"/>
          <w:sz w:val="20"/>
        </w:rPr>
        <w:t>Submitted to (CMHK Internal Use):</w:t>
      </w:r>
    </w:p>
    <w:p w14:paraId="265E4C8C">
      <w:pPr>
        <w:spacing w:after="160"/>
      </w:pPr>
      <w:r>
        <w:rPr>
          <w:color w:val="222222"/>
          <w:sz w:val="20"/>
        </w:rPr>
        <w:t>China Mobile Hong Kong Company Limited (CMHK) — Prime Integrator</w:t>
      </w:r>
    </w:p>
    <w:p w14:paraId="6E0D98FB">
      <w:r>
        <w:rPr>
          <w:color w:val="555555"/>
          <w:sz w:val="20"/>
        </w:rPr>
        <w:t>Submitted by:</w:t>
      </w:r>
    </w:p>
    <w:p w14:paraId="574039D0">
      <w:pPr>
        <w:spacing w:after="280"/>
      </w:pPr>
      <w:r>
        <w:rPr>
          <w:color w:val="222222"/>
          <w:sz w:val="20"/>
        </w:rPr>
        <w:t xml:space="preserve">AI Application Layer Sub-Contractor </w:t>
      </w:r>
    </w:p>
    <w:p w14:paraId="7DC83D4E">
      <w:r>
        <w:rPr>
          <w:b/>
          <w:color w:val="003D7A"/>
          <w:sz w:val="20"/>
        </w:rPr>
        <w:t>Version: 0.7 (v1.1 — Bilingual EN+CN reference · Annex I aligned · English fill-in)</w:t>
      </w:r>
    </w:p>
    <w:p w14:paraId="61ED0165">
      <w:pPr>
        <w:spacing w:after="360"/>
      </w:pPr>
      <w:r>
        <w:rPr>
          <w:color w:val="A86A00"/>
          <w:sz w:val="20"/>
        </w:rPr>
        <w:t>Date: 2026 May  ·  Classification: CONFIDENTIAL</w:t>
      </w:r>
    </w:p>
    <w:p w14:paraId="51F2FC2E">
      <w:r>
        <w:br w:type="page"/>
      </w:r>
    </w:p>
    <w:p w14:paraId="091F7098">
      <w:pPr>
        <w:spacing w:before="440" w:after="80"/>
      </w:pPr>
      <w:r>
        <w:rPr>
          <w:b/>
          <w:color w:val="003D7A"/>
          <w:sz w:val="32"/>
        </w:rPr>
        <w:t>填寫說明 / Sub-Contractor Instruction</w:t>
      </w:r>
    </w:p>
    <w:p w14:paraId="47CB2022">
      <w:pPr>
        <w:spacing w:after="200"/>
      </w:pPr>
      <w:r>
        <w:rPr>
          <w:color w:val="222222"/>
          <w:sz w:val="21"/>
        </w:rPr>
        <w:t>本文件按 ImmD RFI Annex I Table 1 結構組織。貴司只需於各章節下的「Please fill in」欄、大格留白、表格儲存格內填寫；CMHK 已預填部分（章節標題、Annex I / RFI 原文 quote 框）請保持不動。</w:t>
      </w:r>
    </w:p>
    <w:p w14:paraId="201A5545">
      <w:pPr>
        <w:spacing w:before="160" w:after="60"/>
      </w:pPr>
      <w:r>
        <w:rPr>
          <w:b/>
          <w:color w:val="5A8A00"/>
          <w:sz w:val="22"/>
        </w:rPr>
        <w:t>1. 文件配色 / Color Code</w:t>
      </w:r>
    </w:p>
    <w:p w14:paraId="373C6AA2">
      <w:pPr>
        <w:spacing w:after="60"/>
        <w:ind w:left="360"/>
      </w:pPr>
      <w:r>
        <w:rPr>
          <w:color w:val="222222"/>
          <w:sz w:val="20"/>
        </w:rPr>
        <w:t>• 藍色框 = RFI / Annex I 英文原文（official original text，不可改動，僅供 reference）</w:t>
      </w:r>
    </w:p>
    <w:p w14:paraId="6D5A1693">
      <w:pPr>
        <w:spacing w:after="60"/>
        <w:ind w:left="360"/>
      </w:pPr>
      <w:r>
        <w:rPr>
          <w:color w:val="222222"/>
          <w:sz w:val="20"/>
        </w:rPr>
        <w:t>• 綠色框 = 中文解釋（CMHK 翻譯供貴司快速理解，非客戶官方文字）</w:t>
      </w:r>
    </w:p>
    <w:p w14:paraId="4B769058">
      <w:pPr>
        <w:spacing w:after="60"/>
        <w:ind w:left="360"/>
      </w:pPr>
      <w:r>
        <w:rPr>
          <w:color w:val="222222"/>
          <w:sz w:val="20"/>
        </w:rPr>
        <w:t>• 白色框 = 貴司填寫區（Please fill in）— 請以英文填寫</w:t>
      </w:r>
    </w:p>
    <w:p w14:paraId="036FB0D8">
      <w:pPr>
        <w:spacing w:before="160" w:after="60"/>
      </w:pPr>
      <w:r>
        <w:rPr>
          <w:b/>
          <w:color w:val="5A8A00"/>
          <w:sz w:val="22"/>
        </w:rPr>
        <w:t>2. 語言要求 / Language</w:t>
      </w:r>
    </w:p>
    <w:p w14:paraId="20D989FF">
      <w:pPr>
        <w:spacing w:after="60"/>
        <w:ind w:left="360"/>
      </w:pPr>
      <w:r>
        <w:rPr>
          <w:color w:val="222222"/>
          <w:sz w:val="20"/>
        </w:rPr>
        <w:t>• 章節標題保留中文是為了讓貴司技術同事更快理解架構（CMHK 內部對接用）</w:t>
      </w:r>
    </w:p>
    <w:p w14:paraId="5EE58DF6">
      <w:pPr>
        <w:spacing w:after="60"/>
        <w:ind w:left="360"/>
      </w:pPr>
      <w:r>
        <w:rPr>
          <w:color w:val="222222"/>
          <w:sz w:val="20"/>
        </w:rPr>
        <w:t>• **貴司填寫內容請一律使用英文** — accuracy 表、switch-over 表、sizing 表、留白格全部以英文填寫</w:t>
      </w:r>
    </w:p>
    <w:p w14:paraId="0FDFE87B">
      <w:pPr>
        <w:spacing w:after="60"/>
        <w:ind w:left="360"/>
      </w:pPr>
      <w:r>
        <w:rPr>
          <w:color w:val="222222"/>
          <w:sz w:val="20"/>
        </w:rPr>
        <w:t>• 原因：CMHK 最終提交 ImmD 的 TP 為英文版，貴司英文回稿可直接整合無需翻譯</w:t>
      </w:r>
    </w:p>
    <w:p w14:paraId="15528820">
      <w:pPr>
        <w:spacing w:before="160" w:after="60"/>
      </w:pPr>
      <w:r>
        <w:rPr>
          <w:b/>
          <w:color w:val="5A8A00"/>
          <w:sz w:val="22"/>
        </w:rPr>
        <w:t>3. 工作範圍 / Scope</w:t>
      </w:r>
    </w:p>
    <w:p w14:paraId="41E46CA7">
      <w:r>
        <w:rPr>
          <w:color w:val="222222"/>
          <w:sz w:val="20"/>
        </w:rPr>
        <w:t>貴司負責 AI 應用層 — 三大功能（文件分類 / 數據核驗 / Minutes 草擬）+ 整合工作流 + AI 準確率與優化。本層為 Option B 模式下的核心交付方，每 case 輸出 Cross-Check Report PDF + Minutes Draft PDF 推送回 APPLIES-2。</w:t>
      </w:r>
    </w:p>
    <w:p w14:paraId="0EF8C558">
      <w:pPr>
        <w:spacing w:before="160" w:after="60"/>
      </w:pPr>
      <w:r>
        <w:rPr>
          <w:b/>
          <w:color w:val="5A8A00"/>
          <w:sz w:val="22"/>
        </w:rPr>
        <w:t>4. 填寫對應 / Mapping to Annex I</w:t>
      </w:r>
    </w:p>
    <w:p w14:paraId="559921E3">
      <w:pPr>
        <w:spacing w:after="60"/>
        <w:ind w:left="360"/>
      </w:pPr>
      <w:r>
        <w:rPr>
          <w:color w:val="222222"/>
          <w:sz w:val="20"/>
        </w:rPr>
        <w:t>• 本文件每一章節對應 Annex I Table 1 的一個區塊；貴司填寫內容將由 CMHK 彙整後填入 Annex I 對應段</w:t>
      </w:r>
    </w:p>
    <w:p w14:paraId="39976F6D">
      <w:pPr>
        <w:spacing w:after="60"/>
        <w:ind w:left="360"/>
      </w:pPr>
      <w:r>
        <w:rPr>
          <w:color w:val="222222"/>
          <w:sz w:val="20"/>
        </w:rPr>
        <w:t>• Annex I Table 3（硬件 / 軟件清單 + 報價）由 CMHK 另行下發 RFQ Excel，請一併填寫</w:t>
      </w:r>
    </w:p>
    <w:p w14:paraId="630AE4B9">
      <w:pPr>
        <w:spacing w:after="60"/>
        <w:ind w:left="360"/>
      </w:pPr>
      <w:r>
        <w:rPr>
          <w:color w:val="222222"/>
          <w:sz w:val="20"/>
        </w:rPr>
        <w:t>• Annex I Table 9（Project Schedule）已附本文件最末，請填寫貴司負責層之起迄月份</w:t>
      </w:r>
    </w:p>
    <w:p w14:paraId="51B2F7BA">
      <w:pPr>
        <w:spacing w:before="160" w:after="60"/>
      </w:pPr>
      <w:r>
        <w:rPr>
          <w:b/>
          <w:color w:val="5A8A00"/>
          <w:sz w:val="22"/>
        </w:rPr>
        <w:t>5. 提交時間 / Submission</w:t>
      </w:r>
    </w:p>
    <w:p w14:paraId="22EDEA23">
      <w:r>
        <w:rPr>
          <w:color w:val="222222"/>
          <w:sz w:val="20"/>
        </w:rPr>
        <w:t>截止：2026-05-28（RFI 5/29 截止前一天）。回稿請以本 docx 填寫版回傳 CMHK 對接窗口。</w:t>
      </w:r>
    </w:p>
    <w:p w14:paraId="75F4E1A8">
      <w:pPr>
        <w:spacing w:before="160" w:after="60"/>
      </w:pPr>
      <w:r>
        <w:rPr>
          <w:b/>
          <w:color w:val="5A8A00"/>
          <w:sz w:val="22"/>
        </w:rPr>
        <w:t>6. 設計約束（重要）/ Design Constraints</w:t>
      </w:r>
    </w:p>
    <w:p w14:paraId="3A2FE9AF">
      <w:pPr>
        <w:spacing w:after="60"/>
        <w:ind w:left="360"/>
      </w:pPr>
      <w:r>
        <w:rPr>
          <w:color w:val="222222"/>
          <w:sz w:val="20"/>
        </w:rPr>
        <w:t>• 客戶定位：ImmD TSD 系統維保組 — APPLIES-2 主系統的 AI 後台增強（非新建系統）</w:t>
      </w:r>
    </w:p>
    <w:p w14:paraId="6ABAE32F">
      <w:pPr>
        <w:spacing w:after="60"/>
        <w:ind w:left="360"/>
      </w:pPr>
      <w:r>
        <w:rPr>
          <w:color w:val="222222"/>
          <w:sz w:val="20"/>
        </w:rPr>
        <w:t>• Option B 交付模式：AI 不接管 case officer UI；每 case 推送雙 PDF（Cross-Check Report + Minutes Draft）回 APPLIES-2</w:t>
      </w:r>
    </w:p>
    <w:p w14:paraId="5F8F4E04">
      <w:pPr>
        <w:spacing w:after="60"/>
        <w:ind w:left="360"/>
      </w:pPr>
      <w:r>
        <w:rPr>
          <w:color w:val="222222"/>
          <w:sz w:val="20"/>
        </w:rPr>
        <w:t>• 標準 case 場景：新聘外籍家庭傭工入境簽證 (FDH Entry Visa) + 12 份官方附件</w:t>
      </w:r>
    </w:p>
    <w:p w14:paraId="5E8793C9">
      <w:pPr>
        <w:spacing w:after="60"/>
        <w:ind w:left="360"/>
      </w:pPr>
      <w:r>
        <w:rPr>
          <w:color w:val="222222"/>
          <w:sz w:val="20"/>
        </w:rPr>
        <w:t>• 業務量：年 50 萬件 / 小時峰值 500 件 / 每件 12 附件 × 3 頁 × 5 MB / 7% 年增長 × 5 年</w:t>
      </w:r>
    </w:p>
    <w:p w14:paraId="3E101FBB">
      <w:pPr>
        <w:spacing w:after="60"/>
        <w:ind w:left="360"/>
      </w:pPr>
      <w:r>
        <w:rPr>
          <w:color w:val="222222"/>
          <w:sz w:val="20"/>
        </w:rPr>
        <w:t>• 信創 / ITAI 兼容 + 既有中央軟件兼容（Trellix / Leagsoft / Rizhiyi / IBM Netcool）</w:t>
      </w:r>
    </w:p>
    <w:p w14:paraId="2C399563">
      <w:r>
        <w:br w:type="page"/>
      </w:r>
    </w:p>
    <w:p w14:paraId="4C4B8A3E">
      <w:pPr>
        <w:spacing w:before="440" w:after="80"/>
      </w:pPr>
      <w:r>
        <w:rPr>
          <w:b/>
          <w:color w:val="003D7A"/>
          <w:sz w:val="32"/>
        </w:rPr>
        <w:t>1. Brief Solution Description（方案總覽）</w:t>
      </w:r>
    </w:p>
    <w:p w14:paraId="2864FF77">
      <w:pPr>
        <w:spacing w:after="80"/>
      </w:pPr>
      <w:r>
        <w:rPr>
          <w:i/>
          <w:color w:val="555555"/>
          <w:sz w:val="19"/>
        </w:rPr>
        <w:t>[ RFI 4.2 整體 · Annex I Table 1 — Brief Description ]</w:t>
      </w:r>
    </w:p>
    <w:tbl>
      <w:tblPr>
        <w:tblStyle w:val="32"/>
        <w:tblW w:w="0" w:type="auto"/>
        <w:jc w:val="center"/>
        <w:tblLayout w:type="fixed"/>
        <w:tblCellMar>
          <w:top w:w="0" w:type="dxa"/>
          <w:left w:w="108" w:type="dxa"/>
          <w:bottom w:w="0" w:type="dxa"/>
          <w:right w:w="108" w:type="dxa"/>
        </w:tblCellMar>
      </w:tblPr>
      <w:tblGrid>
        <w:gridCol w:w="10200"/>
      </w:tblGrid>
      <w:tr w14:paraId="2B44B6EC">
        <w:tblPrEx>
          <w:tblCellMar>
            <w:top w:w="0" w:type="dxa"/>
            <w:left w:w="108" w:type="dxa"/>
            <w:bottom w:w="0" w:type="dxa"/>
            <w:right w:w="108" w:type="dxa"/>
          </w:tblCellMar>
        </w:tblPrEx>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604EA4DC">
            <w:pPr>
              <w:spacing w:after="80"/>
            </w:pPr>
            <w:r>
              <w:rPr>
                <w:b/>
                <w:color w:val="003D7A"/>
                <w:sz w:val="18"/>
              </w:rPr>
              <w:t>Annex I Table 1 — Original (English):</w:t>
            </w:r>
          </w:p>
          <w:p w14:paraId="632FB982">
            <w:pPr>
              <w:spacing w:after="40"/>
            </w:pPr>
            <w:r>
              <w:rPr>
                <w:i/>
                <w:color w:val="333333"/>
                <w:sz w:val="19"/>
              </w:rPr>
              <w:t>Brief Description of Proposed Solution with an overall high-level design / architecture diagram about the ENTIRE solution, showing the solution infrastructure and major system components below.</w:t>
            </w:r>
          </w:p>
        </w:tc>
      </w:tr>
      <w:tr w14:paraId="206FBFD8">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035D975F">
            <w:pPr>
              <w:spacing w:after="80"/>
            </w:pPr>
            <w:r>
              <w:rPr>
                <w:b/>
                <w:color w:val="3A5A00"/>
                <w:sz w:val="18"/>
              </w:rPr>
              <w:t>中文解釋 (CMHK reference)：</w:t>
            </w:r>
          </w:p>
          <w:p w14:paraId="7C58D607">
            <w:pPr>
              <w:spacing w:after="40"/>
            </w:pPr>
            <w:r>
              <w:rPr>
                <w:i/>
                <w:color w:val="333333"/>
                <w:sz w:val="19"/>
              </w:rPr>
              <w:t>請提供方案總體簡要描述，以及整套方案的高階設計 / 架構圖（顯示方案基礎設施與主要系統組件）</w:t>
            </w:r>
          </w:p>
        </w:tc>
      </w:tr>
    </w:tbl>
    <w:p w14:paraId="78266B2A"/>
    <w:p w14:paraId="0EACEEE6">
      <w:pPr>
        <w:spacing w:after="60"/>
        <w:ind w:left="360"/>
      </w:pPr>
      <w:r>
        <w:rPr>
          <w:color w:val="222222"/>
          <w:sz w:val="20"/>
        </w:rPr>
        <w:t>• Provide an overall high-level solution description for the AI Application Layer</w:t>
      </w:r>
    </w:p>
    <w:p w14:paraId="667BEA8D">
      <w:pPr>
        <w:spacing w:after="60"/>
        <w:ind w:left="360"/>
      </w:pPr>
      <w:r>
        <w:rPr>
          <w:color w:val="222222"/>
          <w:sz w:val="20"/>
        </w:rPr>
        <w:t>• Include an architecture diagram showing major components + interfaces with APPLIES-2 + AI Inference Layer</w:t>
      </w:r>
    </w:p>
    <w:tbl>
      <w:tblPr>
        <w:tblStyle w:val="32"/>
        <w:tblW w:w="0" w:type="auto"/>
        <w:jc w:val="center"/>
        <w:tblLayout w:type="fixed"/>
        <w:tblCellMar>
          <w:top w:w="0" w:type="dxa"/>
          <w:left w:w="108" w:type="dxa"/>
          <w:bottom w:w="0" w:type="dxa"/>
          <w:right w:w="108" w:type="dxa"/>
        </w:tblCellMar>
      </w:tblPr>
      <w:tblGrid>
        <w:gridCol w:w="10200"/>
      </w:tblGrid>
      <w:tr w14:paraId="32079D35">
        <w:tblPrEx>
          <w:tblCellMar>
            <w:top w:w="0" w:type="dxa"/>
            <w:left w:w="108" w:type="dxa"/>
            <w:bottom w:w="0" w:type="dxa"/>
            <w:right w:w="108" w:type="dxa"/>
          </w:tblCellMar>
        </w:tblPrEx>
        <w:trPr>
          <w:trHeight w:val="3600" w:hRule="atLeast"/>
          <w:jc w:val="center"/>
        </w:trPr>
        <w:tc>
          <w:tcPr>
            <w:tcW w:w="10200" w:type="dxa"/>
            <w:tcBorders>
              <w:top w:val="single" w:color="888888" w:sz="6" w:space="0"/>
              <w:left w:val="single" w:color="888888" w:sz="6" w:space="0"/>
              <w:bottom w:val="single" w:color="888888" w:sz="6" w:space="0"/>
              <w:right w:val="single" w:color="888888" w:sz="6" w:space="0"/>
            </w:tcBorders>
          </w:tcPr>
          <w:p w14:paraId="5169F5F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This AI Application Layer solution is designed as an AI backend enhancement module for ImmD APPLIES-2 system, rather than building a standalone new platform. It tightly integrates three core AI functions: </w:t>
            </w:r>
            <w:r>
              <w:rPr>
                <w:rStyle w:val="133"/>
                <w:rFonts w:hint="default" w:eastAsia="宋体" w:cs="宋体" w:asciiTheme="minorAscii" w:hAnsiTheme="minorAscii"/>
                <w:kern w:val="0"/>
                <w:sz w:val="21"/>
                <w:szCs w:val="21"/>
                <w:lang w:val="en-US" w:eastAsia="zh-CN" w:bidi="ar"/>
              </w:rPr>
              <w:t>Automated Document Classification, Intelligent Data Verification, and Intelligent Minutes Drafting</w:t>
            </w:r>
            <w:r>
              <w:rPr>
                <w:rFonts w:hint="default" w:eastAsia="宋体" w:cs="宋体" w:asciiTheme="minorAscii" w:hAnsiTheme="minorAscii"/>
                <w:kern w:val="0"/>
                <w:sz w:val="21"/>
                <w:szCs w:val="21"/>
                <w:lang w:val="en-US" w:eastAsia="zh-CN" w:bidi="ar"/>
              </w:rPr>
              <w:t>.</w:t>
            </w:r>
          </w:p>
          <w:p w14:paraId="3F677F5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The solution adopts a typical </w:t>
            </w:r>
            <w:r>
              <w:rPr>
                <w:rStyle w:val="133"/>
                <w:rFonts w:hint="default" w:eastAsia="宋体" w:cs="宋体" w:asciiTheme="minorAscii" w:hAnsiTheme="minorAscii"/>
                <w:kern w:val="0"/>
                <w:sz w:val="21"/>
                <w:szCs w:val="21"/>
                <w:lang w:val="en-US" w:eastAsia="zh-CN" w:bidi="ar"/>
              </w:rPr>
              <w:t>RAG + LLM + VLM + OCR end-to-end pipeline architecture</w:t>
            </w:r>
            <w:r>
              <w:rPr>
                <w:rFonts w:hint="default" w:eastAsia="宋体" w:cs="宋体" w:asciiTheme="minorAscii" w:hAnsiTheme="minorAscii"/>
                <w:kern w:val="0"/>
                <w:sz w:val="21"/>
                <w:szCs w:val="21"/>
                <w:lang w:val="en-US" w:eastAsia="zh-CN" w:bidi="ar"/>
              </w:rPr>
              <w:t>. It ingests both structured application data and unstructured files (PDF, JPEG, PNG, TIF) from ImmD APPLIES-2 via standard API/MQ interfaces, executes full-process AI analysis and business logic validation, and finally delivers standardized dual PDF outputs (</w:t>
            </w:r>
            <w:r>
              <w:rPr>
                <w:rStyle w:val="133"/>
                <w:rFonts w:hint="default" w:eastAsia="宋体" w:cs="宋体" w:asciiTheme="minorAscii" w:hAnsiTheme="minorAscii"/>
                <w:kern w:val="0"/>
                <w:sz w:val="21"/>
                <w:szCs w:val="21"/>
                <w:lang w:val="en-US" w:eastAsia="zh-CN" w:bidi="ar"/>
              </w:rPr>
              <w:t>Cross-Check Report + Minutes Draft</w:t>
            </w:r>
            <w:r>
              <w:rPr>
                <w:rFonts w:hint="default" w:eastAsia="宋体" w:cs="宋体" w:asciiTheme="minorAscii" w:hAnsiTheme="minorAscii"/>
                <w:kern w:val="0"/>
                <w:sz w:val="21"/>
                <w:szCs w:val="21"/>
                <w:lang w:val="en-US" w:eastAsia="zh-CN" w:bidi="ar"/>
              </w:rPr>
              <w:t>) together with structured JSON metadata back to the APPLIES-2 workflow system.</w:t>
            </w:r>
          </w:p>
          <w:p w14:paraId="3911774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ascii="宋体" w:hAnsi="宋体" w:eastAsia="宋体" w:cs="宋体"/>
                <w:kern w:val="0"/>
                <w:sz w:val="21"/>
                <w:szCs w:val="21"/>
                <w:lang w:val="en-US" w:eastAsia="zh-CN" w:bidi="ar"/>
              </w:rPr>
            </w:pPr>
            <w:r>
              <w:rPr>
                <w:rFonts w:hint="default" w:eastAsia="宋体" w:cs="宋体" w:asciiTheme="minorAscii" w:hAnsiTheme="minorAscii"/>
                <w:kern w:val="0"/>
                <w:sz w:val="21"/>
                <w:szCs w:val="21"/>
                <w:lang w:val="en-US" w:eastAsia="zh-CN" w:bidi="ar"/>
              </w:rPr>
              <w:t>All AI inference and model tuning workloads are deployed on domestic Xinchuang servers, adopting compute-storage separation, active-active cluster deployment for inference nodes, and supporting local failover, continuous model optimization, RLHF feedback iteration, and full audit log retention to comply with ImmD security, accuracy and 99.5% system availability requirements.</w:t>
            </w:r>
          </w:p>
          <w:p w14:paraId="552438F3">
            <w:pPr>
              <w:keepNext w:val="0"/>
              <w:keepLines w:val="0"/>
              <w:widowControl/>
              <w:suppressLineNumbers w:val="0"/>
              <w:jc w:val="left"/>
              <w:rPr>
                <w:rFonts w:ascii="宋体" w:hAnsi="宋体" w:eastAsia="宋体" w:cs="宋体"/>
                <w:kern w:val="0"/>
                <w:sz w:val="24"/>
                <w:szCs w:val="24"/>
                <w:lang w:val="en-US" w:eastAsia="zh-CN" w:bidi="ar"/>
              </w:rPr>
            </w:pPr>
            <w:r>
              <w:drawing>
                <wp:inline distT="0" distB="0" distL="114300" distR="114300">
                  <wp:extent cx="6330315" cy="4809490"/>
                  <wp:effectExtent l="0" t="0" r="9525" b="635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6"/>
                          <a:stretch>
                            <a:fillRect/>
                          </a:stretch>
                        </pic:blipFill>
                        <pic:spPr>
                          <a:xfrm>
                            <a:off x="0" y="0"/>
                            <a:ext cx="6330315" cy="4809490"/>
                          </a:xfrm>
                          <a:prstGeom prst="rect">
                            <a:avLst/>
                          </a:prstGeom>
                          <a:noFill/>
                          <a:ln>
                            <a:noFill/>
                          </a:ln>
                        </pic:spPr>
                      </pic:pic>
                    </a:graphicData>
                  </a:graphic>
                </wp:inline>
              </w:drawing>
            </w:r>
          </w:p>
          <w:p w14:paraId="253183A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As shown in the architecture diagram, the entire solution adopts a five-tier decoupled hierarchical architecture, consisting of the External Business System Layer, Interface Gateway Access Layer, AI Application Business Process Layer, AI Model Inference Engine Layer, and Xinchuang Computing &amp; Storage Resource Layer from top to bottom. Following the design principles of compute-storage separation, business-engine separation, and external-internal network isolation, the architecture fully meets ImmD’s requirements for high availability, security compliance, Xinchuang compatibility, and 5-year business expansion.</w:t>
            </w:r>
          </w:p>
          <w:p w14:paraId="5C50C3C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b/>
                <w:bCs/>
                <w:kern w:val="0"/>
                <w:sz w:val="21"/>
                <w:szCs w:val="21"/>
                <w:lang w:val="en-US" w:eastAsia="zh-CN" w:bidi="ar"/>
              </w:rPr>
            </w:pPr>
            <w:r>
              <w:rPr>
                <w:rFonts w:hint="default" w:eastAsia="宋体" w:cs="宋体" w:asciiTheme="minorAscii" w:hAnsiTheme="minorAscii"/>
                <w:b/>
                <w:bCs/>
                <w:kern w:val="0"/>
                <w:sz w:val="21"/>
                <w:szCs w:val="21"/>
                <w:lang w:val="en-US" w:eastAsia="zh-CN" w:bidi="ar"/>
              </w:rPr>
              <w:t>1. External Business System Layer</w:t>
            </w:r>
          </w:p>
          <w:p w14:paraId="72308C9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(1) </w:t>
            </w:r>
            <w:r>
              <w:rPr>
                <w:rFonts w:hint="default" w:eastAsia="宋体" w:cs="宋体" w:asciiTheme="minorAscii" w:hAnsiTheme="minorAscii"/>
                <w:b/>
                <w:bCs/>
                <w:kern w:val="0"/>
                <w:sz w:val="21"/>
                <w:szCs w:val="21"/>
                <w:lang w:val="en-US" w:eastAsia="zh-CN" w:bidi="ar"/>
              </w:rPr>
              <w:t>Positioning</w:t>
            </w:r>
            <w:r>
              <w:rPr>
                <w:rFonts w:hint="default" w:eastAsia="宋体" w:cs="宋体" w:asciiTheme="minorAscii" w:hAnsiTheme="minorAscii"/>
                <w:kern w:val="0"/>
                <w:sz w:val="21"/>
                <w:szCs w:val="21"/>
                <w:lang w:val="en-US" w:eastAsia="zh-CN" w:bidi="ar"/>
              </w:rPr>
              <w:t>: Serving as the data source and business entry point of the entire AI solution, covering ImmD APPLIES-2 and relevant business systems.</w:t>
            </w:r>
          </w:p>
          <w:p w14:paraId="226660A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(2) </w:t>
            </w:r>
            <w:r>
              <w:rPr>
                <w:rFonts w:hint="default" w:eastAsia="宋体" w:cs="宋体" w:asciiTheme="minorAscii" w:hAnsiTheme="minorAscii"/>
                <w:b/>
                <w:bCs/>
                <w:kern w:val="0"/>
                <w:sz w:val="21"/>
                <w:szCs w:val="21"/>
                <w:lang w:val="en-US" w:eastAsia="zh-CN" w:bidi="ar"/>
              </w:rPr>
              <w:t>Core Content</w:t>
            </w:r>
            <w:r>
              <w:rPr>
                <w:rFonts w:hint="default" w:eastAsia="宋体" w:cs="宋体" w:asciiTheme="minorAscii" w:hAnsiTheme="minorAscii"/>
                <w:kern w:val="0"/>
                <w:sz w:val="21"/>
                <w:szCs w:val="21"/>
                <w:lang w:val="en-US" w:eastAsia="zh-CN" w:bidi="ar"/>
              </w:rPr>
              <w:t>: Structured data of visa application cases, PDF/image attachment files, original case workflow systems, result presentation portals, and other ImmD internal systems.</w:t>
            </w:r>
          </w:p>
          <w:p w14:paraId="56414EB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(3) </w:t>
            </w:r>
            <w:r>
              <w:rPr>
                <w:rFonts w:hint="default" w:eastAsia="宋体" w:cs="宋体" w:asciiTheme="minorAscii" w:hAnsiTheme="minorAscii"/>
                <w:b/>
                <w:bCs/>
                <w:kern w:val="0"/>
                <w:sz w:val="21"/>
                <w:szCs w:val="21"/>
                <w:lang w:val="en-US" w:eastAsia="zh-CN" w:bidi="ar"/>
              </w:rPr>
              <w:t>Responsibilities</w:t>
            </w:r>
            <w:r>
              <w:rPr>
                <w:rFonts w:hint="default" w:eastAsia="宋体" w:cs="宋体" w:asciiTheme="minorAscii" w:hAnsiTheme="minorAscii"/>
                <w:kern w:val="0"/>
                <w:sz w:val="21"/>
                <w:szCs w:val="21"/>
                <w:lang w:val="en-US" w:eastAsia="zh-CN" w:bidi="ar"/>
              </w:rPr>
              <w:t>: Pushing case data and attachment files to the AI application layer, receiving AI-generated cross-check reports and minutes drafts, and feeding the results back into the original ImmD approval workflow.</w:t>
            </w:r>
          </w:p>
          <w:p w14:paraId="5E492AA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b/>
                <w:bCs/>
                <w:kern w:val="0"/>
                <w:sz w:val="21"/>
                <w:szCs w:val="21"/>
                <w:lang w:val="en-US" w:eastAsia="zh-CN" w:bidi="ar"/>
              </w:rPr>
            </w:pPr>
            <w:r>
              <w:rPr>
                <w:rFonts w:hint="default" w:eastAsia="宋体" w:cs="宋体" w:asciiTheme="minorAscii" w:hAnsiTheme="minorAscii"/>
                <w:b/>
                <w:bCs/>
                <w:kern w:val="0"/>
                <w:sz w:val="21"/>
                <w:szCs w:val="21"/>
                <w:lang w:val="en-US" w:eastAsia="zh-CN" w:bidi="ar"/>
              </w:rPr>
              <w:t>2. Interface Gateway Access Layer</w:t>
            </w:r>
          </w:p>
          <w:p w14:paraId="6D16EE2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(1)</w:t>
            </w:r>
            <w:r>
              <w:rPr>
                <w:rFonts w:hint="default" w:eastAsia="宋体" w:cs="宋体" w:asciiTheme="minorAscii" w:hAnsiTheme="minorAscii"/>
                <w:b/>
                <w:bCs/>
                <w:kern w:val="0"/>
                <w:sz w:val="21"/>
                <w:szCs w:val="21"/>
                <w:lang w:val="en-US" w:eastAsia="zh-CN" w:bidi="ar"/>
              </w:rPr>
              <w:t xml:space="preserve"> Positioning</w:t>
            </w:r>
            <w:r>
              <w:rPr>
                <w:rFonts w:hint="default" w:eastAsia="宋体" w:cs="宋体" w:asciiTheme="minorAscii" w:hAnsiTheme="minorAscii"/>
                <w:kern w:val="0"/>
                <w:sz w:val="21"/>
                <w:szCs w:val="21"/>
                <w:lang w:val="en-US" w:eastAsia="zh-CN" w:bidi="ar"/>
              </w:rPr>
              <w:t>: A secure transfer and unified docking hub for internal and external systems.</w:t>
            </w:r>
          </w:p>
          <w:p w14:paraId="0CFA650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(2) </w:t>
            </w:r>
            <w:r>
              <w:rPr>
                <w:rFonts w:hint="default" w:eastAsia="宋体" w:cs="宋体" w:asciiTheme="minorAscii" w:hAnsiTheme="minorAscii"/>
                <w:b/>
                <w:bCs/>
                <w:kern w:val="0"/>
                <w:sz w:val="21"/>
                <w:szCs w:val="21"/>
                <w:lang w:val="en-US" w:eastAsia="zh-CN" w:bidi="ar"/>
              </w:rPr>
              <w:t>Core Content</w:t>
            </w:r>
            <w:r>
              <w:rPr>
                <w:rFonts w:hint="default" w:eastAsia="宋体" w:cs="宋体" w:asciiTheme="minorAscii" w:hAnsiTheme="minorAscii"/>
                <w:kern w:val="0"/>
                <w:sz w:val="21"/>
                <w:szCs w:val="21"/>
                <w:lang w:val="en-US" w:eastAsia="zh-CN" w:bidi="ar"/>
              </w:rPr>
              <w:t>: API gateway, message queue transfer service, cross-network security access control, and authentication &amp; permission filtering modules.</w:t>
            </w:r>
          </w:p>
          <w:p w14:paraId="0A6BEA1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(3) </w:t>
            </w:r>
            <w:r>
              <w:rPr>
                <w:rFonts w:hint="default" w:eastAsia="宋体" w:cs="宋体" w:asciiTheme="minorAscii" w:hAnsiTheme="minorAscii"/>
                <w:b/>
                <w:bCs/>
                <w:kern w:val="0"/>
                <w:sz w:val="21"/>
                <w:szCs w:val="21"/>
                <w:lang w:val="en-US" w:eastAsia="zh-CN" w:bidi="ar"/>
              </w:rPr>
              <w:t>Responsibilities</w:t>
            </w:r>
            <w:r>
              <w:rPr>
                <w:rFonts w:hint="default" w:eastAsia="宋体" w:cs="宋体" w:asciiTheme="minorAscii" w:hAnsiTheme="minorAscii"/>
                <w:kern w:val="0"/>
                <w:sz w:val="21"/>
                <w:szCs w:val="21"/>
                <w:lang w:val="en-US" w:eastAsia="zh-CN" w:bidi="ar"/>
              </w:rPr>
              <w:t>: Achieving unified interconnection with APPLIES-2 and other ImmD internal systems. Supporting multi-protocol docking via API, MQ and SFTP to implement security isolation, traffic management and log transparent transmission. It effectively isolates external business systems from core AI services and ensures secure and controllable cross-network data exchange.</w:t>
            </w:r>
          </w:p>
          <w:p w14:paraId="62D2EE1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b/>
                <w:bCs/>
                <w:kern w:val="0"/>
                <w:sz w:val="21"/>
                <w:szCs w:val="21"/>
                <w:lang w:val="en-US" w:eastAsia="zh-CN" w:bidi="ar"/>
              </w:rPr>
            </w:pPr>
            <w:r>
              <w:rPr>
                <w:rFonts w:hint="default" w:eastAsia="宋体" w:cs="宋体" w:asciiTheme="minorAscii" w:hAnsiTheme="minorAscii"/>
                <w:b/>
                <w:bCs/>
                <w:kern w:val="0"/>
                <w:sz w:val="21"/>
                <w:szCs w:val="21"/>
                <w:lang w:val="en-US" w:eastAsia="zh-CN" w:bidi="ar"/>
              </w:rPr>
              <w:t>3. AI Application Core Business Process Layer</w:t>
            </w:r>
          </w:p>
          <w:p w14:paraId="34A123A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(1) </w:t>
            </w:r>
            <w:r>
              <w:rPr>
                <w:rFonts w:hint="default" w:eastAsia="宋体" w:cs="宋体" w:asciiTheme="minorAscii" w:hAnsiTheme="minorAscii"/>
                <w:b/>
                <w:bCs/>
                <w:kern w:val="0"/>
                <w:sz w:val="21"/>
                <w:szCs w:val="21"/>
                <w:lang w:val="en-US" w:eastAsia="zh-CN" w:bidi="ar"/>
              </w:rPr>
              <w:t>Positioning</w:t>
            </w:r>
            <w:r>
              <w:rPr>
                <w:rFonts w:hint="default" w:eastAsia="宋体" w:cs="宋体" w:asciiTheme="minorAscii" w:hAnsiTheme="minorAscii"/>
                <w:kern w:val="0"/>
                <w:sz w:val="21"/>
                <w:szCs w:val="21"/>
                <w:lang w:val="en-US" w:eastAsia="zh-CN" w:bidi="ar"/>
              </w:rPr>
              <w:t>: The core business capability layer that delivers three key functions: automated document classification, intelligent data verification, and intelligent minutes drafting.</w:t>
            </w:r>
          </w:p>
          <w:p w14:paraId="156F337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(2) </w:t>
            </w:r>
            <w:r>
              <w:rPr>
                <w:rFonts w:hint="default" w:eastAsia="宋体" w:cs="宋体" w:asciiTheme="minorAscii" w:hAnsiTheme="minorAscii"/>
                <w:b/>
                <w:bCs/>
                <w:kern w:val="0"/>
                <w:sz w:val="21"/>
                <w:szCs w:val="21"/>
                <w:lang w:val="en-US" w:eastAsia="zh-CN" w:bidi="ar"/>
              </w:rPr>
              <w:t>Core Content</w:t>
            </w:r>
            <w:r>
              <w:rPr>
                <w:rFonts w:hint="default" w:eastAsia="宋体" w:cs="宋体" w:asciiTheme="minorAscii" w:hAnsiTheme="minorAscii"/>
                <w:kern w:val="0"/>
                <w:sz w:val="21"/>
                <w:szCs w:val="21"/>
                <w:lang w:val="en-US" w:eastAsia="zh-CN" w:bidi="ar"/>
              </w:rPr>
              <w:t>: Automated document classification module, intelligent data verification module, intelligent minutes drafting module, and unified workflow scheduling engine.</w:t>
            </w:r>
          </w:p>
          <w:p w14:paraId="558EAF7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(3) </w:t>
            </w:r>
            <w:r>
              <w:rPr>
                <w:rFonts w:hint="default" w:eastAsia="宋体" w:cs="宋体" w:asciiTheme="minorAscii" w:hAnsiTheme="minorAscii"/>
                <w:b/>
                <w:bCs/>
                <w:kern w:val="0"/>
                <w:sz w:val="21"/>
                <w:szCs w:val="21"/>
                <w:lang w:val="en-US" w:eastAsia="zh-CN" w:bidi="ar"/>
              </w:rPr>
              <w:t>Responsibilities</w:t>
            </w:r>
            <w:r>
              <w:rPr>
                <w:rFonts w:hint="default" w:eastAsia="宋体" w:cs="宋体" w:asciiTheme="minorAscii" w:hAnsiTheme="minorAscii"/>
                <w:kern w:val="0"/>
                <w:sz w:val="21"/>
                <w:szCs w:val="21"/>
                <w:lang w:val="en-US" w:eastAsia="zh-CN" w:bidi="ar"/>
              </w:rPr>
              <w:t>: Orchestrating and connecting the three core AI business modules to implement task scheduling, exception retry and full-process orchestration. It outputs standard PDF reports and structured metadata, acting as the core hub for overall business logic execution.</w:t>
            </w:r>
          </w:p>
          <w:p w14:paraId="5FE03AF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b/>
                <w:bCs/>
                <w:kern w:val="0"/>
                <w:sz w:val="21"/>
                <w:szCs w:val="21"/>
                <w:lang w:val="en-US" w:eastAsia="zh-CN" w:bidi="ar"/>
              </w:rPr>
            </w:pPr>
            <w:r>
              <w:rPr>
                <w:rFonts w:hint="default" w:eastAsia="宋体" w:cs="宋体" w:asciiTheme="minorAscii" w:hAnsiTheme="minorAscii"/>
                <w:b/>
                <w:bCs/>
                <w:kern w:val="0"/>
                <w:sz w:val="21"/>
                <w:szCs w:val="21"/>
                <w:lang w:val="en-US" w:eastAsia="zh-CN" w:bidi="ar"/>
              </w:rPr>
              <w:t>4. AI Model Inference Engine Layer</w:t>
            </w:r>
          </w:p>
          <w:p w14:paraId="1B52ECE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(1) </w:t>
            </w:r>
            <w:r>
              <w:rPr>
                <w:rFonts w:hint="default" w:eastAsia="宋体" w:cs="宋体" w:asciiTheme="minorAscii" w:hAnsiTheme="minorAscii"/>
                <w:b/>
                <w:bCs/>
                <w:kern w:val="0"/>
                <w:sz w:val="21"/>
                <w:szCs w:val="21"/>
                <w:lang w:val="en-US" w:eastAsia="zh-CN" w:bidi="ar"/>
              </w:rPr>
              <w:t>Positioning</w:t>
            </w:r>
            <w:r>
              <w:rPr>
                <w:rFonts w:hint="default" w:eastAsia="宋体" w:cs="宋体" w:asciiTheme="minorAscii" w:hAnsiTheme="minorAscii"/>
                <w:kern w:val="0"/>
                <w:sz w:val="21"/>
                <w:szCs w:val="21"/>
                <w:lang w:val="en-US" w:eastAsia="zh-CN" w:bidi="ar"/>
              </w:rPr>
              <w:t>: The underlying AI capability base that provides full algorithm support for upper-layer business scenarios.</w:t>
            </w:r>
          </w:p>
          <w:p w14:paraId="5A9F784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(2) </w:t>
            </w:r>
            <w:r>
              <w:rPr>
                <w:rFonts w:hint="default" w:eastAsia="宋体" w:cs="宋体" w:asciiTheme="minorAscii" w:hAnsiTheme="minorAscii"/>
                <w:b/>
                <w:bCs/>
                <w:kern w:val="0"/>
                <w:sz w:val="21"/>
                <w:szCs w:val="21"/>
                <w:lang w:val="en-US" w:eastAsia="zh-CN" w:bidi="ar"/>
              </w:rPr>
              <w:t>Core Content</w:t>
            </w:r>
            <w:r>
              <w:rPr>
                <w:rFonts w:hint="default" w:eastAsia="宋体" w:cs="宋体" w:asciiTheme="minorAscii" w:hAnsiTheme="minorAscii"/>
                <w:kern w:val="0"/>
                <w:sz w:val="21"/>
                <w:szCs w:val="21"/>
                <w:lang w:val="en-US" w:eastAsia="zh-CN" w:bidi="ar"/>
              </w:rPr>
              <w:t>: OCR layout analysis engine, multimodal VLM visual model, large language model (LLM), RAG knowledge base engine, business rule engine, and PDF report generation engine.</w:t>
            </w:r>
          </w:p>
          <w:p w14:paraId="0519C75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(3)</w:t>
            </w:r>
            <w:r>
              <w:rPr>
                <w:rFonts w:hint="default" w:eastAsia="宋体" w:cs="宋体" w:asciiTheme="minorAscii" w:hAnsiTheme="minorAscii"/>
                <w:b/>
                <w:bCs/>
                <w:kern w:val="0"/>
                <w:sz w:val="21"/>
                <w:szCs w:val="21"/>
                <w:lang w:val="en-US" w:eastAsia="zh-CN" w:bidi="ar"/>
              </w:rPr>
              <w:t xml:space="preserve"> Responsibilities</w:t>
            </w:r>
            <w:r>
              <w:rPr>
                <w:rFonts w:hint="default" w:eastAsia="宋体" w:cs="宋体" w:asciiTheme="minorAscii" w:hAnsiTheme="minorAscii"/>
                <w:kern w:val="0"/>
                <w:sz w:val="21"/>
                <w:szCs w:val="21"/>
                <w:lang w:val="en-US" w:eastAsia="zh-CN" w:bidi="ar"/>
              </w:rPr>
              <w:t>: Providing fundamental AI atomic capabilities including text recognition, layout parsing, image-text understanding, semantic comparison, policy retrieval, rule verification and intelligent document generation, to support efficient and stable operation of upper-layer business processes.</w:t>
            </w:r>
          </w:p>
          <w:p w14:paraId="1864129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b/>
                <w:bCs/>
                <w:kern w:val="0"/>
                <w:sz w:val="21"/>
                <w:szCs w:val="21"/>
                <w:lang w:val="en-US" w:eastAsia="zh-CN" w:bidi="ar"/>
              </w:rPr>
            </w:pPr>
            <w:r>
              <w:rPr>
                <w:rFonts w:hint="default" w:eastAsia="宋体" w:cs="宋体" w:asciiTheme="minorAscii" w:hAnsiTheme="minorAscii"/>
                <w:b/>
                <w:bCs/>
                <w:kern w:val="0"/>
                <w:sz w:val="21"/>
                <w:szCs w:val="21"/>
                <w:lang w:val="en-US" w:eastAsia="zh-CN" w:bidi="ar"/>
              </w:rPr>
              <w:t>5. Xinchuang Computing &amp; Storage Resource Layer</w:t>
            </w:r>
          </w:p>
          <w:p w14:paraId="07940CB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(1) </w:t>
            </w:r>
            <w:r>
              <w:rPr>
                <w:rFonts w:hint="default" w:eastAsia="宋体" w:cs="宋体" w:asciiTheme="minorAscii" w:hAnsiTheme="minorAscii"/>
                <w:b/>
                <w:bCs/>
                <w:kern w:val="0"/>
                <w:sz w:val="21"/>
                <w:szCs w:val="21"/>
                <w:lang w:val="en-US" w:eastAsia="zh-CN" w:bidi="ar"/>
              </w:rPr>
              <w:t>Computing Cluster</w:t>
            </w:r>
            <w:r>
              <w:rPr>
                <w:rFonts w:hint="default" w:eastAsia="宋体" w:cs="宋体" w:asciiTheme="minorAscii" w:hAnsiTheme="minorAscii"/>
                <w:kern w:val="0"/>
                <w:sz w:val="21"/>
                <w:szCs w:val="21"/>
                <w:lang w:val="en-US" w:eastAsia="zh-CN" w:bidi="ar"/>
              </w:rPr>
              <w:t>: Built on domestic Xinchuang Kunpeng and Ascend servers with Active-Active high-availability deployment. It undertakes full-load AI inference, model fine-tuning and model training tasks, and supports pooled resource elastic scheduling to adapt to fluctuating business volumes.</w:t>
            </w:r>
          </w:p>
          <w:p w14:paraId="1D7EA84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(2) </w:t>
            </w:r>
            <w:r>
              <w:rPr>
                <w:rFonts w:hint="default" w:eastAsia="宋体" w:cs="宋体" w:asciiTheme="minorAscii" w:hAnsiTheme="minorAscii"/>
                <w:b/>
                <w:bCs/>
                <w:kern w:val="0"/>
                <w:sz w:val="21"/>
                <w:szCs w:val="21"/>
                <w:lang w:val="en-US" w:eastAsia="zh-CN" w:bidi="ar"/>
              </w:rPr>
              <w:t>Hierarchical Storage</w:t>
            </w:r>
            <w:r>
              <w:rPr>
                <w:rFonts w:hint="default" w:eastAsia="宋体" w:cs="宋体" w:asciiTheme="minorAscii" w:hAnsiTheme="minorAscii"/>
                <w:kern w:val="0"/>
                <w:sz w:val="21"/>
                <w:szCs w:val="21"/>
                <w:lang w:val="en-US" w:eastAsia="zh-CN" w:bidi="ar"/>
              </w:rPr>
              <w:t>:</w:t>
            </w:r>
          </w:p>
          <w:p w14:paraId="2DE84EB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color w:val="222222"/>
                <w:sz w:val="21"/>
                <w:szCs w:val="21"/>
              </w:rPr>
              <w:t>•</w:t>
            </w:r>
            <w:r>
              <w:rPr>
                <w:rFonts w:hint="eastAsia" w:eastAsia="宋体"/>
                <w:color w:val="222222"/>
                <w:sz w:val="21"/>
                <w:szCs w:val="21"/>
                <w:lang w:val="en-US" w:eastAsia="zh-CN"/>
              </w:rPr>
              <w:t xml:space="preserve"> </w:t>
            </w:r>
            <w:r>
              <w:rPr>
                <w:rFonts w:hint="default" w:eastAsia="宋体" w:cs="宋体" w:asciiTheme="minorAscii" w:hAnsiTheme="minorAscii"/>
                <w:kern w:val="0"/>
                <w:sz w:val="21"/>
                <w:szCs w:val="21"/>
                <w:lang w:val="en-US" w:eastAsia="zh-CN" w:bidi="ar"/>
              </w:rPr>
              <w:t>Unified Storage: Storing database data, model weights, system configuration files and full audit logs.</w:t>
            </w:r>
          </w:p>
          <w:p w14:paraId="48070E3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color w:val="222222"/>
                <w:sz w:val="21"/>
                <w:szCs w:val="21"/>
              </w:rPr>
              <w:t>•</w:t>
            </w:r>
            <w:r>
              <w:rPr>
                <w:rFonts w:hint="default" w:eastAsia="宋体" w:cs="宋体" w:asciiTheme="minorAscii" w:hAnsiTheme="minorAscii"/>
                <w:kern w:val="0"/>
                <w:sz w:val="21"/>
                <w:szCs w:val="21"/>
                <w:lang w:val="en-US" w:eastAsia="zh-CN" w:bidi="ar"/>
              </w:rPr>
              <w:t xml:space="preserve"> Distributed Object Storage: Archiving massive unstructured data including PDF files, scanned images and various application attachments.</w:t>
            </w:r>
          </w:p>
          <w:p w14:paraId="371E65D1">
            <w:pPr>
              <w:keepNext w:val="0"/>
              <w:keepLines w:val="0"/>
              <w:widowControl/>
              <w:numPr>
                <w:ilvl w:val="0"/>
                <w:numId w:val="0"/>
              </w:numPr>
              <w:suppressLineNumbers w:val="0"/>
              <w:ind w:leftChars="0"/>
              <w:jc w:val="left"/>
              <w:rPr>
                <w:rFonts w:ascii="宋体" w:hAnsi="宋体" w:eastAsia="宋体" w:cs="宋体"/>
                <w:kern w:val="0"/>
                <w:sz w:val="24"/>
                <w:szCs w:val="24"/>
                <w:lang w:val="en-US" w:eastAsia="zh-CN" w:bidi="ar"/>
              </w:rPr>
            </w:pPr>
            <w:r>
              <w:rPr>
                <w:color w:val="222222"/>
                <w:sz w:val="21"/>
                <w:szCs w:val="21"/>
              </w:rPr>
              <w:t>•</w:t>
            </w:r>
            <w:r>
              <w:rPr>
                <w:rFonts w:hint="default" w:eastAsia="宋体" w:cs="宋体" w:asciiTheme="minorAscii" w:hAnsiTheme="minorAscii"/>
                <w:kern w:val="0"/>
                <w:sz w:val="21"/>
                <w:szCs w:val="21"/>
                <w:lang w:val="en-US" w:eastAsia="zh-CN" w:bidi="ar"/>
              </w:rPr>
              <w:t xml:space="preserve"> Backup Storage Appliance: Supporting compliant data retention and disaster recovery, with 30-day business data backup and 60-day audit log retention as required by ImmD compliance policies.</w:t>
            </w:r>
          </w:p>
        </w:tc>
      </w:tr>
    </w:tbl>
    <w:p w14:paraId="52AD9870"/>
    <w:p w14:paraId="00DEAAF8">
      <w:r>
        <w:br w:type="page"/>
      </w:r>
    </w:p>
    <w:p w14:paraId="456552CF">
      <w:pPr>
        <w:spacing w:before="440" w:after="80"/>
      </w:pPr>
      <w:r>
        <w:rPr>
          <w:b/>
          <w:color w:val="003D7A"/>
          <w:sz w:val="32"/>
        </w:rPr>
        <w:t>2. Automated Document Classification（自動文件分類）</w:t>
      </w:r>
    </w:p>
    <w:p w14:paraId="709527F4">
      <w:pPr>
        <w:spacing w:after="80"/>
      </w:pPr>
      <w:r>
        <w:rPr>
          <w:i/>
          <w:color w:val="555555"/>
          <w:sz w:val="19"/>
        </w:rPr>
        <w:t>[ Annex I Table 1 — Doc Classification · RFI 4.2.1 ]</w:t>
      </w:r>
    </w:p>
    <w:tbl>
      <w:tblPr>
        <w:tblStyle w:val="32"/>
        <w:tblW w:w="0" w:type="auto"/>
        <w:jc w:val="center"/>
        <w:tblLayout w:type="fixed"/>
        <w:tblCellMar>
          <w:top w:w="0" w:type="dxa"/>
          <w:left w:w="108" w:type="dxa"/>
          <w:bottom w:w="0" w:type="dxa"/>
          <w:right w:w="108" w:type="dxa"/>
        </w:tblCellMar>
      </w:tblPr>
      <w:tblGrid>
        <w:gridCol w:w="10200"/>
      </w:tblGrid>
      <w:tr w14:paraId="186971AF">
        <w:tblPrEx>
          <w:tblCellMar>
            <w:top w:w="0" w:type="dxa"/>
            <w:left w:w="108" w:type="dxa"/>
            <w:bottom w:w="0" w:type="dxa"/>
            <w:right w:w="108" w:type="dxa"/>
          </w:tblCellMar>
        </w:tblPrEx>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51BC17D6">
            <w:pPr>
              <w:spacing w:after="80"/>
            </w:pPr>
            <w:r>
              <w:rPr>
                <w:b/>
                <w:color w:val="003D7A"/>
                <w:sz w:val="18"/>
              </w:rPr>
              <w:t>Annex I Table 1 — Original (English):</w:t>
            </w:r>
          </w:p>
          <w:p w14:paraId="4AB830DF">
            <w:pPr>
              <w:spacing w:after="40"/>
            </w:pPr>
            <w:r>
              <w:rPr>
                <w:i/>
                <w:color w:val="333333"/>
                <w:sz w:val="19"/>
              </w:rPr>
              <w:t>Automated Document Classification</w:t>
            </w:r>
          </w:p>
          <w:p w14:paraId="067FCCED">
            <w:pPr>
              <w:spacing w:after="40"/>
            </w:pPr>
            <w:r>
              <w:rPr>
                <w:i/>
                <w:color w:val="333333"/>
                <w:sz w:val="19"/>
              </w:rPr>
              <w:t>• Description of the AI technologies and algorithms employed to process, verify and categorize application-related documents and visual data;</w:t>
            </w:r>
          </w:p>
          <w:p w14:paraId="2FCF4E2E">
            <w:pPr>
              <w:spacing w:after="40"/>
            </w:pPr>
            <w:r>
              <w:rPr>
                <w:i/>
                <w:color w:val="333333"/>
                <w:sz w:val="19"/>
              </w:rPr>
              <w:t>• Description on the Proposed Solution of the technical design illustrating the end-to-end process — from processing, verification, classification and delivery of the result;</w:t>
            </w:r>
          </w:p>
          <w:p w14:paraId="0A061C55">
            <w:pPr>
              <w:spacing w:after="40"/>
            </w:pPr>
            <w:r>
              <w:rPr>
                <w:i/>
                <w:color w:val="333333"/>
                <w:sz w:val="19"/>
              </w:rPr>
              <w:t>• Description of the proposed accuracy rate for the AI solution and the method to calculate / determine the accuracy rate.</w:t>
            </w:r>
          </w:p>
        </w:tc>
      </w:tr>
      <w:tr w14:paraId="7B9E91B4">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7BD904F2">
            <w:pPr>
              <w:spacing w:after="80"/>
            </w:pPr>
            <w:r>
              <w:rPr>
                <w:b/>
                <w:color w:val="3A5A00"/>
                <w:sz w:val="18"/>
              </w:rPr>
              <w:t>中文解釋 (CMHK reference)：</w:t>
            </w:r>
          </w:p>
          <w:p w14:paraId="4BDD071E">
            <w:pPr>
              <w:spacing w:after="40"/>
            </w:pPr>
            <w:r>
              <w:rPr>
                <w:i/>
                <w:color w:val="333333"/>
                <w:sz w:val="19"/>
              </w:rPr>
              <w:t>自動文件分類</w:t>
            </w:r>
          </w:p>
          <w:p w14:paraId="682D1973">
            <w:pPr>
              <w:spacing w:after="40"/>
            </w:pPr>
            <w:r>
              <w:rPr>
                <w:i/>
                <w:color w:val="333333"/>
                <w:sz w:val="19"/>
              </w:rPr>
              <w:t>• 描述用於處理、驗證、分類申請相關文件與圖像資料之 AI 技術與算法</w:t>
            </w:r>
          </w:p>
          <w:p w14:paraId="3291361D">
            <w:pPr>
              <w:spacing w:after="40"/>
            </w:pPr>
            <w:r>
              <w:rPr>
                <w:i/>
                <w:color w:val="333333"/>
                <w:sz w:val="19"/>
              </w:rPr>
              <w:t>• 描述方案技術設計，呈現端到端流程（處理 → 驗證 → 分類 → 結果交付）</w:t>
            </w:r>
          </w:p>
          <w:p w14:paraId="3749DDC7">
            <w:pPr>
              <w:spacing w:after="40"/>
            </w:pPr>
            <w:r>
              <w:rPr>
                <w:i/>
                <w:color w:val="333333"/>
                <w:sz w:val="19"/>
              </w:rPr>
              <w:t>• 描述貴方建議的 AI 方案準確率，以及該準確率的計算 / 判定方法</w:t>
            </w:r>
          </w:p>
        </w:tc>
      </w:tr>
    </w:tbl>
    <w:p w14:paraId="37171AC1"/>
    <w:tbl>
      <w:tblPr>
        <w:tblStyle w:val="32"/>
        <w:tblW w:w="0" w:type="auto"/>
        <w:jc w:val="center"/>
        <w:tblLayout w:type="fixed"/>
        <w:tblCellMar>
          <w:top w:w="0" w:type="dxa"/>
          <w:left w:w="108" w:type="dxa"/>
          <w:bottom w:w="0" w:type="dxa"/>
          <w:right w:w="108" w:type="dxa"/>
        </w:tblCellMar>
      </w:tblPr>
      <w:tblGrid>
        <w:gridCol w:w="10200"/>
      </w:tblGrid>
      <w:tr w14:paraId="5855E176">
        <w:tblPrEx>
          <w:tblCellMar>
            <w:top w:w="0" w:type="dxa"/>
            <w:left w:w="108" w:type="dxa"/>
            <w:bottom w:w="0" w:type="dxa"/>
            <w:right w:w="108" w:type="dxa"/>
          </w:tblCellMar>
        </w:tblPrEx>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1ED6CD08">
            <w:pPr>
              <w:spacing w:after="80"/>
            </w:pPr>
            <w:r>
              <w:rPr>
                <w:b/>
                <w:color w:val="003D7A"/>
                <w:sz w:val="18"/>
              </w:rPr>
              <w:t>RFI 4.2.1 — Original (English):</w:t>
            </w:r>
          </w:p>
          <w:p w14:paraId="1EE20FB5">
            <w:pPr>
              <w:spacing w:after="40"/>
            </w:pPr>
            <w:r>
              <w:rPr>
                <w:i/>
                <w:color w:val="333333"/>
                <w:sz w:val="19"/>
              </w:rPr>
              <w:t>4.2.1 Automated Document Classification</w:t>
            </w:r>
          </w:p>
          <w:p w14:paraId="300042C6">
            <w:pPr>
              <w:spacing w:after="40"/>
            </w:pPr>
            <w:r>
              <w:rPr>
                <w:i/>
                <w:color w:val="333333"/>
                <w:sz w:val="19"/>
              </w:rPr>
              <w:t>4.2.1.1 Shall be able to support verification on the completeness of application's documents and images according to business/workflow logic</w:t>
            </w:r>
          </w:p>
          <w:p w14:paraId="2F89A06E">
            <w:pPr>
              <w:spacing w:after="40"/>
            </w:pPr>
            <w:r>
              <w:rPr>
                <w:i/>
                <w:color w:val="333333"/>
                <w:sz w:val="19"/>
              </w:rPr>
              <w:t>4.2.1.2 Shall be able to provide and support subsequent classification tasks</w:t>
            </w:r>
          </w:p>
          <w:p w14:paraId="08DBB529">
            <w:pPr>
              <w:spacing w:after="40"/>
            </w:pPr>
            <w:r>
              <w:rPr>
                <w:i/>
                <w:color w:val="333333"/>
                <w:sz w:val="19"/>
              </w:rPr>
              <w:t>4.2.1.3 Shall be able to check, handle and alert users for problematic items.</w:t>
            </w:r>
          </w:p>
          <w:p w14:paraId="150A8F4D">
            <w:pPr>
              <w:spacing w:after="40"/>
            </w:pPr>
            <w:r>
              <w:rPr>
                <w:i/>
                <w:color w:val="333333"/>
                <w:sz w:val="19"/>
              </w:rPr>
              <w:t>4.2.1.4 Shall generate and export related statistics data and reports</w:t>
            </w:r>
          </w:p>
        </w:tc>
      </w:tr>
      <w:tr w14:paraId="66853C62">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215A4BEA">
            <w:pPr>
              <w:spacing w:after="80"/>
            </w:pPr>
            <w:r>
              <w:rPr>
                <w:b/>
                <w:color w:val="3A5A00"/>
                <w:sz w:val="18"/>
              </w:rPr>
              <w:t>中文解釋 (CMHK reference)：</w:t>
            </w:r>
          </w:p>
          <w:p w14:paraId="413F5115">
            <w:pPr>
              <w:spacing w:after="40"/>
            </w:pPr>
            <w:r>
              <w:rPr>
                <w:i/>
                <w:color w:val="333333"/>
                <w:sz w:val="19"/>
              </w:rPr>
              <w:t>4.2.1 自動文件分類</w:t>
            </w:r>
          </w:p>
          <w:p w14:paraId="77915AF3">
            <w:pPr>
              <w:spacing w:after="40"/>
            </w:pPr>
            <w:r>
              <w:rPr>
                <w:i/>
                <w:color w:val="333333"/>
                <w:sz w:val="19"/>
              </w:rPr>
              <w:t>4.2.1.1 應根據業務 / 工作流邏輯，驗證申請文件與圖像之完整性</w:t>
            </w:r>
          </w:p>
          <w:p w14:paraId="095838AC">
            <w:pPr>
              <w:spacing w:after="40"/>
            </w:pPr>
            <w:r>
              <w:rPr>
                <w:i/>
                <w:color w:val="333333"/>
                <w:sz w:val="19"/>
              </w:rPr>
              <w:t>4.2.1.2 應對通過驗證的文件提供與支援後續分類任務</w:t>
            </w:r>
          </w:p>
          <w:p w14:paraId="6FE5040E">
            <w:pPr>
              <w:spacing w:after="40"/>
            </w:pPr>
            <w:r>
              <w:rPr>
                <w:i/>
                <w:color w:val="333333"/>
                <w:sz w:val="19"/>
              </w:rPr>
              <w:t>4.2.1.3 應檢查、處理問題項目並對使用者告警</w:t>
            </w:r>
          </w:p>
          <w:p w14:paraId="27A0C581">
            <w:pPr>
              <w:spacing w:after="40"/>
            </w:pPr>
            <w:r>
              <w:rPr>
                <w:i/>
                <w:color w:val="333333"/>
                <w:sz w:val="19"/>
              </w:rPr>
              <w:t>4.2.1.4 應生成並匯出相關統計資料與報表</w:t>
            </w:r>
          </w:p>
        </w:tc>
      </w:tr>
    </w:tbl>
    <w:p w14:paraId="469E6F78"/>
    <w:p w14:paraId="73554E28">
      <w:pPr>
        <w:spacing w:before="280" w:after="80"/>
      </w:pPr>
      <w:r>
        <w:rPr>
          <w:b/>
          <w:color w:val="003D7A"/>
          <w:sz w:val="26"/>
        </w:rPr>
        <w:t>2.1 AI Technologies &amp; Algorithms</w:t>
      </w:r>
    </w:p>
    <w:p w14:paraId="1DE14558">
      <w:pPr>
        <w:spacing w:after="60"/>
        <w:ind w:left="360"/>
      </w:pPr>
      <w:r>
        <w:rPr>
          <w:color w:val="222222"/>
          <w:sz w:val="20"/>
        </w:rPr>
        <w:t>• Describe AI tech / algorithms for processing, verifying, categorizing documents (FDH 12-attachment scenario)</w:t>
      </w:r>
    </w:p>
    <w:p w14:paraId="5574E277">
      <w:pPr>
        <w:spacing w:after="60"/>
        <w:ind w:left="360"/>
      </w:pPr>
      <w:r>
        <w:rPr>
          <w:color w:val="222222"/>
          <w:sz w:val="20"/>
        </w:rPr>
        <w:t>• Suggested: model selection (VLM / OCR+NLP pipeline), few-shot strategy, rule base</w:t>
      </w:r>
    </w:p>
    <w:tbl>
      <w:tblPr>
        <w:tblStyle w:val="32"/>
        <w:tblW w:w="0" w:type="auto"/>
        <w:jc w:val="center"/>
        <w:tblLayout w:type="fixed"/>
        <w:tblCellMar>
          <w:top w:w="0" w:type="dxa"/>
          <w:left w:w="108" w:type="dxa"/>
          <w:bottom w:w="0" w:type="dxa"/>
          <w:right w:w="108" w:type="dxa"/>
        </w:tblCellMar>
      </w:tblPr>
      <w:tblGrid>
        <w:gridCol w:w="10200"/>
      </w:tblGrid>
      <w:tr w14:paraId="1DC6C182">
        <w:tblPrEx>
          <w:tblCellMar>
            <w:top w:w="0" w:type="dxa"/>
            <w:left w:w="108" w:type="dxa"/>
            <w:bottom w:w="0" w:type="dxa"/>
            <w:right w:w="108" w:type="dxa"/>
          </w:tblCellMar>
        </w:tblPrEx>
        <w:trPr>
          <w:trHeight w:val="2880" w:hRule="atLeast"/>
          <w:jc w:val="center"/>
        </w:trPr>
        <w:tc>
          <w:tcPr>
            <w:tcW w:w="10200" w:type="dxa"/>
            <w:tcBorders>
              <w:top w:val="single" w:color="888888" w:sz="6" w:space="0"/>
              <w:left w:val="single" w:color="888888" w:sz="6" w:space="0"/>
              <w:bottom w:val="single" w:color="888888" w:sz="6" w:space="0"/>
              <w:right w:val="single" w:color="888888" w:sz="6" w:space="0"/>
            </w:tcBorders>
          </w:tcPr>
          <w:p w14:paraId="3DBA5EB3">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The solution adopts a hybrid technical stack of</w:t>
            </w:r>
            <w:r>
              <w:rPr>
                <w:rFonts w:hint="eastAsia"/>
                <w:b/>
                <w:bCs/>
                <w:sz w:val="21"/>
                <w:szCs w:val="21"/>
              </w:rPr>
              <w:t xml:space="preserve"> Layout Analysis + Multimodal Large Model (VLM) + Few-shot Classification + Rule Base Engine.</w:t>
            </w:r>
          </w:p>
          <w:p w14:paraId="1F29940D">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color w:val="222222"/>
                <w:sz w:val="21"/>
                <w:szCs w:val="21"/>
              </w:rPr>
              <w:t>•</w:t>
            </w:r>
            <w:r>
              <w:rPr>
                <w:rFonts w:hint="eastAsia"/>
                <w:sz w:val="21"/>
                <w:szCs w:val="21"/>
              </w:rPr>
              <w:t xml:space="preserve"> Deploy </w:t>
            </w:r>
            <w:r>
              <w:rPr>
                <w:rFonts w:hint="eastAsia" w:eastAsia="宋体"/>
                <w:sz w:val="21"/>
                <w:szCs w:val="21"/>
                <w:lang w:val="en-US" w:eastAsia="zh-CN"/>
              </w:rPr>
              <w:t xml:space="preserve">a </w:t>
            </w:r>
            <w:r>
              <w:rPr>
                <w:rFonts w:hint="eastAsia"/>
                <w:sz w:val="21"/>
                <w:szCs w:val="21"/>
              </w:rPr>
              <w:t>general document OCR and layout detection model to identify text, table, seal and image regions from scanned PDF/photo files.</w:t>
            </w:r>
          </w:p>
          <w:p w14:paraId="40BCD259">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color w:val="222222"/>
                <w:sz w:val="21"/>
                <w:szCs w:val="21"/>
              </w:rPr>
              <w:t>•</w:t>
            </w:r>
            <w:r>
              <w:rPr>
                <w:rFonts w:hint="eastAsia"/>
                <w:sz w:val="21"/>
                <w:szCs w:val="21"/>
              </w:rPr>
              <w:t xml:space="preserve"> Apply</w:t>
            </w:r>
            <w:r>
              <w:rPr>
                <w:rFonts w:hint="eastAsia" w:eastAsia="宋体"/>
                <w:sz w:val="21"/>
                <w:szCs w:val="21"/>
                <w:lang w:val="en-US" w:eastAsia="zh-CN"/>
              </w:rPr>
              <w:t xml:space="preserve"> the</w:t>
            </w:r>
            <w:r>
              <w:rPr>
                <w:rFonts w:hint="eastAsia"/>
                <w:sz w:val="21"/>
                <w:szCs w:val="21"/>
              </w:rPr>
              <w:t xml:space="preserve"> Qwen-VL deep multimodal model to understand document layout, content semantics and document type features.</w:t>
            </w:r>
          </w:p>
          <w:p w14:paraId="161CD7B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color w:val="222222"/>
                <w:sz w:val="21"/>
                <w:szCs w:val="21"/>
              </w:rPr>
              <w:t>•</w:t>
            </w:r>
            <w:r>
              <w:rPr>
                <w:rFonts w:hint="eastAsia"/>
                <w:sz w:val="21"/>
                <w:szCs w:val="21"/>
              </w:rPr>
              <w:t xml:space="preserve"> Adopt few-shot prompt learning strategy based on ImmD official document specimens to support automated classification of standard official scenario attachments.</w:t>
            </w:r>
          </w:p>
          <w:p w14:paraId="0ADC032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sz w:val="21"/>
                <w:szCs w:val="21"/>
              </w:rPr>
            </w:pPr>
            <w:r>
              <w:rPr>
                <w:color w:val="222222"/>
                <w:sz w:val="21"/>
                <w:szCs w:val="21"/>
              </w:rPr>
              <w:t>•</w:t>
            </w:r>
            <w:r>
              <w:rPr>
                <w:rFonts w:hint="eastAsia"/>
                <w:sz w:val="21"/>
                <w:szCs w:val="21"/>
              </w:rPr>
              <w:t xml:space="preserve"> Combine configurable rule base to verify document completeness, valid page count, required attachment list and business workflow constraints.</w:t>
            </w:r>
          </w:p>
          <w:p w14:paraId="7B60B95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pPr>
            <w:r>
              <w:rPr>
                <w:color w:val="222222"/>
                <w:sz w:val="21"/>
                <w:szCs w:val="21"/>
              </w:rPr>
              <w:t>•</w:t>
            </w:r>
            <w:r>
              <w:rPr>
                <w:rFonts w:hint="eastAsia"/>
                <w:sz w:val="21"/>
                <w:szCs w:val="21"/>
              </w:rPr>
              <w:t xml:space="preserve"> Support batch document splitting, format normalization and abnormal file filtering before classification task execution.</w:t>
            </w:r>
          </w:p>
        </w:tc>
      </w:tr>
    </w:tbl>
    <w:p w14:paraId="3DE50A76"/>
    <w:p w14:paraId="784914D6">
      <w:pPr>
        <w:spacing w:before="280" w:after="80"/>
      </w:pPr>
      <w:r>
        <w:rPr>
          <w:b/>
          <w:color w:val="003D7A"/>
          <w:sz w:val="26"/>
        </w:rPr>
        <w:t>2.2 End-to-End Technical Design</w:t>
      </w:r>
    </w:p>
    <w:p w14:paraId="73F957B9">
      <w:pPr>
        <w:spacing w:after="60"/>
        <w:ind w:left="360"/>
      </w:pPr>
      <w:r>
        <w:rPr>
          <w:color w:val="222222"/>
          <w:sz w:val="20"/>
        </w:rPr>
        <w:t>• Processing → Verification → Classification → Result delivery (full process design)</w:t>
      </w:r>
    </w:p>
    <w:p w14:paraId="4D0EBAFE">
      <w:pPr>
        <w:spacing w:after="60"/>
        <w:ind w:left="360"/>
      </w:pPr>
      <w:r>
        <w:rPr>
          <w:color w:val="222222"/>
          <w:sz w:val="20"/>
        </w:rPr>
        <w:t>• Include how anomalies / problematic items are presented (within Cross-Check Report PDF)</w:t>
      </w:r>
    </w:p>
    <w:tbl>
      <w:tblPr>
        <w:tblStyle w:val="32"/>
        <w:tblW w:w="0" w:type="auto"/>
        <w:jc w:val="center"/>
        <w:tblLayout w:type="fixed"/>
        <w:tblCellMar>
          <w:top w:w="0" w:type="dxa"/>
          <w:left w:w="108" w:type="dxa"/>
          <w:bottom w:w="0" w:type="dxa"/>
          <w:right w:w="108" w:type="dxa"/>
        </w:tblCellMar>
      </w:tblPr>
      <w:tblGrid>
        <w:gridCol w:w="10200"/>
      </w:tblGrid>
      <w:tr w14:paraId="46BE053B">
        <w:tblPrEx>
          <w:tblCellMar>
            <w:top w:w="0" w:type="dxa"/>
            <w:left w:w="108" w:type="dxa"/>
            <w:bottom w:w="0" w:type="dxa"/>
            <w:right w:w="108" w:type="dxa"/>
          </w:tblCellMar>
        </w:tblPrEx>
        <w:trPr>
          <w:trHeight w:val="2880" w:hRule="atLeast"/>
          <w:jc w:val="center"/>
        </w:trPr>
        <w:tc>
          <w:tcPr>
            <w:tcW w:w="10200" w:type="dxa"/>
            <w:tcBorders>
              <w:top w:val="single" w:color="888888" w:sz="6" w:space="0"/>
              <w:left w:val="single" w:color="888888" w:sz="6" w:space="0"/>
              <w:bottom w:val="single" w:color="888888" w:sz="6" w:space="0"/>
              <w:right w:val="single" w:color="888888" w:sz="6" w:space="0"/>
            </w:tcBorders>
          </w:tcPr>
          <w:p w14:paraId="3424032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Full process workflow: </w:t>
            </w:r>
          </w:p>
          <w:p w14:paraId="14D9B82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heme="minorAscii" w:hAnsiTheme="minorAscii"/>
                <w:sz w:val="21"/>
                <w:szCs w:val="21"/>
              </w:rPr>
            </w:pPr>
            <w:r>
              <w:rPr>
                <w:rStyle w:val="135"/>
                <w:rFonts w:hint="default" w:eastAsia="宋体" w:cs="宋体" w:asciiTheme="minorAscii" w:hAnsiTheme="minorAscii"/>
                <w:kern w:val="0"/>
                <w:sz w:val="21"/>
                <w:szCs w:val="21"/>
                <w:lang w:val="en-US" w:eastAsia="zh-CN" w:bidi="ar"/>
              </w:rPr>
              <w:t>Data Ingestion → File Format Normalization &amp; Preprocessing → OCR &amp; Layout Analysis → Document Type Feature Extraction → AI Intelligent Classification → Business Completeness Verification → Abnormal Item Marking &amp; Alert → Generate Cross-Check Report with Highlight → Statistical Report Export → Result Push to APPLIES-2</w:t>
            </w:r>
          </w:p>
          <w:p w14:paraId="33CD4D5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 xml:space="preserve">During processing, incomplete documents, unclear stamp, missing required page, invalid format and mismatched attachment types will be automatically marked and highlighted on the original file. All abnormal records will be summarized into Cross-Check Report PDF for case officer review, and </w:t>
            </w:r>
            <w:r>
              <w:rPr>
                <w:rFonts w:ascii="微软雅黑" w:hAnsi="微软雅黑" w:eastAsia="微软雅黑"/>
                <w:b w:val="0"/>
                <w:sz w:val="17"/>
              </w:rPr>
              <w:t>classification</w:t>
            </w:r>
            <w:r>
              <w:rPr>
                <w:rFonts w:hint="default" w:eastAsia="宋体" w:cs="宋体" w:asciiTheme="minorAscii" w:hAnsiTheme="minorAscii"/>
                <w:kern w:val="0"/>
                <w:sz w:val="21"/>
                <w:szCs w:val="21"/>
                <w:lang w:val="en-US" w:eastAsia="zh-CN" w:bidi="ar"/>
              </w:rPr>
              <w:t xml:space="preserve"> result metadata will be output via standardized API for downstream data verification process.</w:t>
            </w:r>
          </w:p>
          <w:p w14:paraId="628B5AE3">
            <w:pPr>
              <w:numPr>
                <w:ilvl w:val="0"/>
                <w:numId w:val="0"/>
              </w:numPr>
              <w:rPr>
                <w:rFonts w:ascii="宋体" w:hAnsi="宋体" w:eastAsia="宋体" w:cs="宋体"/>
                <w:sz w:val="24"/>
                <w:szCs w:val="24"/>
                <w:lang w:val="en-US" w:eastAsia="zh-CN"/>
              </w:rPr>
            </w:pPr>
          </w:p>
          <w:p w14:paraId="29F1B57E"/>
        </w:tc>
      </w:tr>
    </w:tbl>
    <w:p w14:paraId="6BF1FBF1"/>
    <w:p w14:paraId="504A8B49">
      <w:pPr>
        <w:spacing w:before="280" w:after="80"/>
      </w:pPr>
      <w:r>
        <w:rPr>
          <w:b/>
          <w:color w:val="003D7A"/>
          <w:sz w:val="26"/>
        </w:rPr>
        <w:t>2.3 Accuracy Rate &amp; Calculation Method (please propose)</w:t>
      </w:r>
    </w:p>
    <w:p w14:paraId="1EC8E1C3">
      <w:pPr>
        <w:spacing w:after="120"/>
      </w:pPr>
      <w:r>
        <w:rPr>
          <w:i/>
          <w:color w:val="222222"/>
          <w:sz w:val="20"/>
        </w:rPr>
        <w:t>Please complete: (a) committed accuracy % (b) accuracy definition (e.g. character / word / field / business-level) (c) measurement method (test set size, metrics such as precision / recall / F1).  請填寫：(a) 承諾準確率 % (b) 準確率定義 (c) 量測方法。</w:t>
      </w:r>
    </w:p>
    <w:tbl>
      <w:tblPr>
        <w:tblStyle w:val="32"/>
        <w:tblW w:w="0" w:type="auto"/>
        <w:jc w:val="center"/>
        <w:tblLayout w:type="fixed"/>
        <w:tblCellMar>
          <w:top w:w="0" w:type="dxa"/>
          <w:left w:w="108" w:type="dxa"/>
          <w:bottom w:w="0" w:type="dxa"/>
          <w:right w:w="108" w:type="dxa"/>
        </w:tblCellMar>
      </w:tblPr>
      <w:tblGrid>
        <w:gridCol w:w="2550"/>
        <w:gridCol w:w="2550"/>
        <w:gridCol w:w="2550"/>
        <w:gridCol w:w="2550"/>
      </w:tblGrid>
      <w:tr w14:paraId="40CFD7B2">
        <w:tblPrEx>
          <w:tblCellMar>
            <w:top w:w="0" w:type="dxa"/>
            <w:left w:w="108" w:type="dxa"/>
            <w:bottom w:w="0" w:type="dxa"/>
            <w:right w:w="108" w:type="dxa"/>
          </w:tblCellMar>
        </w:tblPrEx>
        <w:trPr>
          <w:trHeight w:val="576" w:hRule="atLeast"/>
          <w:jc w:val="center"/>
        </w:trPr>
        <w:tc>
          <w:tcPr>
            <w:tcW w:w="2550" w:type="dxa"/>
            <w:shd w:val="clear" w:color="auto" w:fill="003D7A"/>
            <w:vAlign w:val="center"/>
          </w:tcPr>
          <w:p w14:paraId="2DF4814E">
            <w:r>
              <w:rPr>
                <w:b/>
                <w:color w:val="FFFFFF"/>
                <w:sz w:val="20"/>
              </w:rPr>
              <w:t>AI Function</w:t>
            </w:r>
          </w:p>
        </w:tc>
        <w:tc>
          <w:tcPr>
            <w:tcW w:w="2550" w:type="dxa"/>
            <w:shd w:val="clear" w:color="auto" w:fill="003D7A"/>
            <w:vAlign w:val="center"/>
          </w:tcPr>
          <w:p w14:paraId="578C8DD0">
            <w:r>
              <w:rPr>
                <w:b/>
                <w:color w:val="FFFFFF"/>
                <w:sz w:val="20"/>
              </w:rPr>
              <w:t>Committed Accuracy (%)</w:t>
            </w:r>
          </w:p>
        </w:tc>
        <w:tc>
          <w:tcPr>
            <w:tcW w:w="2550" w:type="dxa"/>
            <w:shd w:val="clear" w:color="auto" w:fill="003D7A"/>
            <w:vAlign w:val="center"/>
          </w:tcPr>
          <w:p w14:paraId="705B78C2">
            <w:r>
              <w:rPr>
                <w:b/>
                <w:color w:val="FFFFFF"/>
                <w:sz w:val="20"/>
              </w:rPr>
              <w:t>Accuracy Definition</w:t>
            </w:r>
          </w:p>
        </w:tc>
        <w:tc>
          <w:tcPr>
            <w:tcW w:w="2550" w:type="dxa"/>
            <w:shd w:val="clear" w:color="auto" w:fill="003D7A"/>
            <w:vAlign w:val="center"/>
          </w:tcPr>
          <w:p w14:paraId="0AF173E0">
            <w:r>
              <w:rPr>
                <w:b/>
                <w:color w:val="FFFFFF"/>
                <w:sz w:val="20"/>
              </w:rPr>
              <w:t>Measurement Method</w:t>
            </w:r>
          </w:p>
        </w:tc>
      </w:tr>
      <w:tr w14:paraId="375710D2">
        <w:tblPrEx>
          <w:tblCellMar>
            <w:top w:w="0" w:type="dxa"/>
            <w:left w:w="108" w:type="dxa"/>
            <w:bottom w:w="0" w:type="dxa"/>
            <w:right w:w="108" w:type="dxa"/>
          </w:tblCellMar>
        </w:tblPrEx>
        <w:trPr>
          <w:trHeight w:val="1007" w:hRule="atLeast"/>
          <w:jc w:val="center"/>
        </w:trPr>
        <w:tc>
          <w:tcPr>
            <w:tcW w:w="2550" w:type="dxa"/>
            <w:tcBorders>
              <w:top w:val="single" w:color="888888" w:sz="6" w:space="0"/>
              <w:left w:val="single" w:color="888888" w:sz="6" w:space="0"/>
              <w:bottom w:val="single" w:color="888888" w:sz="6" w:space="0"/>
              <w:right w:val="single" w:color="888888" w:sz="6" w:space="0"/>
            </w:tcBorders>
            <w:vAlign w:val="top"/>
          </w:tcPr>
          <w:p w14:paraId="5F79A249">
            <w:r>
              <w:rPr>
                <w:b/>
                <w:color w:val="222222"/>
                <w:sz w:val="20"/>
              </w:rPr>
              <w:t>Automated Document Classification</w:t>
            </w:r>
          </w:p>
        </w:tc>
        <w:tc>
          <w:tcPr>
            <w:tcW w:w="2550" w:type="dxa"/>
            <w:tcBorders>
              <w:top w:val="single" w:color="888888" w:sz="6" w:space="0"/>
              <w:left w:val="single" w:color="888888" w:sz="6" w:space="0"/>
              <w:bottom w:val="single" w:color="888888" w:sz="6" w:space="0"/>
              <w:right w:val="single" w:color="888888" w:sz="6" w:space="0"/>
            </w:tcBorders>
            <w:vAlign w:val="top"/>
          </w:tcPr>
          <w:p w14:paraId="317ABD85">
            <w:pPr>
              <w:keepNext w:val="0"/>
              <w:keepLines w:val="0"/>
              <w:pageBreakBefore w:val="0"/>
              <w:widowControl/>
              <w:kinsoku/>
              <w:wordWrap/>
              <w:overflowPunct/>
              <w:topLinePunct w:val="0"/>
              <w:autoSpaceDE/>
              <w:autoSpaceDN/>
              <w:bidi w:val="0"/>
              <w:adjustRightInd/>
              <w:snapToGrid/>
              <w:spacing w:line="288" w:lineRule="auto"/>
              <w:textAlignment w:val="auto"/>
            </w:pPr>
            <w:r>
              <w:rPr>
                <w:rFonts w:hint="default" w:eastAsia="宋体" w:cs="宋体" w:asciiTheme="minorAscii" w:hAnsiTheme="minorAscii"/>
                <w:sz w:val="21"/>
                <w:szCs w:val="21"/>
              </w:rPr>
              <w:t>≥95%</w:t>
            </w:r>
          </w:p>
        </w:tc>
        <w:tc>
          <w:tcPr>
            <w:tcW w:w="2550" w:type="dxa"/>
            <w:tcBorders>
              <w:top w:val="single" w:color="888888" w:sz="6" w:space="0"/>
              <w:left w:val="single" w:color="888888" w:sz="6" w:space="0"/>
              <w:bottom w:val="single" w:color="888888" w:sz="6" w:space="0"/>
              <w:right w:val="single" w:color="888888" w:sz="6" w:space="0"/>
            </w:tcBorders>
            <w:vAlign w:val="top"/>
          </w:tcPr>
          <w:p w14:paraId="397825A9">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heme="minorAscii" w:hAnsiTheme="minorAscii"/>
                <w:sz w:val="21"/>
                <w:szCs w:val="21"/>
              </w:rPr>
            </w:pPr>
            <w:r>
              <w:rPr>
                <w:rFonts w:hint="default" w:eastAsia="宋体" w:cs="宋体" w:asciiTheme="minorAscii" w:hAnsiTheme="minorAscii"/>
                <w:sz w:val="21"/>
                <w:szCs w:val="21"/>
              </w:rPr>
              <w:t>Business-level accuracy: correct classification of document type + pass/fail completeness judgment conforming to ImmD business rules</w:t>
            </w:r>
          </w:p>
        </w:tc>
        <w:tc>
          <w:tcPr>
            <w:tcW w:w="2550" w:type="dxa"/>
            <w:tcBorders>
              <w:top w:val="single" w:color="888888" w:sz="6" w:space="0"/>
              <w:left w:val="single" w:color="888888" w:sz="6" w:space="0"/>
              <w:bottom w:val="single" w:color="888888" w:sz="6" w:space="0"/>
              <w:right w:val="single" w:color="888888" w:sz="6" w:space="0"/>
            </w:tcBorders>
            <w:vAlign w:val="top"/>
          </w:tcPr>
          <w:p w14:paraId="6DAA6B37">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heme="minorAscii" w:hAnsiTheme="minorAscii"/>
                <w:sz w:val="21"/>
                <w:szCs w:val="21"/>
              </w:rPr>
            </w:pPr>
            <w:r>
              <w:rPr>
                <w:rFonts w:hint="default" w:eastAsia="宋体" w:cs="宋体" w:asciiTheme="minorAscii" w:hAnsiTheme="minorAscii"/>
                <w:sz w:val="21"/>
                <w:szCs w:val="21"/>
              </w:rPr>
              <w:t>Adopt dedicated test set covering full FDH attachment scenarios (more than 5,000 sample cases); evaluate by Precision, Recall and F1-Score; calculate pass rate of business rule compliance.</w:t>
            </w:r>
          </w:p>
        </w:tc>
      </w:tr>
    </w:tbl>
    <w:p w14:paraId="0C02A8D8"/>
    <w:p w14:paraId="04D87E48">
      <w:r>
        <w:br w:type="page"/>
      </w:r>
    </w:p>
    <w:p w14:paraId="24E96EDD">
      <w:pPr>
        <w:spacing w:before="440" w:after="80"/>
      </w:pPr>
      <w:r>
        <w:rPr>
          <w:b/>
          <w:color w:val="003D7A"/>
          <w:sz w:val="32"/>
        </w:rPr>
        <w:t>3. Intelligent Data Verification（智能數據核驗）</w:t>
      </w:r>
    </w:p>
    <w:p w14:paraId="7B387A2C">
      <w:pPr>
        <w:spacing w:after="80"/>
      </w:pPr>
      <w:r>
        <w:rPr>
          <w:i/>
          <w:color w:val="555555"/>
          <w:sz w:val="19"/>
        </w:rPr>
        <w:t>[ Annex I Table 1 — Data Verification · RFI 4.2.2 ]</w:t>
      </w:r>
    </w:p>
    <w:tbl>
      <w:tblPr>
        <w:tblStyle w:val="32"/>
        <w:tblW w:w="0" w:type="auto"/>
        <w:jc w:val="center"/>
        <w:tblLayout w:type="fixed"/>
        <w:tblCellMar>
          <w:top w:w="0" w:type="dxa"/>
          <w:left w:w="108" w:type="dxa"/>
          <w:bottom w:w="0" w:type="dxa"/>
          <w:right w:w="108" w:type="dxa"/>
        </w:tblCellMar>
      </w:tblPr>
      <w:tblGrid>
        <w:gridCol w:w="10200"/>
      </w:tblGrid>
      <w:tr w14:paraId="11887425">
        <w:tblPrEx>
          <w:tblCellMar>
            <w:top w:w="0" w:type="dxa"/>
            <w:left w:w="108" w:type="dxa"/>
            <w:bottom w:w="0" w:type="dxa"/>
            <w:right w:w="108" w:type="dxa"/>
          </w:tblCellMar>
        </w:tblPrEx>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614354AA">
            <w:pPr>
              <w:spacing w:after="80"/>
            </w:pPr>
            <w:r>
              <w:rPr>
                <w:b/>
                <w:color w:val="003D7A"/>
                <w:sz w:val="18"/>
              </w:rPr>
              <w:t>Annex I Table 1 — Original (English):</w:t>
            </w:r>
          </w:p>
          <w:p w14:paraId="7CF37D0F">
            <w:pPr>
              <w:spacing w:after="40"/>
            </w:pPr>
            <w:r>
              <w:rPr>
                <w:i/>
                <w:color w:val="333333"/>
                <w:sz w:val="19"/>
              </w:rPr>
              <w:t>Intelligent Data Verification</w:t>
            </w:r>
          </w:p>
          <w:p w14:paraId="4A003BB5">
            <w:pPr>
              <w:spacing w:after="40"/>
            </w:pPr>
            <w:r>
              <w:rPr>
                <w:i/>
                <w:color w:val="333333"/>
                <w:sz w:val="19"/>
              </w:rPr>
              <w:t>• Description of the AI technologies and algorithms employed to extract data from application-related documents and visual data;</w:t>
            </w:r>
          </w:p>
          <w:p w14:paraId="1F00C47C">
            <w:pPr>
              <w:spacing w:after="40"/>
            </w:pPr>
            <w:r>
              <w:rPr>
                <w:i/>
                <w:color w:val="333333"/>
                <w:sz w:val="19"/>
              </w:rPr>
              <w:t>• Description of the AI technologies and algorithms employed to cross-check data from application-related documents and visual data against other structured data;</w:t>
            </w:r>
          </w:p>
          <w:p w14:paraId="703D64F7">
            <w:pPr>
              <w:spacing w:after="40"/>
            </w:pPr>
            <w:r>
              <w:rPr>
                <w:i/>
                <w:color w:val="333333"/>
                <w:sz w:val="19"/>
              </w:rPr>
              <w:t>• Description on the Proposed Solution of the technical design illustrating the end-to-end process — from data extraction, data comparison, verification and irregularity detection and delivering the result;</w:t>
            </w:r>
          </w:p>
          <w:p w14:paraId="7415A009">
            <w:pPr>
              <w:spacing w:after="40"/>
            </w:pPr>
            <w:r>
              <w:rPr>
                <w:i/>
                <w:color w:val="333333"/>
                <w:sz w:val="19"/>
              </w:rPr>
              <w:t>• Description of the proposed accuracy rate for the AI solution and the method to calculate / determine the accuracy rate.</w:t>
            </w:r>
          </w:p>
        </w:tc>
      </w:tr>
      <w:tr w14:paraId="5113AA5D">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463A0505">
            <w:pPr>
              <w:spacing w:after="80"/>
            </w:pPr>
            <w:r>
              <w:rPr>
                <w:b/>
                <w:color w:val="3A5A00"/>
                <w:sz w:val="18"/>
              </w:rPr>
              <w:t>中文解釋 (CMHK reference)：</w:t>
            </w:r>
          </w:p>
          <w:p w14:paraId="64B21597">
            <w:pPr>
              <w:spacing w:after="40"/>
            </w:pPr>
            <w:r>
              <w:rPr>
                <w:i/>
                <w:color w:val="333333"/>
                <w:sz w:val="19"/>
              </w:rPr>
              <w:t>智能數據核驗</w:t>
            </w:r>
          </w:p>
          <w:p w14:paraId="469D1521">
            <w:pPr>
              <w:spacing w:after="40"/>
            </w:pPr>
            <w:r>
              <w:rPr>
                <w:i/>
                <w:color w:val="333333"/>
                <w:sz w:val="19"/>
              </w:rPr>
              <w:t>• 描述用於從申請文件與圖像資料抽取資料之 AI 技術與算法</w:t>
            </w:r>
          </w:p>
          <w:p w14:paraId="19182D99">
            <w:pPr>
              <w:spacing w:after="40"/>
            </w:pPr>
            <w:r>
              <w:rPr>
                <w:i/>
                <w:color w:val="333333"/>
                <w:sz w:val="19"/>
              </w:rPr>
              <w:t>• 描述用於將申請文件 / 圖像資料與其他結構化資料進行交叉比對之 AI 技術與算法</w:t>
            </w:r>
          </w:p>
          <w:p w14:paraId="491330D8">
            <w:pPr>
              <w:spacing w:after="40"/>
            </w:pPr>
            <w:r>
              <w:rPr>
                <w:i/>
                <w:color w:val="333333"/>
                <w:sz w:val="19"/>
              </w:rPr>
              <w:t>• 描述方案技術設計，呈現端到端流程（抽取 → 比對 → 驗證 → 異常偵測 → 結果交付）</w:t>
            </w:r>
          </w:p>
          <w:p w14:paraId="2DB68D5F">
            <w:pPr>
              <w:spacing w:after="40"/>
            </w:pPr>
            <w:r>
              <w:rPr>
                <w:i/>
                <w:color w:val="333333"/>
                <w:sz w:val="19"/>
              </w:rPr>
              <w:t>• 描述貴方建議的 AI 方案準確率及計算 / 判定方法</w:t>
            </w:r>
          </w:p>
        </w:tc>
      </w:tr>
    </w:tbl>
    <w:p w14:paraId="7F80A76F"/>
    <w:tbl>
      <w:tblPr>
        <w:tblStyle w:val="32"/>
        <w:tblW w:w="0" w:type="auto"/>
        <w:jc w:val="center"/>
        <w:tblLayout w:type="fixed"/>
        <w:tblCellMar>
          <w:top w:w="0" w:type="dxa"/>
          <w:left w:w="108" w:type="dxa"/>
          <w:bottom w:w="0" w:type="dxa"/>
          <w:right w:w="108" w:type="dxa"/>
        </w:tblCellMar>
      </w:tblPr>
      <w:tblGrid>
        <w:gridCol w:w="10200"/>
      </w:tblGrid>
      <w:tr w14:paraId="04C56720">
        <w:tblPrEx>
          <w:tblCellMar>
            <w:top w:w="0" w:type="dxa"/>
            <w:left w:w="108" w:type="dxa"/>
            <w:bottom w:w="0" w:type="dxa"/>
            <w:right w:w="108" w:type="dxa"/>
          </w:tblCellMar>
        </w:tblPrEx>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2F422CB7">
            <w:pPr>
              <w:spacing w:after="80"/>
            </w:pPr>
            <w:r>
              <w:rPr>
                <w:b/>
                <w:color w:val="003D7A"/>
                <w:sz w:val="18"/>
              </w:rPr>
              <w:t>RFI 4.2.2 — Original (English):</w:t>
            </w:r>
          </w:p>
          <w:p w14:paraId="6D61B981">
            <w:pPr>
              <w:spacing w:after="40"/>
            </w:pPr>
            <w:r>
              <w:rPr>
                <w:i/>
                <w:color w:val="333333"/>
                <w:sz w:val="19"/>
              </w:rPr>
              <w:t>4.2.2 Intelligent Data Verification</w:t>
            </w:r>
          </w:p>
          <w:p w14:paraId="62EEEA27">
            <w:pPr>
              <w:spacing w:after="40"/>
            </w:pPr>
            <w:r>
              <w:rPr>
                <w:i/>
                <w:color w:val="333333"/>
                <w:sz w:val="19"/>
              </w:rPr>
              <w:t>4.2.2.1 Shall be able to extract information from unstructured data such as documents and images,</w:t>
            </w:r>
          </w:p>
          <w:p w14:paraId="1C934B3E">
            <w:pPr>
              <w:spacing w:after="40"/>
            </w:pPr>
            <w:r>
              <w:rPr>
                <w:i/>
                <w:color w:val="333333"/>
                <w:sz w:val="19"/>
              </w:rPr>
              <w:t>4.2.2.2 Shall be able to cross-reference the extracted information and other structured data provided by applicants, and automatically identify inconsistencies or incomplete data.</w:t>
            </w:r>
          </w:p>
          <w:p w14:paraId="046CBAA9">
            <w:pPr>
              <w:spacing w:after="40"/>
            </w:pPr>
            <w:r>
              <w:rPr>
                <w:i/>
                <w:color w:val="333333"/>
                <w:sz w:val="19"/>
              </w:rPr>
              <w:t>4.2.2.3 Shall be able to check and identify any incomplete problematic or irregular contents according to business/workflow logic, such as identifying incomplete information, unclear stamps, etc</w:t>
            </w:r>
          </w:p>
          <w:p w14:paraId="45A752AE">
            <w:pPr>
              <w:spacing w:after="40"/>
            </w:pPr>
            <w:r>
              <w:rPr>
                <w:i/>
                <w:color w:val="333333"/>
                <w:sz w:val="19"/>
              </w:rPr>
              <w:t>4.2.2.4 Shall be able to crop / highlight the unstructured data in original copy for user to check the problematic or irregular contents</w:t>
            </w:r>
          </w:p>
          <w:p w14:paraId="1F1403DE">
            <w:pPr>
              <w:spacing w:after="40"/>
            </w:pPr>
            <w:r>
              <w:rPr>
                <w:i/>
                <w:color w:val="333333"/>
                <w:sz w:val="19"/>
              </w:rPr>
              <w:t>4.2.2.5 Shall generate and export related statistics data and reports</w:t>
            </w:r>
          </w:p>
        </w:tc>
      </w:tr>
      <w:tr w14:paraId="18C85D1D">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5FB6A027">
            <w:pPr>
              <w:spacing w:after="80"/>
            </w:pPr>
            <w:r>
              <w:rPr>
                <w:b/>
                <w:color w:val="3A5A00"/>
                <w:sz w:val="18"/>
              </w:rPr>
              <w:t>中文解釋 (CMHK reference)：</w:t>
            </w:r>
          </w:p>
          <w:p w14:paraId="231BE836">
            <w:pPr>
              <w:spacing w:after="40"/>
            </w:pPr>
            <w:r>
              <w:rPr>
                <w:i/>
                <w:color w:val="333333"/>
                <w:sz w:val="19"/>
              </w:rPr>
              <w:t>4.2.2 智能數據核驗</w:t>
            </w:r>
          </w:p>
          <w:p w14:paraId="07D79243">
            <w:pPr>
              <w:spacing w:after="40"/>
            </w:pPr>
            <w:r>
              <w:rPr>
                <w:i/>
                <w:color w:val="333333"/>
                <w:sz w:val="19"/>
              </w:rPr>
              <w:t>4.2.2.1 應能從非結構化資料（如文件、圖像）抽取資訊</w:t>
            </w:r>
          </w:p>
          <w:p w14:paraId="647463FE">
            <w:pPr>
              <w:spacing w:after="40"/>
            </w:pPr>
            <w:r>
              <w:rPr>
                <w:i/>
                <w:color w:val="333333"/>
                <w:sz w:val="19"/>
              </w:rPr>
              <w:t>4.2.2.2 應將抽取資訊與申請人提供之其他結構化資料交叉比對，並自動識別不一致或不完整之資料</w:t>
            </w:r>
          </w:p>
          <w:p w14:paraId="309D9091">
            <w:pPr>
              <w:spacing w:after="40"/>
            </w:pPr>
            <w:r>
              <w:rPr>
                <w:i/>
                <w:color w:val="333333"/>
                <w:sz w:val="19"/>
              </w:rPr>
              <w:t>4.2.2.3 應根據業務 / 工作流邏輯，檢查並識別不完整、問題或異常內容（如不完整資訊、模糊印章等）</w:t>
            </w:r>
          </w:p>
          <w:p w14:paraId="4C5DB07E">
            <w:pPr>
              <w:spacing w:after="40"/>
            </w:pPr>
            <w:r>
              <w:rPr>
                <w:i/>
                <w:color w:val="333333"/>
                <w:sz w:val="19"/>
              </w:rPr>
              <w:t>4.2.2.4 應能在原始文件中對非結構化資料進行 crop / 高亮，供使用者檢查問題或異常內容</w:t>
            </w:r>
          </w:p>
          <w:p w14:paraId="11AC87D1">
            <w:pPr>
              <w:spacing w:after="40"/>
            </w:pPr>
            <w:r>
              <w:rPr>
                <w:i/>
                <w:color w:val="333333"/>
                <w:sz w:val="19"/>
              </w:rPr>
              <w:t>4.2.2.5 應生成並匯出相關統計資料與報表</w:t>
            </w:r>
          </w:p>
        </w:tc>
      </w:tr>
    </w:tbl>
    <w:p w14:paraId="1B2C58A8"/>
    <w:p w14:paraId="35635126">
      <w:pPr>
        <w:spacing w:before="280" w:after="80"/>
      </w:pPr>
      <w:r>
        <w:rPr>
          <w:b/>
          <w:color w:val="003D7A"/>
          <w:sz w:val="26"/>
        </w:rPr>
        <w:t>3.1 AI Tech — Data Extraction</w:t>
      </w:r>
    </w:p>
    <w:p w14:paraId="36CCF6B9">
      <w:pPr>
        <w:spacing w:after="60"/>
        <w:ind w:left="360"/>
      </w:pPr>
      <w:r>
        <w:rPr>
          <w:color w:val="222222"/>
          <w:sz w:val="20"/>
        </w:rPr>
        <w:t>• AI tech &amp; algorithms for extracting data from documents / visual data (OCR + Layout + field extraction)</w:t>
      </w:r>
    </w:p>
    <w:tbl>
      <w:tblPr>
        <w:tblStyle w:val="32"/>
        <w:tblW w:w="0" w:type="auto"/>
        <w:jc w:val="center"/>
        <w:tblLayout w:type="fixed"/>
        <w:tblCellMar>
          <w:top w:w="0" w:type="dxa"/>
          <w:left w:w="108" w:type="dxa"/>
          <w:bottom w:w="0" w:type="dxa"/>
          <w:right w:w="108" w:type="dxa"/>
        </w:tblCellMar>
      </w:tblPr>
      <w:tblGrid>
        <w:gridCol w:w="10200"/>
      </w:tblGrid>
      <w:tr w14:paraId="5B035E94">
        <w:tblPrEx>
          <w:tblCellMar>
            <w:top w:w="0" w:type="dxa"/>
            <w:left w:w="108" w:type="dxa"/>
            <w:bottom w:w="0" w:type="dxa"/>
            <w:right w:w="108" w:type="dxa"/>
          </w:tblCellMar>
        </w:tblPrEx>
        <w:trPr>
          <w:trHeight w:val="2880" w:hRule="atLeast"/>
          <w:jc w:val="center"/>
        </w:trPr>
        <w:tc>
          <w:tcPr>
            <w:tcW w:w="10200" w:type="dxa"/>
            <w:tcBorders>
              <w:top w:val="single" w:color="888888" w:sz="6" w:space="0"/>
              <w:left w:val="single" w:color="888888" w:sz="6" w:space="0"/>
              <w:bottom w:val="single" w:color="888888" w:sz="6" w:space="0"/>
              <w:right w:val="single" w:color="888888" w:sz="6" w:space="0"/>
            </w:tcBorders>
          </w:tcPr>
          <w:p w14:paraId="19F0A24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eastAsia="宋体" w:cs="宋体" w:asciiTheme="minorAscii" w:hAnsiTheme="minorAscii"/>
                <w:sz w:val="21"/>
                <w:szCs w:val="21"/>
              </w:rPr>
            </w:pPr>
            <w:r>
              <w:rPr>
                <w:rFonts w:hint="default" w:eastAsia="宋体" w:cs="宋体" w:asciiTheme="minorAscii" w:hAnsiTheme="minorAscii"/>
                <w:sz w:val="21"/>
                <w:szCs w:val="21"/>
              </w:rPr>
              <w:t>Adopt Layout-aware OCR + Key Field Extraction Model + Multimodal Text Location Technology.</w:t>
            </w:r>
          </w:p>
          <w:p w14:paraId="0CEEAF8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eastAsia="宋体" w:cs="宋体" w:asciiTheme="minorAscii" w:hAnsiTheme="minorAscii"/>
                <w:sz w:val="21"/>
                <w:szCs w:val="21"/>
              </w:rPr>
            </w:pPr>
            <w:r>
              <w:rPr>
                <w:color w:val="222222"/>
                <w:sz w:val="21"/>
                <w:szCs w:val="21"/>
              </w:rPr>
              <w:t>•</w:t>
            </w:r>
            <w:r>
              <w:rPr>
                <w:rFonts w:hint="default" w:eastAsia="宋体" w:cs="宋体" w:asciiTheme="minorAscii" w:hAnsiTheme="minorAscii"/>
                <w:sz w:val="21"/>
                <w:szCs w:val="21"/>
              </w:rPr>
              <w:t xml:space="preserve"> Recognize and structure unstructured content from passport, ID form, employment contract, bank statement and other attachments.</w:t>
            </w:r>
          </w:p>
          <w:p w14:paraId="43574AE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eastAsia="宋体" w:cs="宋体" w:asciiTheme="minorAscii" w:hAnsiTheme="minorAscii"/>
                <w:sz w:val="21"/>
                <w:szCs w:val="21"/>
              </w:rPr>
            </w:pPr>
            <w:r>
              <w:rPr>
                <w:color w:val="222222"/>
                <w:sz w:val="21"/>
                <w:szCs w:val="21"/>
              </w:rPr>
              <w:t>•</w:t>
            </w:r>
            <w:r>
              <w:rPr>
                <w:rFonts w:hint="default" w:eastAsia="宋体" w:cs="宋体" w:asciiTheme="minorAscii" w:hAnsiTheme="minorAscii"/>
                <w:sz w:val="21"/>
                <w:szCs w:val="21"/>
              </w:rPr>
              <w:t xml:space="preserve"> Support tilted document correction, watermark removal, seal area detection and blurred text enhancement.</w:t>
            </w:r>
          </w:p>
          <w:p w14:paraId="7B58C1E5">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color w:val="222222"/>
                <w:sz w:val="21"/>
                <w:szCs w:val="21"/>
              </w:rPr>
              <w:t>•</w:t>
            </w:r>
            <w:r>
              <w:rPr>
                <w:rFonts w:hint="default" w:eastAsia="宋体" w:cs="宋体" w:asciiTheme="minorAscii" w:hAnsiTheme="minorAscii"/>
                <w:sz w:val="21"/>
                <w:szCs w:val="21"/>
              </w:rPr>
              <w:t xml:space="preserve"> Extract standard key fields such as name, passport number, salary amount, contract period, employer information and personal identity with fixed field positioning logic.</w:t>
            </w:r>
          </w:p>
        </w:tc>
      </w:tr>
    </w:tbl>
    <w:p w14:paraId="4AC21ACF"/>
    <w:p w14:paraId="0D60BDE9">
      <w:pPr>
        <w:spacing w:before="280" w:after="80"/>
      </w:pPr>
      <w:r>
        <w:rPr>
          <w:b/>
          <w:color w:val="003D7A"/>
          <w:sz w:val="26"/>
        </w:rPr>
        <w:t>3.2 AI Tech — Cross-Check</w:t>
      </w:r>
    </w:p>
    <w:p w14:paraId="668039CC">
      <w:pPr>
        <w:spacing w:after="60"/>
        <w:ind w:left="360"/>
      </w:pPr>
      <w:r>
        <w:rPr>
          <w:color w:val="222222"/>
          <w:sz w:val="20"/>
        </w:rPr>
        <w:t>• AI tech &amp; algorithms for cross-checking extracted data against other structured data (rule engine + LLM)</w:t>
      </w:r>
    </w:p>
    <w:p w14:paraId="7CE36494">
      <w:pPr>
        <w:spacing w:after="60"/>
        <w:ind w:left="360"/>
      </w:pPr>
      <w:r>
        <w:rPr>
          <w:color w:val="222222"/>
          <w:sz w:val="20"/>
        </w:rPr>
        <w:t>• FDH example: passport name ↔ ID 988A ↔ bank statement name; salary ≥ HKD 4,990; 24-month contract; employer is individual</w:t>
      </w:r>
    </w:p>
    <w:tbl>
      <w:tblPr>
        <w:tblStyle w:val="32"/>
        <w:tblW w:w="0" w:type="auto"/>
        <w:jc w:val="center"/>
        <w:tblLayout w:type="fixed"/>
        <w:tblCellMar>
          <w:top w:w="0" w:type="dxa"/>
          <w:left w:w="108" w:type="dxa"/>
          <w:bottom w:w="0" w:type="dxa"/>
          <w:right w:w="108" w:type="dxa"/>
        </w:tblCellMar>
      </w:tblPr>
      <w:tblGrid>
        <w:gridCol w:w="10200"/>
      </w:tblGrid>
      <w:tr w14:paraId="06C83CC7">
        <w:tblPrEx>
          <w:tblCellMar>
            <w:top w:w="0" w:type="dxa"/>
            <w:left w:w="108" w:type="dxa"/>
            <w:bottom w:w="0" w:type="dxa"/>
            <w:right w:w="108" w:type="dxa"/>
          </w:tblCellMar>
        </w:tblPrEx>
        <w:trPr>
          <w:trHeight w:val="2880" w:hRule="atLeast"/>
          <w:jc w:val="center"/>
        </w:trPr>
        <w:tc>
          <w:tcPr>
            <w:tcW w:w="10200" w:type="dxa"/>
            <w:tcBorders>
              <w:top w:val="single" w:color="888888" w:sz="6" w:space="0"/>
              <w:left w:val="single" w:color="888888" w:sz="6" w:space="0"/>
              <w:bottom w:val="single" w:color="888888" w:sz="6" w:space="0"/>
              <w:right w:val="single" w:color="888888" w:sz="6" w:space="0"/>
            </w:tcBorders>
          </w:tcPr>
          <w:p w14:paraId="625D043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eastAsia="宋体" w:cs="宋体" w:asciiTheme="minorAscii" w:hAnsiTheme="minorAscii"/>
                <w:sz w:val="21"/>
                <w:szCs w:val="21"/>
              </w:rPr>
            </w:pPr>
            <w:r>
              <w:rPr>
                <w:rFonts w:hint="default" w:eastAsia="宋体" w:cs="宋体" w:asciiTheme="minorAscii" w:hAnsiTheme="minorAscii"/>
                <w:sz w:val="21"/>
                <w:szCs w:val="21"/>
              </w:rPr>
              <w:t>Adopt Rule Engine + LLM Semantic Cross-Check + Business Constraint Matching.</w:t>
            </w:r>
          </w:p>
          <w:p w14:paraId="1D9ABA4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eastAsia="宋体" w:cs="宋体" w:asciiTheme="minorAscii" w:hAnsiTheme="minorAscii"/>
                <w:sz w:val="21"/>
                <w:szCs w:val="21"/>
              </w:rPr>
            </w:pPr>
            <w:r>
              <w:rPr>
                <w:color w:val="222222"/>
                <w:sz w:val="21"/>
                <w:szCs w:val="21"/>
              </w:rPr>
              <w:t>•</w:t>
            </w:r>
            <w:r>
              <w:rPr>
                <w:rFonts w:hint="default" w:eastAsia="宋体" w:cs="宋体" w:asciiTheme="minorAscii" w:hAnsiTheme="minorAscii"/>
                <w:sz w:val="21"/>
                <w:szCs w:val="21"/>
              </w:rPr>
              <w:t xml:space="preserve"> Automatically cross-reference extracted document fields with structured application form data provided by applicant.</w:t>
            </w:r>
          </w:p>
          <w:p w14:paraId="1EA2634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eastAsia="宋体" w:cs="宋体" w:asciiTheme="minorAscii" w:hAnsiTheme="minorAscii"/>
                <w:sz w:val="21"/>
                <w:szCs w:val="21"/>
              </w:rPr>
            </w:pPr>
            <w:r>
              <w:rPr>
                <w:color w:val="222222"/>
                <w:sz w:val="21"/>
                <w:szCs w:val="21"/>
              </w:rPr>
              <w:t>•</w:t>
            </w:r>
            <w:r>
              <w:rPr>
                <w:rFonts w:hint="default" w:eastAsia="宋体" w:cs="宋体" w:asciiTheme="minorAscii" w:hAnsiTheme="minorAscii"/>
                <w:sz w:val="21"/>
                <w:szCs w:val="21"/>
              </w:rPr>
              <w:t xml:space="preserve"> Use LLM to conduct semantic consistency verification for name, identity information and address description.</w:t>
            </w:r>
          </w:p>
          <w:p w14:paraId="0DE0E80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eastAsia="宋体" w:cs="宋体" w:asciiTheme="minorAscii" w:hAnsiTheme="minorAscii"/>
                <w:sz w:val="21"/>
                <w:szCs w:val="21"/>
              </w:rPr>
            </w:pPr>
            <w:r>
              <w:rPr>
                <w:color w:val="222222"/>
                <w:sz w:val="21"/>
                <w:szCs w:val="21"/>
              </w:rPr>
              <w:t>•</w:t>
            </w:r>
            <w:r>
              <w:rPr>
                <w:rFonts w:hint="default" w:eastAsia="宋体" w:cs="宋体" w:asciiTheme="minorAscii" w:hAnsiTheme="minorAscii"/>
                <w:sz w:val="21"/>
                <w:szCs w:val="21"/>
              </w:rPr>
              <w:t xml:space="preserve"> Embed ImmD FDH business rules: minimum salary, 24-month valid employment contract, individual employer qualification check and other constraint logic.</w:t>
            </w:r>
          </w:p>
          <w:p w14:paraId="731AA217">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color w:val="222222"/>
                <w:sz w:val="21"/>
                <w:szCs w:val="21"/>
              </w:rPr>
              <w:t>•</w:t>
            </w:r>
            <w:r>
              <w:rPr>
                <w:rFonts w:hint="default" w:eastAsia="宋体" w:cs="宋体" w:asciiTheme="minorAscii" w:hAnsiTheme="minorAscii"/>
                <w:sz w:val="21"/>
                <w:szCs w:val="21"/>
              </w:rPr>
              <w:t xml:space="preserve"> Automatically identify data inconsistency, missing field, logical conflict and non-compliant business content.</w:t>
            </w:r>
          </w:p>
        </w:tc>
      </w:tr>
    </w:tbl>
    <w:p w14:paraId="14B36D13"/>
    <w:p w14:paraId="5E37F7F1">
      <w:pPr>
        <w:spacing w:before="280" w:after="80"/>
      </w:pPr>
      <w:r>
        <w:rPr>
          <w:b/>
          <w:color w:val="003D7A"/>
          <w:sz w:val="26"/>
        </w:rPr>
        <w:t>3.3 End-to-End Technical Design</w:t>
      </w:r>
    </w:p>
    <w:p w14:paraId="77B8EA63">
      <w:pPr>
        <w:spacing w:after="60"/>
        <w:ind w:left="360"/>
      </w:pPr>
      <w:r>
        <w:rPr>
          <w:color w:val="222222"/>
          <w:sz w:val="20"/>
        </w:rPr>
        <w:t>• Extraction → comparison → verification → irregularity detection → result delivery</w:t>
      </w:r>
    </w:p>
    <w:p w14:paraId="1579F5EA">
      <w:pPr>
        <w:spacing w:after="60"/>
        <w:ind w:left="360"/>
      </w:pPr>
      <w:r>
        <w:rPr>
          <w:color w:val="222222"/>
          <w:sz w:val="20"/>
        </w:rPr>
        <w:t>• Crop / highlight of problematic regions inside the Cross-Check Report PDF</w:t>
      </w:r>
    </w:p>
    <w:tbl>
      <w:tblPr>
        <w:tblStyle w:val="32"/>
        <w:tblW w:w="0" w:type="auto"/>
        <w:jc w:val="center"/>
        <w:tblLayout w:type="fixed"/>
        <w:tblCellMar>
          <w:top w:w="0" w:type="dxa"/>
          <w:left w:w="108" w:type="dxa"/>
          <w:bottom w:w="0" w:type="dxa"/>
          <w:right w:w="108" w:type="dxa"/>
        </w:tblCellMar>
      </w:tblPr>
      <w:tblGrid>
        <w:gridCol w:w="10200"/>
      </w:tblGrid>
      <w:tr w14:paraId="2CCBBECB">
        <w:tblPrEx>
          <w:tblCellMar>
            <w:top w:w="0" w:type="dxa"/>
            <w:left w:w="108" w:type="dxa"/>
            <w:bottom w:w="0" w:type="dxa"/>
            <w:right w:w="108" w:type="dxa"/>
          </w:tblCellMar>
        </w:tblPrEx>
        <w:trPr>
          <w:trHeight w:val="2880" w:hRule="atLeast"/>
          <w:jc w:val="center"/>
        </w:trPr>
        <w:tc>
          <w:tcPr>
            <w:tcW w:w="10200" w:type="dxa"/>
            <w:tcBorders>
              <w:top w:val="single" w:color="888888" w:sz="6" w:space="0"/>
              <w:left w:val="single" w:color="888888" w:sz="6" w:space="0"/>
              <w:bottom w:val="single" w:color="888888" w:sz="6" w:space="0"/>
              <w:right w:val="single" w:color="888888" w:sz="6" w:space="0"/>
            </w:tcBorders>
          </w:tcPr>
          <w:p w14:paraId="5A499DB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Full process workflow: </w:t>
            </w:r>
          </w:p>
          <w:p w14:paraId="3068AFB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heme="minorAscii" w:hAnsiTheme="minorAscii"/>
                <w:sz w:val="21"/>
                <w:szCs w:val="21"/>
              </w:rPr>
            </w:pPr>
            <w:r>
              <w:rPr>
                <w:rStyle w:val="135"/>
                <w:rFonts w:hint="default" w:eastAsia="宋体" w:cs="宋体" w:asciiTheme="minorAscii" w:hAnsiTheme="minorAscii"/>
                <w:kern w:val="0"/>
                <w:sz w:val="21"/>
                <w:szCs w:val="21"/>
                <w:lang w:val="en-US" w:eastAsia="zh-CN" w:bidi="ar"/>
              </w:rPr>
              <w:t>Unstructured File Input → Preprocessing &amp; Image Enhancement → OCR Layout Analysis → Key Field Intelligent Extraction → Cross-reference with Structured Application Data → Logical &amp; Business Rule Verification → Irregularity &amp; Inconsistency Detection → Crop &amp; Highlight Problem Area on Original Document → Generate Cross-Check Report → Export Statistics → API Result Delivery</w:t>
            </w:r>
          </w:p>
          <w:p w14:paraId="1BECBFD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All detected abnormal fields and fuzzy seal areas will be framed and highlighted in the original file snapshot, embedded into the output PDF report for officer visual confirmation.</w:t>
            </w:r>
          </w:p>
        </w:tc>
      </w:tr>
    </w:tbl>
    <w:p w14:paraId="49BB22A6"/>
    <w:p w14:paraId="68499000">
      <w:pPr>
        <w:spacing w:before="280" w:after="80"/>
      </w:pPr>
      <w:r>
        <w:rPr>
          <w:b/>
          <w:color w:val="003D7A"/>
          <w:sz w:val="26"/>
        </w:rPr>
        <w:t>3.4 Accuracy Rate &amp; Calculation Method (please propose)</w:t>
      </w:r>
    </w:p>
    <w:p w14:paraId="0FC6756D">
      <w:pPr>
        <w:spacing w:after="120"/>
      </w:pPr>
      <w:r>
        <w:rPr>
          <w:i/>
          <w:color w:val="222222"/>
          <w:sz w:val="20"/>
        </w:rPr>
        <w:t>Please complete: (a) committed accuracy % (b) accuracy definition (e.g. character / word / field / business-level) (c) measurement method (test set size, metrics such as precision / recall / F1).  請填寫：(a) 承諾準確率 % (b) 準確率定義 (c) 量測方法。</w:t>
      </w:r>
    </w:p>
    <w:tbl>
      <w:tblPr>
        <w:tblStyle w:val="32"/>
        <w:tblW w:w="0" w:type="auto"/>
        <w:jc w:val="center"/>
        <w:tblLayout w:type="fixed"/>
        <w:tblCellMar>
          <w:top w:w="0" w:type="dxa"/>
          <w:left w:w="108" w:type="dxa"/>
          <w:bottom w:w="0" w:type="dxa"/>
          <w:right w:w="108" w:type="dxa"/>
        </w:tblCellMar>
      </w:tblPr>
      <w:tblGrid>
        <w:gridCol w:w="2550"/>
        <w:gridCol w:w="2550"/>
        <w:gridCol w:w="2550"/>
        <w:gridCol w:w="2550"/>
      </w:tblGrid>
      <w:tr w14:paraId="216F32C0">
        <w:tblPrEx>
          <w:tblCellMar>
            <w:top w:w="0" w:type="dxa"/>
            <w:left w:w="108" w:type="dxa"/>
            <w:bottom w:w="0" w:type="dxa"/>
            <w:right w:w="108" w:type="dxa"/>
          </w:tblCellMar>
        </w:tblPrEx>
        <w:trPr>
          <w:trHeight w:val="576" w:hRule="atLeast"/>
          <w:jc w:val="center"/>
        </w:trPr>
        <w:tc>
          <w:tcPr>
            <w:tcW w:w="2550" w:type="dxa"/>
            <w:shd w:val="clear" w:color="auto" w:fill="003D7A"/>
            <w:vAlign w:val="center"/>
          </w:tcPr>
          <w:p w14:paraId="52E7A0C6">
            <w:r>
              <w:rPr>
                <w:b/>
                <w:color w:val="FFFFFF"/>
                <w:sz w:val="20"/>
              </w:rPr>
              <w:t>AI Function</w:t>
            </w:r>
          </w:p>
        </w:tc>
        <w:tc>
          <w:tcPr>
            <w:tcW w:w="2550" w:type="dxa"/>
            <w:shd w:val="clear" w:color="auto" w:fill="003D7A"/>
            <w:vAlign w:val="center"/>
          </w:tcPr>
          <w:p w14:paraId="553CD941">
            <w:r>
              <w:rPr>
                <w:b/>
                <w:color w:val="FFFFFF"/>
                <w:sz w:val="20"/>
              </w:rPr>
              <w:t>Committed Accuracy (%)</w:t>
            </w:r>
          </w:p>
        </w:tc>
        <w:tc>
          <w:tcPr>
            <w:tcW w:w="2550" w:type="dxa"/>
            <w:shd w:val="clear" w:color="auto" w:fill="003D7A"/>
            <w:vAlign w:val="center"/>
          </w:tcPr>
          <w:p w14:paraId="2E03F4D0">
            <w:r>
              <w:rPr>
                <w:b/>
                <w:color w:val="FFFFFF"/>
                <w:sz w:val="20"/>
              </w:rPr>
              <w:t>Accuracy Definition</w:t>
            </w:r>
          </w:p>
        </w:tc>
        <w:tc>
          <w:tcPr>
            <w:tcW w:w="2550" w:type="dxa"/>
            <w:shd w:val="clear" w:color="auto" w:fill="003D7A"/>
            <w:vAlign w:val="center"/>
          </w:tcPr>
          <w:p w14:paraId="208DA6EE">
            <w:r>
              <w:rPr>
                <w:b/>
                <w:color w:val="FFFFFF"/>
                <w:sz w:val="20"/>
              </w:rPr>
              <w:t>Measurement Method</w:t>
            </w:r>
          </w:p>
        </w:tc>
      </w:tr>
      <w:tr w14:paraId="02D80D67">
        <w:tblPrEx>
          <w:tblCellMar>
            <w:top w:w="0" w:type="dxa"/>
            <w:left w:w="108" w:type="dxa"/>
            <w:bottom w:w="0" w:type="dxa"/>
            <w:right w:w="108" w:type="dxa"/>
          </w:tblCellMar>
        </w:tblPrEx>
        <w:trPr>
          <w:trHeight w:val="1007" w:hRule="atLeast"/>
          <w:jc w:val="center"/>
        </w:trPr>
        <w:tc>
          <w:tcPr>
            <w:tcW w:w="2550" w:type="dxa"/>
            <w:tcBorders>
              <w:top w:val="single" w:color="888888" w:sz="6" w:space="0"/>
              <w:left w:val="single" w:color="888888" w:sz="6" w:space="0"/>
              <w:bottom w:val="single" w:color="888888" w:sz="6" w:space="0"/>
              <w:right w:val="single" w:color="888888" w:sz="6" w:space="0"/>
            </w:tcBorders>
            <w:vAlign w:val="top"/>
          </w:tcPr>
          <w:p w14:paraId="1D66CDD6">
            <w:r>
              <w:rPr>
                <w:b/>
                <w:color w:val="222222"/>
                <w:sz w:val="20"/>
              </w:rPr>
              <w:t>Intelligent Data Verification</w:t>
            </w:r>
          </w:p>
        </w:tc>
        <w:tc>
          <w:tcPr>
            <w:tcW w:w="2550" w:type="dxa"/>
            <w:tcBorders>
              <w:top w:val="single" w:color="888888" w:sz="6" w:space="0"/>
              <w:left w:val="single" w:color="888888" w:sz="6" w:space="0"/>
              <w:bottom w:val="single" w:color="888888" w:sz="6" w:space="0"/>
              <w:right w:val="single" w:color="888888" w:sz="6" w:space="0"/>
            </w:tcBorders>
            <w:vAlign w:val="top"/>
          </w:tcPr>
          <w:p w14:paraId="545F302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≥9</w:t>
            </w:r>
            <w:r>
              <w:rPr>
                <w:rFonts w:hint="eastAsia" w:eastAsia="宋体" w:cs="宋体" w:asciiTheme="minorAscii" w:hAnsiTheme="minorAscii"/>
                <w:kern w:val="0"/>
                <w:sz w:val="21"/>
                <w:szCs w:val="21"/>
                <w:lang w:val="en-US" w:eastAsia="zh-CN" w:bidi="ar"/>
              </w:rPr>
              <w:t>0</w:t>
            </w:r>
            <w:r>
              <w:rPr>
                <w:rFonts w:hint="default" w:eastAsia="宋体" w:cs="宋体" w:asciiTheme="minorAscii" w:hAnsiTheme="minorAscii"/>
                <w:kern w:val="0"/>
                <w:sz w:val="21"/>
                <w:szCs w:val="21"/>
                <w:lang w:val="en-US" w:eastAsia="zh-CN" w:bidi="ar"/>
              </w:rPr>
              <w:t>%</w:t>
            </w:r>
          </w:p>
        </w:tc>
        <w:tc>
          <w:tcPr>
            <w:tcW w:w="2550" w:type="dxa"/>
            <w:tcBorders>
              <w:top w:val="single" w:color="888888" w:sz="6" w:space="0"/>
              <w:left w:val="single" w:color="888888" w:sz="6" w:space="0"/>
              <w:bottom w:val="single" w:color="888888" w:sz="6" w:space="0"/>
              <w:right w:val="single" w:color="888888" w:sz="6" w:space="0"/>
            </w:tcBorders>
            <w:vAlign w:val="top"/>
          </w:tcPr>
          <w:p w14:paraId="0331241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Field-level extraction accuracy + business-level cross-check compliance accuracy</w:t>
            </w:r>
          </w:p>
        </w:tc>
        <w:tc>
          <w:tcPr>
            <w:tcW w:w="2550" w:type="dxa"/>
            <w:tcBorders>
              <w:top w:val="single" w:color="888888" w:sz="6" w:space="0"/>
              <w:left w:val="single" w:color="888888" w:sz="6" w:space="0"/>
              <w:bottom w:val="single" w:color="888888" w:sz="6" w:space="0"/>
              <w:right w:val="single" w:color="888888" w:sz="6" w:space="0"/>
            </w:tcBorders>
            <w:vAlign w:val="top"/>
          </w:tcPr>
          <w:p w14:paraId="0A577DA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Test set covers full field types and abnormal samples (over 5,000 cases); index includes field extraction accuracy, inconsistency detection recall rate and false alarm rate control.</w:t>
            </w:r>
          </w:p>
        </w:tc>
      </w:tr>
    </w:tbl>
    <w:p w14:paraId="3B01446F"/>
    <w:p w14:paraId="440307CB">
      <w:r>
        <w:br w:type="page"/>
      </w:r>
    </w:p>
    <w:p w14:paraId="4E550B5D">
      <w:pPr>
        <w:spacing w:before="440" w:after="80"/>
      </w:pPr>
      <w:r>
        <w:rPr>
          <w:b/>
          <w:color w:val="003D7A"/>
          <w:sz w:val="32"/>
        </w:rPr>
        <w:t>4. Intelligent Minutes Drafting（智能 Minutes 草擬）</w:t>
      </w:r>
    </w:p>
    <w:p w14:paraId="0DFCC93E">
      <w:pPr>
        <w:spacing w:after="80"/>
      </w:pPr>
      <w:r>
        <w:rPr>
          <w:i/>
          <w:color w:val="555555"/>
          <w:sz w:val="19"/>
        </w:rPr>
        <w:t>[ Annex I Table 1 — Minutes Drafting · RFI 4.2.3 ]</w:t>
      </w:r>
    </w:p>
    <w:tbl>
      <w:tblPr>
        <w:tblStyle w:val="32"/>
        <w:tblW w:w="0" w:type="auto"/>
        <w:jc w:val="center"/>
        <w:tblLayout w:type="fixed"/>
        <w:tblCellMar>
          <w:top w:w="0" w:type="dxa"/>
          <w:left w:w="108" w:type="dxa"/>
          <w:bottom w:w="0" w:type="dxa"/>
          <w:right w:w="108" w:type="dxa"/>
        </w:tblCellMar>
      </w:tblPr>
      <w:tblGrid>
        <w:gridCol w:w="10200"/>
      </w:tblGrid>
      <w:tr w14:paraId="36F91DDC">
        <w:tblPrEx>
          <w:tblCellMar>
            <w:top w:w="0" w:type="dxa"/>
            <w:left w:w="108" w:type="dxa"/>
            <w:bottom w:w="0" w:type="dxa"/>
            <w:right w:w="108" w:type="dxa"/>
          </w:tblCellMar>
        </w:tblPrEx>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58EA2D71">
            <w:pPr>
              <w:spacing w:after="80"/>
            </w:pPr>
            <w:r>
              <w:rPr>
                <w:b/>
                <w:color w:val="003D7A"/>
                <w:sz w:val="18"/>
              </w:rPr>
              <w:t>Annex I Table 1 — Original (English):</w:t>
            </w:r>
          </w:p>
          <w:p w14:paraId="6D02323F">
            <w:pPr>
              <w:spacing w:after="40"/>
            </w:pPr>
            <w:r>
              <w:rPr>
                <w:i/>
                <w:color w:val="333333"/>
                <w:sz w:val="19"/>
              </w:rPr>
              <w:t>Intelligent Minutes Drafting</w:t>
            </w:r>
          </w:p>
          <w:p w14:paraId="6EE6C2B2">
            <w:pPr>
              <w:spacing w:after="40"/>
            </w:pPr>
            <w:r>
              <w:rPr>
                <w:i/>
                <w:color w:val="333333"/>
                <w:sz w:val="19"/>
              </w:rPr>
              <w:t>• Description of the AI technologies and algorithms employed to assist in selecting the most appropriate minutes templates, based on the case nature and context;</w:t>
            </w:r>
          </w:p>
          <w:p w14:paraId="3ABCACDE">
            <w:pPr>
              <w:spacing w:after="40"/>
            </w:pPr>
            <w:r>
              <w:rPr>
                <w:i/>
                <w:color w:val="333333"/>
                <w:sz w:val="19"/>
              </w:rPr>
              <w:t>• Description of the AI technologies and algorithms employed to automatically populate the chosen templates with relevant information extracted from structured data;</w:t>
            </w:r>
          </w:p>
          <w:p w14:paraId="7A6051BE">
            <w:pPr>
              <w:spacing w:after="40"/>
            </w:pPr>
            <w:r>
              <w:rPr>
                <w:i/>
                <w:color w:val="333333"/>
                <w:sz w:val="19"/>
              </w:rPr>
              <w:t>• Description on the Proposed Solution illustrating the end-to-end process — from template selection, information extraction, automated filling, and verification — aimed at reducing manual effort while ensuring accuracy and consistency.</w:t>
            </w:r>
          </w:p>
        </w:tc>
      </w:tr>
      <w:tr w14:paraId="08A68625">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40A0781A">
            <w:pPr>
              <w:spacing w:after="80"/>
            </w:pPr>
            <w:r>
              <w:rPr>
                <w:b/>
                <w:color w:val="3A5A00"/>
                <w:sz w:val="18"/>
              </w:rPr>
              <w:t>中文解釋 (CMHK reference)：</w:t>
            </w:r>
          </w:p>
          <w:p w14:paraId="1C80C6B0">
            <w:pPr>
              <w:spacing w:after="40"/>
            </w:pPr>
            <w:r>
              <w:rPr>
                <w:i/>
                <w:color w:val="333333"/>
                <w:sz w:val="19"/>
              </w:rPr>
              <w:t>智能 Minutes 草擬</w:t>
            </w:r>
          </w:p>
          <w:p w14:paraId="616256A6">
            <w:pPr>
              <w:spacing w:after="40"/>
            </w:pPr>
            <w:r>
              <w:rPr>
                <w:i/>
                <w:color w:val="333333"/>
                <w:sz w:val="19"/>
              </w:rPr>
              <w:t>• 描述根據 case 性質與情境協助選擇最適合 Minutes 模板之 AI 技術與算法</w:t>
            </w:r>
          </w:p>
          <w:p w14:paraId="7D7118D5">
            <w:pPr>
              <w:spacing w:after="40"/>
            </w:pPr>
            <w:r>
              <w:rPr>
                <w:i/>
                <w:color w:val="333333"/>
                <w:sz w:val="19"/>
              </w:rPr>
              <w:t>• 描述自動將結構化資料填入所選模板之 AI 技術與算法</w:t>
            </w:r>
          </w:p>
          <w:p w14:paraId="3B88D02E">
            <w:pPr>
              <w:spacing w:after="40"/>
            </w:pPr>
            <w:r>
              <w:rPr>
                <w:i/>
                <w:color w:val="333333"/>
                <w:sz w:val="19"/>
              </w:rPr>
              <w:t>• 描述方案端到端流程（模板選擇 → 抽取 → 自動填入 → 驗證），目標在減少人工同時確保準確性與一致性</w:t>
            </w:r>
          </w:p>
        </w:tc>
      </w:tr>
    </w:tbl>
    <w:p w14:paraId="588F571F"/>
    <w:tbl>
      <w:tblPr>
        <w:tblStyle w:val="32"/>
        <w:tblW w:w="0" w:type="auto"/>
        <w:jc w:val="center"/>
        <w:tblLayout w:type="fixed"/>
        <w:tblCellMar>
          <w:top w:w="0" w:type="dxa"/>
          <w:left w:w="108" w:type="dxa"/>
          <w:bottom w:w="0" w:type="dxa"/>
          <w:right w:w="108" w:type="dxa"/>
        </w:tblCellMar>
      </w:tblPr>
      <w:tblGrid>
        <w:gridCol w:w="10200"/>
      </w:tblGrid>
      <w:tr w14:paraId="1E2008ED">
        <w:tblPrEx>
          <w:tblCellMar>
            <w:top w:w="0" w:type="dxa"/>
            <w:left w:w="108" w:type="dxa"/>
            <w:bottom w:w="0" w:type="dxa"/>
            <w:right w:w="108" w:type="dxa"/>
          </w:tblCellMar>
        </w:tblPrEx>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21FA89DF">
            <w:pPr>
              <w:spacing w:after="80"/>
            </w:pPr>
            <w:r>
              <w:rPr>
                <w:b/>
                <w:color w:val="003D7A"/>
                <w:sz w:val="18"/>
              </w:rPr>
              <w:t>RFI 4.2.3 — Original (English):</w:t>
            </w:r>
          </w:p>
          <w:p w14:paraId="1AF49521">
            <w:pPr>
              <w:spacing w:after="40"/>
            </w:pPr>
            <w:r>
              <w:rPr>
                <w:i/>
                <w:color w:val="333333"/>
                <w:sz w:val="19"/>
              </w:rPr>
              <w:t>4.2.3 Intelligent Minutes Drafting</w:t>
            </w:r>
          </w:p>
          <w:p w14:paraId="5FD5B72F">
            <w:pPr>
              <w:spacing w:after="40"/>
            </w:pPr>
            <w:r>
              <w:rPr>
                <w:i/>
                <w:color w:val="333333"/>
                <w:sz w:val="19"/>
              </w:rPr>
              <w:t>4.2.3.1 Shall be able to generate draft minutes based on minutes template (in DOCX format)</w:t>
            </w:r>
          </w:p>
          <w:p w14:paraId="34C01B5E">
            <w:pPr>
              <w:spacing w:after="40"/>
            </w:pPr>
            <w:r>
              <w:rPr>
                <w:i/>
                <w:color w:val="333333"/>
                <w:sz w:val="19"/>
              </w:rPr>
              <w:t>4.2.3.2 Shall be able to generate minutes according to structured data, result of the above functions 4.2.1 and 4.2.2, and business/workflow logic.</w:t>
            </w:r>
          </w:p>
          <w:p w14:paraId="64262557">
            <w:pPr>
              <w:spacing w:after="40"/>
            </w:pPr>
            <w:r>
              <w:rPr>
                <w:i/>
                <w:color w:val="333333"/>
                <w:sz w:val="19"/>
              </w:rPr>
              <w:t>4.2.3.3 Shall generate and export related statistics data and reports</w:t>
            </w:r>
          </w:p>
        </w:tc>
      </w:tr>
      <w:tr w14:paraId="7E65A75E">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26EC7462">
            <w:pPr>
              <w:spacing w:after="80"/>
            </w:pPr>
            <w:r>
              <w:rPr>
                <w:b/>
                <w:color w:val="3A5A00"/>
                <w:sz w:val="18"/>
              </w:rPr>
              <w:t>中文解釋 (CMHK reference)：</w:t>
            </w:r>
          </w:p>
          <w:p w14:paraId="0E3382B6">
            <w:pPr>
              <w:spacing w:after="40"/>
            </w:pPr>
            <w:r>
              <w:rPr>
                <w:i/>
                <w:color w:val="333333"/>
                <w:sz w:val="19"/>
              </w:rPr>
              <w:t>4.2.3 智能 Minutes 草擬</w:t>
            </w:r>
          </w:p>
          <w:p w14:paraId="251FCAD8">
            <w:pPr>
              <w:spacing w:after="40"/>
            </w:pPr>
            <w:r>
              <w:rPr>
                <w:i/>
                <w:color w:val="333333"/>
                <w:sz w:val="19"/>
              </w:rPr>
              <w:t>4.2.3.1 應能基於 Minutes 模板（DOCX 格式）生成 Minutes 草稿</w:t>
            </w:r>
          </w:p>
          <w:p w14:paraId="37147E3F">
            <w:pPr>
              <w:spacing w:after="40"/>
            </w:pPr>
            <w:r>
              <w:rPr>
                <w:i/>
                <w:color w:val="333333"/>
                <w:sz w:val="19"/>
              </w:rPr>
              <w:t>4.2.3.2 應能根據結構化資料、4.2.1 與 4.2.2 之結果，以及業務 / 工作流邏輯生成 Minutes</w:t>
            </w:r>
          </w:p>
          <w:p w14:paraId="209CBCE3">
            <w:pPr>
              <w:spacing w:after="40"/>
            </w:pPr>
            <w:r>
              <w:rPr>
                <w:i/>
                <w:color w:val="333333"/>
                <w:sz w:val="19"/>
              </w:rPr>
              <w:t>4.2.3.3 應生成並匯出相關統計資料與報表</w:t>
            </w:r>
          </w:p>
        </w:tc>
      </w:tr>
    </w:tbl>
    <w:p w14:paraId="7B39A272"/>
    <w:p w14:paraId="450E7749">
      <w:pPr>
        <w:spacing w:before="280" w:after="80"/>
      </w:pPr>
      <w:r>
        <w:rPr>
          <w:b/>
          <w:color w:val="003D7A"/>
          <w:sz w:val="26"/>
        </w:rPr>
        <w:t>4.1 AI Tech — Template Selection</w:t>
      </w:r>
    </w:p>
    <w:p w14:paraId="3EF7BCFE">
      <w:pPr>
        <w:spacing w:after="60"/>
        <w:ind w:left="360"/>
      </w:pPr>
      <w:r>
        <w:rPr>
          <w:color w:val="222222"/>
          <w:sz w:val="20"/>
        </w:rPr>
        <w:t>• AI tech for selecting most appropriate minutes template based on case nature &amp; context</w:t>
      </w:r>
    </w:p>
    <w:tbl>
      <w:tblPr>
        <w:tblStyle w:val="32"/>
        <w:tblW w:w="0" w:type="auto"/>
        <w:jc w:val="center"/>
        <w:tblLayout w:type="fixed"/>
        <w:tblCellMar>
          <w:top w:w="0" w:type="dxa"/>
          <w:left w:w="108" w:type="dxa"/>
          <w:bottom w:w="0" w:type="dxa"/>
          <w:right w:w="108" w:type="dxa"/>
        </w:tblCellMar>
      </w:tblPr>
      <w:tblGrid>
        <w:gridCol w:w="10200"/>
      </w:tblGrid>
      <w:tr w14:paraId="2A51046A">
        <w:tblPrEx>
          <w:tblCellMar>
            <w:top w:w="0" w:type="dxa"/>
            <w:left w:w="108" w:type="dxa"/>
            <w:bottom w:w="0" w:type="dxa"/>
            <w:right w:w="108" w:type="dxa"/>
          </w:tblCellMar>
        </w:tblPrEx>
        <w:trPr>
          <w:trHeight w:val="2880" w:hRule="atLeast"/>
          <w:jc w:val="center"/>
        </w:trPr>
        <w:tc>
          <w:tcPr>
            <w:tcW w:w="10200" w:type="dxa"/>
            <w:tcBorders>
              <w:top w:val="single" w:color="888888" w:sz="6" w:space="0"/>
              <w:left w:val="single" w:color="888888" w:sz="6" w:space="0"/>
              <w:bottom w:val="single" w:color="888888" w:sz="6" w:space="0"/>
              <w:right w:val="single" w:color="888888" w:sz="6" w:space="0"/>
            </w:tcBorders>
          </w:tcPr>
          <w:p w14:paraId="6DBB323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eastAsia="宋体" w:cs="宋体" w:asciiTheme="minorAscii" w:hAnsiTheme="minorAscii"/>
                <w:sz w:val="21"/>
                <w:szCs w:val="21"/>
              </w:rPr>
            </w:pPr>
            <w:r>
              <w:rPr>
                <w:rFonts w:hint="default" w:eastAsia="宋体" w:cs="宋体" w:asciiTheme="minorAscii" w:hAnsiTheme="minorAscii"/>
                <w:sz w:val="21"/>
                <w:szCs w:val="21"/>
              </w:rPr>
              <w:t>Adopt Text Semantic Vectorization + RAG Matching + LLM Scenario Classification Technology.</w:t>
            </w:r>
          </w:p>
          <w:p w14:paraId="4C582D5B">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sz w:val="21"/>
                <w:szCs w:val="21"/>
              </w:rPr>
            </w:pPr>
            <w:r>
              <w:rPr>
                <w:color w:val="222222"/>
                <w:sz w:val="21"/>
                <w:szCs w:val="21"/>
              </w:rPr>
              <w:t>•</w:t>
            </w:r>
            <w:r>
              <w:rPr>
                <w:rFonts w:hint="eastAsia" w:eastAsia="宋体"/>
                <w:color w:val="222222"/>
                <w:sz w:val="21"/>
                <w:szCs w:val="21"/>
                <w:lang w:val="en-US" w:eastAsia="zh-CN"/>
              </w:rPr>
              <w:t xml:space="preserve"> </w:t>
            </w:r>
            <w:r>
              <w:rPr>
                <w:rFonts w:hint="default" w:eastAsia="宋体" w:cs="宋体" w:asciiTheme="minorAscii" w:hAnsiTheme="minorAscii"/>
                <w:sz w:val="21"/>
                <w:szCs w:val="21"/>
              </w:rPr>
              <w:t>Establish DOCX format minutes template library classified by visa application type and case scenario.</w:t>
            </w:r>
          </w:p>
          <w:p w14:paraId="7689CD5D">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sz w:val="21"/>
                <w:szCs w:val="21"/>
              </w:rPr>
            </w:pPr>
            <w:r>
              <w:rPr>
                <w:color w:val="222222"/>
                <w:sz w:val="21"/>
                <w:szCs w:val="21"/>
              </w:rPr>
              <w:t>•</w:t>
            </w:r>
            <w:r>
              <w:rPr>
                <w:rFonts w:hint="default" w:eastAsia="宋体" w:cs="宋体" w:asciiTheme="minorAscii" w:hAnsiTheme="minorAscii"/>
                <w:sz w:val="21"/>
                <w:szCs w:val="21"/>
              </w:rPr>
              <w:t xml:space="preserve"> Convert case basic information, application type and verification result summary into vector embedding.</w:t>
            </w:r>
          </w:p>
          <w:p w14:paraId="0F63E1FF">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sz w:val="21"/>
                <w:szCs w:val="21"/>
              </w:rPr>
            </w:pPr>
            <w:r>
              <w:rPr>
                <w:color w:val="222222"/>
                <w:sz w:val="21"/>
                <w:szCs w:val="21"/>
              </w:rPr>
              <w:t>•</w:t>
            </w:r>
            <w:r>
              <w:rPr>
                <w:rFonts w:hint="default" w:eastAsia="宋体" w:cs="宋体" w:asciiTheme="minorAscii" w:hAnsiTheme="minorAscii"/>
                <w:sz w:val="21"/>
                <w:szCs w:val="21"/>
              </w:rPr>
              <w:t xml:space="preserve"> Use RAG semantic matching to automatically select the most matched minutes template according to case nature and business context.</w:t>
            </w:r>
          </w:p>
          <w:p w14:paraId="15D67E56">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asciiTheme="minorAscii" w:hAnsiTheme="minorAscii"/>
                <w:sz w:val="21"/>
                <w:szCs w:val="21"/>
              </w:rPr>
            </w:pPr>
            <w:r>
              <w:rPr>
                <w:color w:val="222222"/>
                <w:sz w:val="21"/>
                <w:szCs w:val="21"/>
              </w:rPr>
              <w:t>•</w:t>
            </w:r>
            <w:r>
              <w:rPr>
                <w:rFonts w:hint="default" w:eastAsia="宋体" w:cs="宋体" w:asciiTheme="minorAscii" w:hAnsiTheme="minorAscii"/>
                <w:sz w:val="21"/>
                <w:szCs w:val="21"/>
              </w:rPr>
              <w:t xml:space="preserve"> Support manual template override by case officer while keeping auto-selection as default.</w:t>
            </w:r>
          </w:p>
        </w:tc>
      </w:tr>
    </w:tbl>
    <w:p w14:paraId="5B914D2F"/>
    <w:p w14:paraId="661EEBC3">
      <w:pPr>
        <w:spacing w:before="280" w:after="80"/>
      </w:pPr>
      <w:r>
        <w:rPr>
          <w:b/>
          <w:color w:val="003D7A"/>
          <w:sz w:val="26"/>
        </w:rPr>
        <w:t>4.2 AI Tech — Auto-Populate</w:t>
      </w:r>
    </w:p>
    <w:p w14:paraId="433A28EB">
      <w:pPr>
        <w:spacing w:after="60"/>
        <w:ind w:left="360"/>
      </w:pPr>
      <w:r>
        <w:rPr>
          <w:color w:val="222222"/>
          <w:sz w:val="20"/>
        </w:rPr>
        <w:t>• AI tech for auto-populating template with extracted structured data (LLM + template rendering + RAG)</w:t>
      </w:r>
    </w:p>
    <w:tbl>
      <w:tblPr>
        <w:tblStyle w:val="32"/>
        <w:tblW w:w="0" w:type="auto"/>
        <w:jc w:val="center"/>
        <w:tblLayout w:type="fixed"/>
        <w:tblCellMar>
          <w:top w:w="0" w:type="dxa"/>
          <w:left w:w="108" w:type="dxa"/>
          <w:bottom w:w="0" w:type="dxa"/>
          <w:right w:w="108" w:type="dxa"/>
        </w:tblCellMar>
      </w:tblPr>
      <w:tblGrid>
        <w:gridCol w:w="10200"/>
      </w:tblGrid>
      <w:tr w14:paraId="0790E847">
        <w:tblPrEx>
          <w:tblCellMar>
            <w:top w:w="0" w:type="dxa"/>
            <w:left w:w="108" w:type="dxa"/>
            <w:bottom w:w="0" w:type="dxa"/>
            <w:right w:w="108" w:type="dxa"/>
          </w:tblCellMar>
        </w:tblPrEx>
        <w:trPr>
          <w:trHeight w:val="2880" w:hRule="atLeast"/>
          <w:jc w:val="center"/>
        </w:trPr>
        <w:tc>
          <w:tcPr>
            <w:tcW w:w="10200" w:type="dxa"/>
            <w:tcBorders>
              <w:top w:val="single" w:color="888888" w:sz="6" w:space="0"/>
              <w:left w:val="single" w:color="888888" w:sz="6" w:space="0"/>
              <w:bottom w:val="single" w:color="888888" w:sz="6" w:space="0"/>
              <w:right w:val="single" w:color="888888" w:sz="6" w:space="0"/>
            </w:tcBorders>
          </w:tcPr>
          <w:p w14:paraId="07BF8F12">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sz w:val="21"/>
                <w:szCs w:val="21"/>
              </w:rPr>
            </w:pPr>
            <w:r>
              <w:rPr>
                <w:rFonts w:hint="default" w:eastAsia="宋体" w:cs="宋体" w:asciiTheme="minorAscii" w:hAnsiTheme="minorAscii"/>
                <w:sz w:val="21"/>
                <w:szCs w:val="21"/>
              </w:rPr>
              <w:t>Adopt LLM Natural Language Generation + Template Rendering Engine + RAG Knowledge Base Supplementary Generation.</w:t>
            </w:r>
          </w:p>
          <w:p w14:paraId="08E5FF21">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sz w:val="21"/>
                <w:szCs w:val="21"/>
              </w:rPr>
            </w:pPr>
            <w:r>
              <w:rPr>
                <w:rFonts w:hint="default" w:asciiTheme="minorAscii" w:hAnsiTheme="minorAscii"/>
                <w:color w:val="222222"/>
                <w:sz w:val="21"/>
                <w:szCs w:val="21"/>
              </w:rPr>
              <w:t>•</w:t>
            </w:r>
            <w:r>
              <w:rPr>
                <w:rFonts w:hint="default" w:eastAsia="宋体" w:cs="宋体" w:asciiTheme="minorAscii" w:hAnsiTheme="minorAscii"/>
                <w:sz w:val="21"/>
                <w:szCs w:val="21"/>
              </w:rPr>
              <w:t xml:space="preserve"> Automatically fill structured applicant information, document classification result, data verification conclusion and business compliance judgment into corresponding template fields.</w:t>
            </w:r>
          </w:p>
          <w:p w14:paraId="3C161A81">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sz w:val="21"/>
                <w:szCs w:val="21"/>
              </w:rPr>
            </w:pPr>
            <w:r>
              <w:rPr>
                <w:rFonts w:hint="default" w:asciiTheme="minorAscii" w:hAnsiTheme="minorAscii"/>
                <w:color w:val="222222"/>
                <w:sz w:val="21"/>
                <w:szCs w:val="21"/>
              </w:rPr>
              <w:t>•</w:t>
            </w:r>
            <w:r>
              <w:rPr>
                <w:rFonts w:hint="default" w:eastAsia="宋体" w:cs="宋体" w:asciiTheme="minorAscii" w:hAnsiTheme="minorAscii"/>
                <w:sz w:val="21"/>
                <w:szCs w:val="21"/>
              </w:rPr>
              <w:t xml:space="preserve"> Use large language model to generate descriptive paragraph content of case background, document checking summary and compliance opinion following ImmD official writing style.</w:t>
            </w:r>
          </w:p>
          <w:p w14:paraId="1848D251">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eastAsia="宋体"/>
                <w:lang w:val="en-US" w:eastAsia="zh-CN"/>
              </w:rPr>
            </w:pPr>
            <w:r>
              <w:rPr>
                <w:rFonts w:hint="default" w:asciiTheme="minorAscii" w:hAnsiTheme="minorAscii"/>
                <w:color w:val="222222"/>
                <w:sz w:val="21"/>
                <w:szCs w:val="21"/>
              </w:rPr>
              <w:t>•</w:t>
            </w:r>
            <w:r>
              <w:rPr>
                <w:rFonts w:hint="default" w:eastAsia="宋体" w:cs="宋体" w:asciiTheme="minorAscii" w:hAnsiTheme="minorAscii"/>
                <w:sz w:val="21"/>
                <w:szCs w:val="21"/>
              </w:rPr>
              <w:t xml:space="preserve"> Integrate ImmD policy knowledge base via RAG to ensure statement accuracy and official wording standardization.</w:t>
            </w:r>
          </w:p>
        </w:tc>
      </w:tr>
    </w:tbl>
    <w:p w14:paraId="7FC69E0A"/>
    <w:p w14:paraId="60867399">
      <w:pPr>
        <w:spacing w:before="280" w:after="80"/>
      </w:pPr>
      <w:r>
        <w:rPr>
          <w:b/>
          <w:color w:val="003D7A"/>
          <w:sz w:val="26"/>
        </w:rPr>
        <w:t>4.3 End-to-End Technical Design</w:t>
      </w:r>
    </w:p>
    <w:p w14:paraId="0707182A">
      <w:pPr>
        <w:spacing w:after="60"/>
        <w:ind w:left="360"/>
      </w:pPr>
      <w:r>
        <w:rPr>
          <w:color w:val="222222"/>
          <w:sz w:val="20"/>
        </w:rPr>
        <w:t>• Template selection → information extraction → auto-fill → verification</w:t>
      </w:r>
    </w:p>
    <w:tbl>
      <w:tblPr>
        <w:tblStyle w:val="32"/>
        <w:tblW w:w="0" w:type="auto"/>
        <w:jc w:val="center"/>
        <w:tblLayout w:type="fixed"/>
        <w:tblCellMar>
          <w:top w:w="0" w:type="dxa"/>
          <w:left w:w="108" w:type="dxa"/>
          <w:bottom w:w="0" w:type="dxa"/>
          <w:right w:w="108" w:type="dxa"/>
        </w:tblCellMar>
      </w:tblPr>
      <w:tblGrid>
        <w:gridCol w:w="10200"/>
      </w:tblGrid>
      <w:tr w14:paraId="009465E2">
        <w:tblPrEx>
          <w:tblCellMar>
            <w:top w:w="0" w:type="dxa"/>
            <w:left w:w="108" w:type="dxa"/>
            <w:bottom w:w="0" w:type="dxa"/>
            <w:right w:w="108" w:type="dxa"/>
          </w:tblCellMar>
        </w:tblPrEx>
        <w:trPr>
          <w:trHeight w:val="2880" w:hRule="atLeast"/>
          <w:jc w:val="center"/>
        </w:trPr>
        <w:tc>
          <w:tcPr>
            <w:tcW w:w="10200" w:type="dxa"/>
            <w:tcBorders>
              <w:top w:val="single" w:color="888888" w:sz="6" w:space="0"/>
              <w:left w:val="single" w:color="888888" w:sz="6" w:space="0"/>
              <w:bottom w:val="single" w:color="888888" w:sz="6" w:space="0"/>
              <w:right w:val="single" w:color="888888" w:sz="6" w:space="0"/>
            </w:tcBorders>
          </w:tcPr>
          <w:p w14:paraId="161CEE97">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eastAsia="宋体" w:cs="宋体" w:asciiTheme="minorAscii" w:hAnsiTheme="minorAscii"/>
                <w:sz w:val="21"/>
                <w:szCs w:val="21"/>
                <w:lang w:val="en-US" w:eastAsia="zh-CN"/>
              </w:rPr>
            </w:pPr>
          </w:p>
          <w:p w14:paraId="30569A58">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eastAsia="宋体"/>
                <w:lang w:val="en-US" w:eastAsia="zh-CN"/>
              </w:rPr>
            </w:pPr>
            <w:r>
              <w:rPr>
                <w:rFonts w:hint="eastAsia" w:eastAsia="宋体" w:cs="宋体" w:asciiTheme="minorAscii" w:hAnsiTheme="minorAscii"/>
                <w:sz w:val="21"/>
                <w:szCs w:val="21"/>
                <w:lang w:val="en-US" w:eastAsia="zh-CN"/>
              </w:rPr>
              <w:t>Case Basic Information &amp; AI Result Input → Scenario Analysis &amp; Template Intelligent Selection → Structured Data Mapping &amp; Template Pre-filling → LLM Generative Content Complementation → Minutes Logic Self-Verification → Generate Draft Minutes in DOCX → Embed into Output Package → Push to APPLIES-2 System</w:t>
            </w:r>
          </w:p>
        </w:tc>
      </w:tr>
    </w:tbl>
    <w:p w14:paraId="5459A2E4"/>
    <w:p w14:paraId="03170C1F">
      <w:r>
        <w:br w:type="page"/>
      </w:r>
    </w:p>
    <w:p w14:paraId="234784A0">
      <w:pPr>
        <w:spacing w:before="440" w:after="80"/>
      </w:pPr>
      <w:r>
        <w:rPr>
          <w:b/>
          <w:color w:val="003D7A"/>
          <w:sz w:val="32"/>
        </w:rPr>
        <w:t>5. Combined Workflow（整合工作流）</w:t>
      </w:r>
    </w:p>
    <w:p w14:paraId="2BE1B429">
      <w:pPr>
        <w:spacing w:after="80"/>
      </w:pPr>
      <w:r>
        <w:rPr>
          <w:i/>
          <w:color w:val="555555"/>
          <w:sz w:val="19"/>
        </w:rPr>
        <w:t>[ Annex I Table 1 — Combined Workflow · RFI 4.2.4 + 4.2.6 ]</w:t>
      </w:r>
    </w:p>
    <w:tbl>
      <w:tblPr>
        <w:tblStyle w:val="32"/>
        <w:tblW w:w="0" w:type="auto"/>
        <w:jc w:val="center"/>
        <w:tblLayout w:type="fixed"/>
        <w:tblCellMar>
          <w:top w:w="0" w:type="dxa"/>
          <w:left w:w="108" w:type="dxa"/>
          <w:bottom w:w="0" w:type="dxa"/>
          <w:right w:w="108" w:type="dxa"/>
        </w:tblCellMar>
      </w:tblPr>
      <w:tblGrid>
        <w:gridCol w:w="10200"/>
      </w:tblGrid>
      <w:tr w14:paraId="26414E67">
        <w:tblPrEx>
          <w:tblCellMar>
            <w:top w:w="0" w:type="dxa"/>
            <w:left w:w="108" w:type="dxa"/>
            <w:bottom w:w="0" w:type="dxa"/>
            <w:right w:w="108" w:type="dxa"/>
          </w:tblCellMar>
        </w:tblPrEx>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7644A7CA">
            <w:pPr>
              <w:spacing w:after="80"/>
            </w:pPr>
            <w:r>
              <w:rPr>
                <w:b/>
                <w:color w:val="003D7A"/>
                <w:sz w:val="18"/>
              </w:rPr>
              <w:t>Annex I Table 1 — Original (English):</w:t>
            </w:r>
          </w:p>
          <w:p w14:paraId="65DC67AE">
            <w:pPr>
              <w:spacing w:after="40"/>
            </w:pPr>
            <w:r>
              <w:rPr>
                <w:i/>
                <w:color w:val="333333"/>
                <w:sz w:val="19"/>
              </w:rPr>
              <w:t>Combined Workflow</w:t>
            </w:r>
          </w:p>
          <w:p w14:paraId="5EAD278C">
            <w:pPr>
              <w:spacing w:after="40"/>
            </w:pPr>
            <w:r>
              <w:rPr>
                <w:i/>
                <w:color w:val="333333"/>
                <w:sz w:val="19"/>
              </w:rPr>
              <w:t>• Description on the Proposed Solution of the technical design illustrating the end-to-end combined functional workflow — from data intake to result delivery across all the major functions and delivery of the result to other ImmD Systems.</w:t>
            </w:r>
          </w:p>
          <w:p w14:paraId="559D9344">
            <w:pPr>
              <w:spacing w:after="40"/>
            </w:pPr>
            <w:r>
              <w:rPr>
                <w:i/>
                <w:color w:val="333333"/>
                <w:sz w:val="19"/>
              </w:rPr>
              <w:t>• Description of the proposed accuracy rate for the AI solution and how to calculate / determine the accuracy rate.</w:t>
            </w:r>
          </w:p>
        </w:tc>
      </w:tr>
      <w:tr w14:paraId="154F3701">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233E712D">
            <w:pPr>
              <w:spacing w:after="80"/>
            </w:pPr>
            <w:r>
              <w:rPr>
                <w:b/>
                <w:color w:val="3A5A00"/>
                <w:sz w:val="18"/>
              </w:rPr>
              <w:t>中文解釋 (CMHK reference)：</w:t>
            </w:r>
          </w:p>
          <w:p w14:paraId="103357DF">
            <w:pPr>
              <w:spacing w:after="40"/>
            </w:pPr>
            <w:r>
              <w:rPr>
                <w:i/>
                <w:color w:val="333333"/>
                <w:sz w:val="19"/>
              </w:rPr>
              <w:t>整合工作流</w:t>
            </w:r>
          </w:p>
          <w:p w14:paraId="1CED4CAA">
            <w:pPr>
              <w:spacing w:after="40"/>
            </w:pPr>
            <w:r>
              <w:rPr>
                <w:i/>
                <w:color w:val="333333"/>
                <w:sz w:val="19"/>
              </w:rPr>
              <w:t>• 描述端到端整合功能工作流方案技術設計（資料進件 → 主要功能處理 → 結果交付至其他 ImmD 系統）</w:t>
            </w:r>
          </w:p>
          <w:p w14:paraId="6C632704">
            <w:pPr>
              <w:spacing w:after="40"/>
            </w:pPr>
            <w:r>
              <w:rPr>
                <w:i/>
                <w:color w:val="333333"/>
                <w:sz w:val="19"/>
              </w:rPr>
              <w:t>• 描述貴方建議之 AI 方案準確率及計算 / 判定方法</w:t>
            </w:r>
          </w:p>
        </w:tc>
      </w:tr>
    </w:tbl>
    <w:p w14:paraId="43808C8C"/>
    <w:tbl>
      <w:tblPr>
        <w:tblStyle w:val="32"/>
        <w:tblW w:w="0" w:type="auto"/>
        <w:jc w:val="center"/>
        <w:tblLayout w:type="fixed"/>
        <w:tblCellMar>
          <w:top w:w="0" w:type="dxa"/>
          <w:left w:w="108" w:type="dxa"/>
          <w:bottom w:w="0" w:type="dxa"/>
          <w:right w:w="108" w:type="dxa"/>
        </w:tblCellMar>
      </w:tblPr>
      <w:tblGrid>
        <w:gridCol w:w="10200"/>
      </w:tblGrid>
      <w:tr w14:paraId="4230E6F0">
        <w:tblPrEx>
          <w:tblCellMar>
            <w:top w:w="0" w:type="dxa"/>
            <w:left w:w="108" w:type="dxa"/>
            <w:bottom w:w="0" w:type="dxa"/>
            <w:right w:w="108" w:type="dxa"/>
          </w:tblCellMar>
        </w:tblPrEx>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3D4DB26C">
            <w:pPr>
              <w:spacing w:after="80"/>
            </w:pPr>
            <w:r>
              <w:rPr>
                <w:b/>
                <w:color w:val="003D7A"/>
                <w:sz w:val="18"/>
              </w:rPr>
              <w:t>RFI 4.2.4 — Original (English):</w:t>
            </w:r>
          </w:p>
          <w:p w14:paraId="4BF14C1D">
            <w:pPr>
              <w:spacing w:after="40"/>
            </w:pPr>
            <w:r>
              <w:rPr>
                <w:i/>
                <w:color w:val="333333"/>
                <w:sz w:val="19"/>
              </w:rPr>
              <w:t>4.2.4 Combined Workflow</w:t>
            </w:r>
          </w:p>
          <w:p w14:paraId="41530E26">
            <w:pPr>
              <w:spacing w:after="40"/>
            </w:pPr>
            <w:r>
              <w:rPr>
                <w:i/>
                <w:color w:val="333333"/>
                <w:sz w:val="19"/>
              </w:rPr>
              <w:t>4.2.4.1 Shall be able to automatic integrate above functions 4.2.1, 4.2.2 and 4.2.3 into a streamline workflow.</w:t>
            </w:r>
          </w:p>
          <w:p w14:paraId="2C7842F4">
            <w:pPr>
              <w:spacing w:after="40"/>
            </w:pPr>
            <w:r>
              <w:rPr>
                <w:i/>
                <w:color w:val="333333"/>
                <w:sz w:val="19"/>
              </w:rPr>
              <w:t>4.2.4.2 The new AI Solutions shall ingest case application data, e.g. structured and unstructured data from other ImmD systems and deliver the results — including data, images, and reports — to ImmD systems via API or dedicated interfaces</w:t>
            </w:r>
          </w:p>
        </w:tc>
      </w:tr>
      <w:tr w14:paraId="4F964FC9">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72E59F2D">
            <w:pPr>
              <w:spacing w:after="80"/>
            </w:pPr>
            <w:r>
              <w:rPr>
                <w:b/>
                <w:color w:val="3A5A00"/>
                <w:sz w:val="18"/>
              </w:rPr>
              <w:t>中文解釋 (CMHK reference)：</w:t>
            </w:r>
          </w:p>
          <w:p w14:paraId="7261FA64">
            <w:pPr>
              <w:spacing w:after="40"/>
            </w:pPr>
            <w:r>
              <w:rPr>
                <w:i/>
                <w:color w:val="333333"/>
                <w:sz w:val="19"/>
              </w:rPr>
              <w:t>4.2.4 整合工作流</w:t>
            </w:r>
          </w:p>
          <w:p w14:paraId="56A5F55D">
            <w:pPr>
              <w:spacing w:after="40"/>
            </w:pPr>
            <w:r>
              <w:rPr>
                <w:i/>
                <w:color w:val="333333"/>
                <w:sz w:val="19"/>
              </w:rPr>
              <w:t>4.2.4.1 應將上述 4.2.1 / 4.2.2 / 4.2.3 功能自動整合為流暢的工作流</w:t>
            </w:r>
          </w:p>
          <w:p w14:paraId="5BA18CD1">
            <w:pPr>
              <w:spacing w:after="40"/>
            </w:pPr>
            <w:r>
              <w:rPr>
                <w:i/>
                <w:color w:val="333333"/>
                <w:sz w:val="19"/>
              </w:rPr>
              <w:t>4.2.4.2 新 AI 方案應從其他 ImmD 系統接收 case 申請資料（結構化及非結構化），並透過 API 或專用介面將結果（資料、圖像、報表）交付至 ImmD 系統</w:t>
            </w:r>
          </w:p>
        </w:tc>
      </w:tr>
    </w:tbl>
    <w:p w14:paraId="0180F4F0"/>
    <w:tbl>
      <w:tblPr>
        <w:tblStyle w:val="32"/>
        <w:tblW w:w="0" w:type="auto"/>
        <w:jc w:val="center"/>
        <w:tblLayout w:type="fixed"/>
        <w:tblCellMar>
          <w:top w:w="0" w:type="dxa"/>
          <w:left w:w="108" w:type="dxa"/>
          <w:bottom w:w="0" w:type="dxa"/>
          <w:right w:w="108" w:type="dxa"/>
        </w:tblCellMar>
      </w:tblPr>
      <w:tblGrid>
        <w:gridCol w:w="10200"/>
      </w:tblGrid>
      <w:tr w14:paraId="6C2444EA">
        <w:tblPrEx>
          <w:tblCellMar>
            <w:top w:w="0" w:type="dxa"/>
            <w:left w:w="108" w:type="dxa"/>
            <w:bottom w:w="0" w:type="dxa"/>
            <w:right w:w="108" w:type="dxa"/>
          </w:tblCellMar>
        </w:tblPrEx>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5D205114">
            <w:pPr>
              <w:spacing w:after="80"/>
            </w:pPr>
            <w:r>
              <w:rPr>
                <w:b/>
                <w:color w:val="003D7A"/>
                <w:sz w:val="18"/>
              </w:rPr>
              <w:t>RFI 4.2.6 — Original (English):</w:t>
            </w:r>
          </w:p>
          <w:p w14:paraId="15D91654">
            <w:pPr>
              <w:spacing w:after="40"/>
            </w:pPr>
            <w:r>
              <w:rPr>
                <w:i/>
                <w:color w:val="333333"/>
                <w:sz w:val="19"/>
              </w:rPr>
              <w:t>4.2.6 Interface with ImmD Systems</w:t>
            </w:r>
          </w:p>
          <w:p w14:paraId="3E563C2E">
            <w:pPr>
              <w:spacing w:after="40"/>
            </w:pPr>
            <w:r>
              <w:rPr>
                <w:i/>
                <w:color w:val="333333"/>
                <w:sz w:val="19"/>
              </w:rPr>
              <w:t>4.2.6.1 Shall be integrate with existing workflow ImmD System(s) through interface or API for above functions;</w:t>
            </w:r>
          </w:p>
          <w:p w14:paraId="0C4A53E7">
            <w:pPr>
              <w:spacing w:after="40"/>
            </w:pPr>
            <w:r>
              <w:rPr>
                <w:i/>
                <w:color w:val="333333"/>
                <w:sz w:val="19"/>
              </w:rPr>
              <w:t>4.2.6.2 Shall be able to receive application information including structured and unstructured data e.g. documents and images through interface or API of another internal ImmD System(s)</w:t>
            </w:r>
          </w:p>
          <w:p w14:paraId="32EF7F36">
            <w:pPr>
              <w:spacing w:after="40"/>
            </w:pPr>
            <w:r>
              <w:rPr>
                <w:i/>
                <w:color w:val="333333"/>
                <w:sz w:val="19"/>
              </w:rPr>
              <w:t>4.2.6.3 Shall be able to provide the result of above major functions such as Clause 4.2.1, 4.2.2 and 4.2.3 through interface or API to another internal ImmD System(s)</w:t>
            </w:r>
          </w:p>
          <w:p w14:paraId="7BF329B8">
            <w:pPr>
              <w:spacing w:after="40"/>
            </w:pPr>
            <w:r>
              <w:rPr>
                <w:i/>
                <w:color w:val="333333"/>
                <w:sz w:val="19"/>
              </w:rPr>
              <w:t>4.2.6.4 Shall allow exchange and enquiry of data through interface or API of another internal ImmD System(s) provided by ImmD which is/are located in another network zone.</w:t>
            </w:r>
          </w:p>
          <w:p w14:paraId="14164682">
            <w:pPr>
              <w:spacing w:after="40"/>
            </w:pPr>
            <w:r>
              <w:rPr>
                <w:i/>
                <w:color w:val="333333"/>
                <w:sz w:val="19"/>
              </w:rPr>
              <w:t>4.2.6.5 Shall develop interface or API in case the existing developed interface or API is not applicable to the new AI Solutions.</w:t>
            </w:r>
          </w:p>
        </w:tc>
      </w:tr>
      <w:tr w14:paraId="116CCF6E">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28A79B9A">
            <w:pPr>
              <w:spacing w:after="80"/>
            </w:pPr>
            <w:r>
              <w:rPr>
                <w:b/>
                <w:color w:val="3A5A00"/>
                <w:sz w:val="18"/>
              </w:rPr>
              <w:t>中文解釋 (CMHK reference)：</w:t>
            </w:r>
          </w:p>
          <w:p w14:paraId="27554EDD">
            <w:pPr>
              <w:spacing w:after="40"/>
            </w:pPr>
            <w:r>
              <w:rPr>
                <w:i/>
                <w:color w:val="333333"/>
                <w:sz w:val="19"/>
              </w:rPr>
              <w:t>4.2.6 與 ImmD 系統之介面</w:t>
            </w:r>
          </w:p>
          <w:p w14:paraId="670F83A2">
            <w:pPr>
              <w:spacing w:after="40"/>
            </w:pPr>
            <w:r>
              <w:rPr>
                <w:i/>
                <w:color w:val="333333"/>
                <w:sz w:val="19"/>
              </w:rPr>
              <w:t>4.2.6.1 應透過介面或 API 與既有 ImmD 工作流系統整合</w:t>
            </w:r>
          </w:p>
          <w:p w14:paraId="332D2DC6">
            <w:pPr>
              <w:spacing w:after="40"/>
            </w:pPr>
            <w:r>
              <w:rPr>
                <w:i/>
                <w:color w:val="333333"/>
                <w:sz w:val="19"/>
              </w:rPr>
              <w:t>4.2.6.2 應能透過其他內部 ImmD 系統之介面或 API 接收申請資料（結構化與非結構化，如文件、圖像）</w:t>
            </w:r>
          </w:p>
          <w:p w14:paraId="30E49170">
            <w:pPr>
              <w:spacing w:after="40"/>
            </w:pPr>
            <w:r>
              <w:rPr>
                <w:i/>
                <w:color w:val="333333"/>
                <w:sz w:val="19"/>
              </w:rPr>
              <w:t>4.2.6.3 應能透過介面或 API 將上述主要功能（4.2.1 / 4.2.2 / 4.2.3）之結果提供至其他內部 ImmD 系統</w:t>
            </w:r>
          </w:p>
          <w:p w14:paraId="20B5366A">
            <w:pPr>
              <w:spacing w:after="40"/>
            </w:pPr>
            <w:r>
              <w:rPr>
                <w:i/>
                <w:color w:val="333333"/>
                <w:sz w:val="19"/>
              </w:rPr>
              <w:t>4.2.6.4 應允許透過位於不同網路區之 ImmD 系統介面或 API 進行資料交換與查詢</w:t>
            </w:r>
          </w:p>
          <w:p w14:paraId="5038182A">
            <w:pPr>
              <w:spacing w:after="40"/>
            </w:pPr>
            <w:r>
              <w:rPr>
                <w:i/>
                <w:color w:val="333333"/>
                <w:sz w:val="19"/>
              </w:rPr>
              <w:t>4.2.6.5 若既有介面或 API 不適用於新 AI 方案，應開發新的介面或 API</w:t>
            </w:r>
          </w:p>
        </w:tc>
      </w:tr>
    </w:tbl>
    <w:p w14:paraId="75C40DE6"/>
    <w:p w14:paraId="0FCFBE1F">
      <w:pPr>
        <w:spacing w:before="280" w:after="80"/>
      </w:pPr>
      <w:r>
        <w:rPr>
          <w:b/>
          <w:color w:val="003D7A"/>
          <w:sz w:val="26"/>
        </w:rPr>
        <w:t>5.1 End-to-End Combined Workflow</w:t>
      </w:r>
    </w:p>
    <w:p w14:paraId="02D97B8E">
      <w:pPr>
        <w:spacing w:after="60"/>
        <w:ind w:left="360"/>
      </w:pPr>
      <w:r>
        <w:rPr>
          <w:color w:val="222222"/>
          <w:sz w:val="20"/>
        </w:rPr>
        <w:t>• Integrated end-to-end workflow — from data intake to result delivery across all three major functions</w:t>
      </w:r>
    </w:p>
    <w:p w14:paraId="741CE018">
      <w:pPr>
        <w:spacing w:after="60"/>
        <w:ind w:left="360"/>
      </w:pPr>
      <w:r>
        <w:rPr>
          <w:color w:val="222222"/>
          <w:sz w:val="20"/>
        </w:rPr>
        <w:t>• Deliver dual PDF (Cross-Check Report + Minutes Draft) + JSON metadata to APPLIES-2 main system</w:t>
      </w:r>
    </w:p>
    <w:tbl>
      <w:tblPr>
        <w:tblStyle w:val="32"/>
        <w:tblW w:w="0" w:type="auto"/>
        <w:jc w:val="center"/>
        <w:tblLayout w:type="fixed"/>
        <w:tblCellMar>
          <w:top w:w="0" w:type="dxa"/>
          <w:left w:w="108" w:type="dxa"/>
          <w:bottom w:w="0" w:type="dxa"/>
          <w:right w:w="108" w:type="dxa"/>
        </w:tblCellMar>
      </w:tblPr>
      <w:tblGrid>
        <w:gridCol w:w="10200"/>
      </w:tblGrid>
      <w:tr w14:paraId="4A3D15CF">
        <w:tblPrEx>
          <w:tblCellMar>
            <w:top w:w="0" w:type="dxa"/>
            <w:left w:w="108" w:type="dxa"/>
            <w:bottom w:w="0" w:type="dxa"/>
            <w:right w:w="108" w:type="dxa"/>
          </w:tblCellMar>
        </w:tblPrEx>
        <w:trPr>
          <w:trHeight w:val="3600" w:hRule="atLeast"/>
          <w:jc w:val="center"/>
        </w:trPr>
        <w:tc>
          <w:tcPr>
            <w:tcW w:w="10200" w:type="dxa"/>
            <w:tcBorders>
              <w:top w:val="single" w:color="888888" w:sz="6" w:space="0"/>
              <w:left w:val="single" w:color="888888" w:sz="6" w:space="0"/>
              <w:bottom w:val="single" w:color="888888" w:sz="6" w:space="0"/>
              <w:right w:val="single" w:color="888888" w:sz="6" w:space="0"/>
            </w:tcBorders>
          </w:tcPr>
          <w:p w14:paraId="31FF9E5C">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eastAsia="宋体" w:cs="宋体" w:asciiTheme="minorAscii" w:hAnsiTheme="minorAscii"/>
                <w:sz w:val="21"/>
                <w:szCs w:val="21"/>
                <w:lang w:val="en-US" w:eastAsia="zh-CN"/>
              </w:rPr>
            </w:pPr>
            <w:r>
              <w:rPr>
                <w:rFonts w:hint="eastAsia" w:eastAsia="宋体" w:cs="宋体" w:asciiTheme="minorAscii" w:hAnsiTheme="minorAscii"/>
                <w:sz w:val="21"/>
                <w:szCs w:val="21"/>
                <w:lang w:val="en-US" w:eastAsia="zh-CN"/>
              </w:rPr>
              <w:t>The solution integrates Document Classification, Data Verification and Minutes Drafting into one streamlined automatic workflow:</w:t>
            </w:r>
          </w:p>
          <w:p w14:paraId="159F86A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eastAsia="宋体" w:cs="宋体" w:asciiTheme="minorAscii" w:hAnsiTheme="minorAscii"/>
                <w:sz w:val="21"/>
                <w:szCs w:val="21"/>
                <w:lang w:val="en-US" w:eastAsia="zh-CN"/>
              </w:rPr>
            </w:pPr>
            <w:r>
              <w:rPr>
                <w:rFonts w:hint="eastAsia" w:eastAsia="宋体" w:cs="宋体" w:asciiTheme="minorAscii" w:hAnsiTheme="minorAscii"/>
                <w:sz w:val="21"/>
                <w:szCs w:val="21"/>
                <w:lang w:val="en-US" w:eastAsia="zh-CN"/>
              </w:rPr>
              <w:t>ImmD APPLIES-2 System → API/MQ Data Ingestion → Preprocessing &amp; Format Normalization → Automated Document Classification → Intelligent Data Extraction &amp; Cross Verification → Abnormal Marking &amp; Report Generation → Intelligent Minutes Template Selection &amp; Auto Drafting → Generate Dual Output (Cross-Check Report PDF + Minutes Draft PDF) + JSON Metadata → API Result Delivery Back to APPLIES-2 → Logging, Statistics &amp; Audit Record Archiving</w:t>
            </w:r>
          </w:p>
          <w:p w14:paraId="7FBEAB57">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eastAsia="宋体" w:cs="宋体" w:asciiTheme="minorAscii" w:hAnsiTheme="minorAscii"/>
                <w:sz w:val="21"/>
                <w:szCs w:val="21"/>
                <w:lang w:val="en-US" w:eastAsia="zh-CN"/>
              </w:rPr>
            </w:pPr>
            <w:r>
              <w:rPr>
                <w:rFonts w:hint="eastAsia" w:eastAsia="宋体" w:cs="宋体" w:asciiTheme="minorAscii" w:hAnsiTheme="minorAscii"/>
                <w:sz w:val="21"/>
                <w:szCs w:val="21"/>
                <w:lang w:val="en-US" w:eastAsia="zh-CN"/>
              </w:rPr>
              <w:t>The whole pipeline supports unattended batch processing, peak hour concurrency scheduling, and task retry mechanism for exception handling. All intermediate results and final outputs are standardized and traceable.</w:t>
            </w:r>
          </w:p>
          <w:p w14:paraId="7137948C"/>
        </w:tc>
      </w:tr>
    </w:tbl>
    <w:p w14:paraId="419D4FF0"/>
    <w:p w14:paraId="38D74F62">
      <w:pPr>
        <w:spacing w:before="280" w:after="80"/>
      </w:pPr>
      <w:r>
        <w:rPr>
          <w:b/>
          <w:color w:val="003D7A"/>
          <w:sz w:val="26"/>
        </w:rPr>
        <w:t>5.2 Interface with Other ImmD Systems</w:t>
      </w:r>
    </w:p>
    <w:p w14:paraId="20A05D97">
      <w:pPr>
        <w:spacing w:after="60"/>
        <w:ind w:left="360"/>
      </w:pPr>
      <w:r>
        <w:rPr>
          <w:color w:val="222222"/>
          <w:sz w:val="20"/>
        </w:rPr>
        <w:t>• Interfaces with APPLIES-2 and other ImmD systems (API / SFTP / MQ / cross-network-zone)</w:t>
      </w:r>
    </w:p>
    <w:tbl>
      <w:tblPr>
        <w:tblStyle w:val="32"/>
        <w:tblW w:w="0" w:type="auto"/>
        <w:jc w:val="center"/>
        <w:tblLayout w:type="fixed"/>
        <w:tblCellMar>
          <w:top w:w="0" w:type="dxa"/>
          <w:left w:w="108" w:type="dxa"/>
          <w:bottom w:w="0" w:type="dxa"/>
          <w:right w:w="108" w:type="dxa"/>
        </w:tblCellMar>
      </w:tblPr>
      <w:tblGrid>
        <w:gridCol w:w="10200"/>
      </w:tblGrid>
      <w:tr w14:paraId="5B20276D">
        <w:tblPrEx>
          <w:tblCellMar>
            <w:top w:w="0" w:type="dxa"/>
            <w:left w:w="108" w:type="dxa"/>
            <w:bottom w:w="0" w:type="dxa"/>
            <w:right w:w="108" w:type="dxa"/>
          </w:tblCellMar>
        </w:tblPrEx>
        <w:trPr>
          <w:trHeight w:val="2880" w:hRule="atLeast"/>
          <w:jc w:val="center"/>
        </w:trPr>
        <w:tc>
          <w:tcPr>
            <w:tcW w:w="10200" w:type="dxa"/>
            <w:tcBorders>
              <w:top w:val="single" w:color="888888" w:sz="6" w:space="0"/>
              <w:left w:val="single" w:color="888888" w:sz="6" w:space="0"/>
              <w:bottom w:val="single" w:color="888888" w:sz="6" w:space="0"/>
              <w:right w:val="single" w:color="888888" w:sz="6" w:space="0"/>
            </w:tcBorders>
          </w:tcPr>
          <w:p w14:paraId="7B1442F5">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sz w:val="21"/>
                <w:szCs w:val="21"/>
                <w:lang w:val="en-US" w:eastAsia="zh-CN"/>
              </w:rPr>
            </w:pPr>
            <w:r>
              <w:rPr>
                <w:rFonts w:hint="default" w:asciiTheme="minorAscii" w:hAnsiTheme="minorAscii"/>
                <w:color w:val="222222"/>
                <w:sz w:val="21"/>
                <w:szCs w:val="21"/>
              </w:rPr>
              <w:t>•</w:t>
            </w:r>
            <w:r>
              <w:rPr>
                <w:rFonts w:hint="default" w:eastAsia="宋体" w:cs="宋体" w:asciiTheme="minorAscii" w:hAnsiTheme="minorAscii"/>
                <w:sz w:val="21"/>
                <w:szCs w:val="21"/>
                <w:lang w:val="en-US" w:eastAsia="zh-CN"/>
              </w:rPr>
              <w:t xml:space="preserve"> Adopt RESTful API / Message Queue / SFTP multi-protocol integration mode to connect with APPLIES-2 and other ImmD internal systems.</w:t>
            </w:r>
          </w:p>
          <w:p w14:paraId="18630531">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sz w:val="21"/>
                <w:szCs w:val="21"/>
                <w:lang w:val="en-US" w:eastAsia="zh-CN"/>
              </w:rPr>
            </w:pPr>
            <w:r>
              <w:rPr>
                <w:rFonts w:hint="default" w:asciiTheme="minorAscii" w:hAnsiTheme="minorAscii"/>
                <w:color w:val="222222"/>
                <w:sz w:val="21"/>
                <w:szCs w:val="21"/>
              </w:rPr>
              <w:t>•</w:t>
            </w:r>
            <w:r>
              <w:rPr>
                <w:rFonts w:hint="default" w:eastAsia="宋体" w:asciiTheme="minorAscii" w:hAnsiTheme="minorAscii"/>
                <w:color w:val="222222"/>
                <w:sz w:val="21"/>
                <w:szCs w:val="21"/>
                <w:lang w:val="en-US" w:eastAsia="zh-CN"/>
              </w:rPr>
              <w:t xml:space="preserve"> </w:t>
            </w:r>
            <w:r>
              <w:rPr>
                <w:rFonts w:hint="default" w:eastAsia="宋体" w:cs="宋体" w:asciiTheme="minorAscii" w:hAnsiTheme="minorAscii"/>
                <w:sz w:val="21"/>
                <w:szCs w:val="21"/>
                <w:lang w:val="en-US" w:eastAsia="zh-CN"/>
              </w:rPr>
              <w:t>Support cross-network zone data exchange and service request invocation following ImmD network security isolation policy.</w:t>
            </w:r>
          </w:p>
          <w:p w14:paraId="29AF52B3">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sz w:val="21"/>
                <w:szCs w:val="21"/>
                <w:lang w:val="en-US" w:eastAsia="zh-CN"/>
              </w:rPr>
            </w:pPr>
            <w:r>
              <w:rPr>
                <w:rFonts w:hint="default" w:asciiTheme="minorAscii" w:hAnsiTheme="minorAscii"/>
                <w:color w:val="222222"/>
                <w:sz w:val="21"/>
                <w:szCs w:val="21"/>
              </w:rPr>
              <w:t>•</w:t>
            </w:r>
            <w:r>
              <w:rPr>
                <w:rFonts w:hint="default" w:eastAsia="宋体" w:cs="宋体" w:asciiTheme="minorAscii" w:hAnsiTheme="minorAscii"/>
                <w:sz w:val="21"/>
                <w:szCs w:val="21"/>
                <w:lang w:val="en-US" w:eastAsia="zh-CN"/>
              </w:rPr>
              <w:t xml:space="preserve"> Receive structured application metadata and unstructured attachment files via dedicated interface server.</w:t>
            </w:r>
          </w:p>
          <w:p w14:paraId="0550B06D">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sz w:val="21"/>
                <w:szCs w:val="21"/>
                <w:lang w:val="en-US" w:eastAsia="zh-CN"/>
              </w:rPr>
            </w:pPr>
            <w:r>
              <w:rPr>
                <w:rFonts w:hint="default" w:asciiTheme="minorAscii" w:hAnsiTheme="minorAscii"/>
                <w:color w:val="222222"/>
                <w:sz w:val="21"/>
                <w:szCs w:val="21"/>
              </w:rPr>
              <w:t>•</w:t>
            </w:r>
            <w:r>
              <w:rPr>
                <w:rFonts w:hint="default" w:eastAsia="宋体" w:cs="宋体" w:asciiTheme="minorAscii" w:hAnsiTheme="minorAscii"/>
                <w:sz w:val="21"/>
                <w:szCs w:val="21"/>
                <w:lang w:val="en-US" w:eastAsia="zh-CN"/>
              </w:rPr>
              <w:t xml:space="preserve"> Deliver PDF reports, structured result data and statistical logs back to ImmD downstream systems through standard API.</w:t>
            </w:r>
          </w:p>
          <w:p w14:paraId="06E09447">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pPr>
            <w:r>
              <w:rPr>
                <w:rFonts w:hint="default" w:asciiTheme="minorAscii" w:hAnsiTheme="minorAscii"/>
                <w:color w:val="222222"/>
                <w:sz w:val="21"/>
                <w:szCs w:val="21"/>
              </w:rPr>
              <w:t>•</w:t>
            </w:r>
            <w:r>
              <w:rPr>
                <w:rFonts w:hint="default" w:eastAsia="宋体" w:cs="宋体" w:asciiTheme="minorAscii" w:hAnsiTheme="minorAscii"/>
                <w:sz w:val="21"/>
                <w:szCs w:val="21"/>
                <w:lang w:val="en-US" w:eastAsia="zh-CN"/>
              </w:rPr>
              <w:t xml:space="preserve"> Support customized interface development if existing API specification cannot match AI solution data format.</w:t>
            </w:r>
          </w:p>
        </w:tc>
      </w:tr>
    </w:tbl>
    <w:p w14:paraId="0896DD28"/>
    <w:p w14:paraId="7A80DF0E">
      <w:pPr>
        <w:spacing w:before="280" w:after="80"/>
      </w:pPr>
      <w:r>
        <w:rPr>
          <w:b/>
          <w:color w:val="003D7A"/>
          <w:sz w:val="26"/>
        </w:rPr>
        <w:t>5.3 End-to-End Accuracy Rate &amp; Calculation Method (please propose)</w:t>
      </w:r>
    </w:p>
    <w:p w14:paraId="5A7DA55B">
      <w:pPr>
        <w:spacing w:after="120"/>
      </w:pPr>
      <w:r>
        <w:rPr>
          <w:i/>
          <w:color w:val="222222"/>
          <w:sz w:val="20"/>
        </w:rPr>
        <w:t>Please complete: (a) committed accuracy % (b) accuracy definition (e.g. character / word / field / business-level) (c) measurement method (test set size, metrics such as precision / recall / F1).  請填寫：(a) 承諾準確率 % (b) 準確率定義 (c) 量測方法。</w:t>
      </w:r>
    </w:p>
    <w:tbl>
      <w:tblPr>
        <w:tblStyle w:val="32"/>
        <w:tblW w:w="0" w:type="auto"/>
        <w:jc w:val="center"/>
        <w:tblLayout w:type="fixed"/>
        <w:tblCellMar>
          <w:top w:w="0" w:type="dxa"/>
          <w:left w:w="108" w:type="dxa"/>
          <w:bottom w:w="0" w:type="dxa"/>
          <w:right w:w="108" w:type="dxa"/>
        </w:tblCellMar>
      </w:tblPr>
      <w:tblGrid>
        <w:gridCol w:w="2550"/>
        <w:gridCol w:w="2550"/>
        <w:gridCol w:w="2550"/>
        <w:gridCol w:w="2550"/>
      </w:tblGrid>
      <w:tr w14:paraId="32861CBF">
        <w:tblPrEx>
          <w:tblCellMar>
            <w:top w:w="0" w:type="dxa"/>
            <w:left w:w="108" w:type="dxa"/>
            <w:bottom w:w="0" w:type="dxa"/>
            <w:right w:w="108" w:type="dxa"/>
          </w:tblCellMar>
        </w:tblPrEx>
        <w:trPr>
          <w:trHeight w:val="576" w:hRule="atLeast"/>
          <w:jc w:val="center"/>
        </w:trPr>
        <w:tc>
          <w:tcPr>
            <w:tcW w:w="2550" w:type="dxa"/>
            <w:shd w:val="clear" w:color="auto" w:fill="003D7A"/>
            <w:vAlign w:val="center"/>
          </w:tcPr>
          <w:p w14:paraId="2CE91475">
            <w:r>
              <w:rPr>
                <w:b/>
                <w:color w:val="FFFFFF"/>
                <w:sz w:val="20"/>
              </w:rPr>
              <w:t>AI Function</w:t>
            </w:r>
          </w:p>
        </w:tc>
        <w:tc>
          <w:tcPr>
            <w:tcW w:w="2550" w:type="dxa"/>
            <w:shd w:val="clear" w:color="auto" w:fill="003D7A"/>
            <w:vAlign w:val="center"/>
          </w:tcPr>
          <w:p w14:paraId="26CE26DA">
            <w:r>
              <w:rPr>
                <w:b/>
                <w:color w:val="FFFFFF"/>
                <w:sz w:val="20"/>
              </w:rPr>
              <w:t>Committed Accuracy (%)</w:t>
            </w:r>
          </w:p>
        </w:tc>
        <w:tc>
          <w:tcPr>
            <w:tcW w:w="2550" w:type="dxa"/>
            <w:shd w:val="clear" w:color="auto" w:fill="003D7A"/>
            <w:vAlign w:val="center"/>
          </w:tcPr>
          <w:p w14:paraId="18157030">
            <w:r>
              <w:rPr>
                <w:b/>
                <w:color w:val="FFFFFF"/>
                <w:sz w:val="20"/>
              </w:rPr>
              <w:t>Accuracy Definition</w:t>
            </w:r>
          </w:p>
        </w:tc>
        <w:tc>
          <w:tcPr>
            <w:tcW w:w="2550" w:type="dxa"/>
            <w:shd w:val="clear" w:color="auto" w:fill="003D7A"/>
            <w:vAlign w:val="center"/>
          </w:tcPr>
          <w:p w14:paraId="7199DB38">
            <w:r>
              <w:rPr>
                <w:b/>
                <w:color w:val="FFFFFF"/>
                <w:sz w:val="20"/>
              </w:rPr>
              <w:t>Measurement Method</w:t>
            </w:r>
          </w:p>
        </w:tc>
      </w:tr>
      <w:tr w14:paraId="7B093BC1">
        <w:tblPrEx>
          <w:tblCellMar>
            <w:top w:w="0" w:type="dxa"/>
            <w:left w:w="108" w:type="dxa"/>
            <w:bottom w:w="0" w:type="dxa"/>
            <w:right w:w="108" w:type="dxa"/>
          </w:tblCellMar>
        </w:tblPrEx>
        <w:trPr>
          <w:trHeight w:val="1007" w:hRule="atLeast"/>
          <w:jc w:val="center"/>
        </w:trPr>
        <w:tc>
          <w:tcPr>
            <w:tcW w:w="2550" w:type="dxa"/>
            <w:tcBorders>
              <w:top w:val="single" w:color="888888" w:sz="6" w:space="0"/>
              <w:left w:val="single" w:color="888888" w:sz="6" w:space="0"/>
              <w:bottom w:val="single" w:color="888888" w:sz="6" w:space="0"/>
              <w:right w:val="single" w:color="888888" w:sz="6" w:space="0"/>
            </w:tcBorders>
            <w:vAlign w:val="top"/>
          </w:tcPr>
          <w:p w14:paraId="14F6D7EE">
            <w:r>
              <w:rPr>
                <w:b/>
                <w:color w:val="222222"/>
                <w:sz w:val="20"/>
              </w:rPr>
              <w:t>Combined Workflow (End-to-End)</w:t>
            </w:r>
          </w:p>
        </w:tc>
        <w:tc>
          <w:tcPr>
            <w:tcW w:w="2550" w:type="dxa"/>
            <w:tcBorders>
              <w:top w:val="single" w:color="888888" w:sz="6" w:space="0"/>
              <w:left w:val="single" w:color="888888" w:sz="6" w:space="0"/>
              <w:bottom w:val="single" w:color="888888" w:sz="6" w:space="0"/>
              <w:right w:val="single" w:color="888888" w:sz="6" w:space="0"/>
            </w:tcBorders>
            <w:vAlign w:val="top"/>
          </w:tcPr>
          <w:p w14:paraId="62F20F5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≥90%</w:t>
            </w:r>
          </w:p>
        </w:tc>
        <w:tc>
          <w:tcPr>
            <w:tcW w:w="2550" w:type="dxa"/>
            <w:tcBorders>
              <w:top w:val="single" w:color="888888" w:sz="6" w:space="0"/>
              <w:left w:val="single" w:color="888888" w:sz="6" w:space="0"/>
              <w:bottom w:val="single" w:color="888888" w:sz="6" w:space="0"/>
              <w:right w:val="single" w:color="888888" w:sz="6" w:space="0"/>
            </w:tcBorders>
            <w:vAlign w:val="top"/>
          </w:tcPr>
          <w:p w14:paraId="705F2D3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End-to-end business pass rate of full case processing, covering classification, verification and minutes generation</w:t>
            </w:r>
          </w:p>
        </w:tc>
        <w:tc>
          <w:tcPr>
            <w:tcW w:w="2550" w:type="dxa"/>
            <w:tcBorders>
              <w:top w:val="single" w:color="888888" w:sz="6" w:space="0"/>
              <w:left w:val="single" w:color="888888" w:sz="6" w:space="0"/>
              <w:bottom w:val="single" w:color="888888" w:sz="6" w:space="0"/>
              <w:right w:val="single" w:color="888888" w:sz="6" w:space="0"/>
            </w:tcBorders>
            <w:vAlign w:val="top"/>
          </w:tcPr>
          <w:p w14:paraId="6F7835B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Adopt full lifecycle case test set; measure overall pass rate without manual intervention and average manual modification workload.</w:t>
            </w:r>
          </w:p>
        </w:tc>
      </w:tr>
    </w:tbl>
    <w:p w14:paraId="41DFBCD0"/>
    <w:p w14:paraId="318EBDA0">
      <w:r>
        <w:br w:type="page"/>
      </w:r>
    </w:p>
    <w:p w14:paraId="33D8BCC0">
      <w:pPr>
        <w:spacing w:before="440" w:after="80"/>
      </w:pPr>
      <w:r>
        <w:rPr>
          <w:b/>
          <w:color w:val="003D7A"/>
          <w:sz w:val="32"/>
        </w:rPr>
        <w:t>6. AI Requirement — Tuning, Feedback, Accuracy（持續優化）</w:t>
      </w:r>
    </w:p>
    <w:p w14:paraId="72B9F4D4">
      <w:pPr>
        <w:spacing w:after="80"/>
      </w:pPr>
      <w:r>
        <w:rPr>
          <w:i/>
          <w:color w:val="555555"/>
          <w:sz w:val="19"/>
        </w:rPr>
        <w:t>[ Annex I Table 1 — System Accuracy · RFI 4.2.5 ]</w:t>
      </w:r>
    </w:p>
    <w:tbl>
      <w:tblPr>
        <w:tblStyle w:val="32"/>
        <w:tblW w:w="0" w:type="auto"/>
        <w:jc w:val="center"/>
        <w:tblLayout w:type="fixed"/>
        <w:tblCellMar>
          <w:top w:w="0" w:type="dxa"/>
          <w:left w:w="108" w:type="dxa"/>
          <w:bottom w:w="0" w:type="dxa"/>
          <w:right w:w="108" w:type="dxa"/>
        </w:tblCellMar>
      </w:tblPr>
      <w:tblGrid>
        <w:gridCol w:w="10200"/>
      </w:tblGrid>
      <w:tr w14:paraId="66C8B6D2">
        <w:tblPrEx>
          <w:tblCellMar>
            <w:top w:w="0" w:type="dxa"/>
            <w:left w:w="108" w:type="dxa"/>
            <w:bottom w:w="0" w:type="dxa"/>
            <w:right w:w="108" w:type="dxa"/>
          </w:tblCellMar>
        </w:tblPrEx>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4543A5C7">
            <w:pPr>
              <w:spacing w:after="80"/>
            </w:pPr>
            <w:r>
              <w:rPr>
                <w:b/>
                <w:color w:val="003D7A"/>
                <w:sz w:val="18"/>
              </w:rPr>
              <w:t>RFI 4.2.5 — Original (English):</w:t>
            </w:r>
          </w:p>
          <w:p w14:paraId="4A47A6AD">
            <w:pPr>
              <w:spacing w:after="40"/>
            </w:pPr>
            <w:r>
              <w:rPr>
                <w:i/>
                <w:color w:val="333333"/>
                <w:sz w:val="19"/>
              </w:rPr>
              <w:t>4.2.5 AI Requirement</w:t>
            </w:r>
          </w:p>
          <w:p w14:paraId="7AB27538">
            <w:pPr>
              <w:spacing w:after="40"/>
            </w:pPr>
            <w:r>
              <w:rPr>
                <w:i/>
                <w:color w:val="333333"/>
                <w:sz w:val="19"/>
              </w:rPr>
              <w:t>4.2.5.1 Shall utilize cutting-edge OCR and AI technology including Generative AI, e.g., Large Language Models (LLMs) to support the functional requirements;</w:t>
            </w:r>
          </w:p>
          <w:p w14:paraId="29536C11">
            <w:pPr>
              <w:spacing w:after="40"/>
            </w:pPr>
            <w:r>
              <w:rPr>
                <w:i/>
                <w:color w:val="333333"/>
                <w:sz w:val="19"/>
              </w:rPr>
              <w:t>4.2.5.2 Shall implement a quantitative scoring mechanism for all AI processes to validate the accuracy</w:t>
            </w:r>
          </w:p>
          <w:p w14:paraId="64EA3909">
            <w:pPr>
              <w:spacing w:after="40"/>
            </w:pPr>
            <w:r>
              <w:rPr>
                <w:i/>
                <w:color w:val="333333"/>
                <w:sz w:val="19"/>
              </w:rPr>
              <w:t>4.2.5.3 Shall provide continuous model tuning and training services to ensure a sustained accuracy rate (e.g. 90%) throughout the Implementation and Maintenance period.</w:t>
            </w:r>
          </w:p>
          <w:p w14:paraId="60DF899D">
            <w:pPr>
              <w:spacing w:after="40"/>
            </w:pPr>
            <w:r>
              <w:rPr>
                <w:i/>
                <w:color w:val="333333"/>
                <w:sz w:val="19"/>
              </w:rPr>
              <w:t>4.2.5.4 Shall support various tuning and training methodologies including but not limited to supervised and unsupervised and Reinforcement Learning from Human Feedback (RLHF).</w:t>
            </w:r>
          </w:p>
          <w:p w14:paraId="02026AF8">
            <w:pPr>
              <w:spacing w:after="40"/>
            </w:pPr>
            <w:r>
              <w:rPr>
                <w:i/>
                <w:color w:val="333333"/>
                <w:sz w:val="19"/>
              </w:rPr>
              <w:t>4.2.5.5 Shall be able to export AI-generated results, data, images, and reports via standardized APIs or interfaces with internal ImmD System(s)</w:t>
            </w:r>
          </w:p>
          <w:p w14:paraId="2E5217A6">
            <w:pPr>
              <w:spacing w:after="40"/>
            </w:pPr>
            <w:r>
              <w:rPr>
                <w:i/>
                <w:color w:val="333333"/>
                <w:sz w:val="19"/>
              </w:rPr>
              <w:t>4.2.5.6 Shall provide standardized interface or API capture user feedback on AI results, driving higher accuracy and satisfaction</w:t>
            </w:r>
          </w:p>
          <w:p w14:paraId="27287F51">
            <w:pPr>
              <w:spacing w:after="40"/>
            </w:pPr>
            <w:r>
              <w:rPr>
                <w:i/>
                <w:color w:val="333333"/>
                <w:sz w:val="19"/>
              </w:rPr>
              <w:t>4.2.5.7 Shall allow technical staff to perform advanced model tuning, retraining, versioning, and deployment across the system ecosystem</w:t>
            </w:r>
          </w:p>
        </w:tc>
      </w:tr>
      <w:tr w14:paraId="0EB35626">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54A38F6F">
            <w:pPr>
              <w:spacing w:after="80"/>
            </w:pPr>
            <w:r>
              <w:rPr>
                <w:b/>
                <w:color w:val="3A5A00"/>
                <w:sz w:val="18"/>
              </w:rPr>
              <w:t>中文解釋 (CMHK reference)：</w:t>
            </w:r>
          </w:p>
          <w:p w14:paraId="3B1FCCD6">
            <w:pPr>
              <w:spacing w:after="40"/>
            </w:pPr>
            <w:r>
              <w:rPr>
                <w:i/>
                <w:color w:val="333333"/>
                <w:sz w:val="19"/>
              </w:rPr>
              <w:t>4.2.5 AI 要求</w:t>
            </w:r>
          </w:p>
          <w:p w14:paraId="69124A24">
            <w:pPr>
              <w:spacing w:after="40"/>
            </w:pPr>
            <w:r>
              <w:rPr>
                <w:i/>
                <w:color w:val="333333"/>
                <w:sz w:val="19"/>
              </w:rPr>
              <w:t>4.2.5.1 應採用前沿 OCR 與 AI 技術（含生成式 AI，例如 LLM）以支援功能需求</w:t>
            </w:r>
          </w:p>
          <w:p w14:paraId="221082B0">
            <w:pPr>
              <w:spacing w:after="40"/>
            </w:pPr>
            <w:r>
              <w:rPr>
                <w:i/>
                <w:color w:val="333333"/>
                <w:sz w:val="19"/>
              </w:rPr>
              <w:t>4.2.5.2 應對所有 AI 流程實作量化評分機制以驗證準確率</w:t>
            </w:r>
          </w:p>
          <w:p w14:paraId="5C846072">
            <w:pPr>
              <w:spacing w:after="40"/>
            </w:pPr>
            <w:r>
              <w:rPr>
                <w:i/>
                <w:color w:val="333333"/>
                <w:sz w:val="19"/>
              </w:rPr>
              <w:t>4.2.5.3 應提供持續模型微調與訓練服務，確保整個實施與維護期準確率維持（如 90%）</w:t>
            </w:r>
          </w:p>
          <w:p w14:paraId="36560964">
            <w:pPr>
              <w:spacing w:after="40"/>
            </w:pPr>
            <w:r>
              <w:rPr>
                <w:i/>
                <w:color w:val="333333"/>
                <w:sz w:val="19"/>
              </w:rPr>
              <w:t>4.2.5.4 應支援多種微調與訓練方法，包含但不限於監督式、非監督式及 RLHF</w:t>
            </w:r>
          </w:p>
          <w:p w14:paraId="77A02595">
            <w:pPr>
              <w:spacing w:after="40"/>
            </w:pPr>
            <w:r>
              <w:rPr>
                <w:i/>
                <w:color w:val="333333"/>
                <w:sz w:val="19"/>
              </w:rPr>
              <w:t>4.2.5.5 應能透過標準化 API 或與內部 ImmD 系統之介面，匯出 AI 生成之結果、資料、圖像、報表</w:t>
            </w:r>
          </w:p>
          <w:p w14:paraId="270FEA03">
            <w:pPr>
              <w:spacing w:after="40"/>
            </w:pPr>
            <w:r>
              <w:rPr>
                <w:i/>
                <w:color w:val="333333"/>
                <w:sz w:val="19"/>
              </w:rPr>
              <w:t>4.2.5.6 應提供標準化介面或 API 收集使用者對 AI 結果之反饋，以提升準確率與滿意度</w:t>
            </w:r>
          </w:p>
          <w:p w14:paraId="4633F38B">
            <w:pPr>
              <w:spacing w:after="40"/>
            </w:pPr>
            <w:r>
              <w:rPr>
                <w:i/>
                <w:color w:val="333333"/>
                <w:sz w:val="19"/>
              </w:rPr>
              <w:t>4.2.5.7 應允許技術人員於系統生態內進行進階模型微調、重訓、版本管理與部署</w:t>
            </w:r>
          </w:p>
        </w:tc>
      </w:tr>
    </w:tbl>
    <w:p w14:paraId="09DACA00"/>
    <w:p w14:paraId="0EE3C5FB">
      <w:pPr>
        <w:spacing w:before="280" w:after="80"/>
      </w:pPr>
      <w:r>
        <w:rPr>
          <w:b/>
          <w:color w:val="003D7A"/>
          <w:sz w:val="26"/>
        </w:rPr>
        <w:t>6.1 Model Tuning &amp; Continuous Optimization</w:t>
      </w:r>
    </w:p>
    <w:p w14:paraId="5FCB6891">
      <w:pPr>
        <w:spacing w:after="60"/>
        <w:ind w:left="360"/>
      </w:pPr>
      <w:r>
        <w:rPr>
          <w:color w:val="222222"/>
          <w:sz w:val="20"/>
        </w:rPr>
        <w:t>• Approach for maintaining ≥ 90% accuracy throughout implementation + 5-yr maintenance (RFI 4.2.5.3)</w:t>
      </w:r>
    </w:p>
    <w:p w14:paraId="0C5CD007">
      <w:pPr>
        <w:spacing w:after="60"/>
        <w:ind w:left="360"/>
      </w:pPr>
      <w:r>
        <w:rPr>
          <w:color w:val="222222"/>
          <w:sz w:val="20"/>
        </w:rPr>
        <w:t>• Tuning methods supported (supervised / unsupervised / RLHF — RFI 4.2.5.4)</w:t>
      </w:r>
    </w:p>
    <w:tbl>
      <w:tblPr>
        <w:tblStyle w:val="32"/>
        <w:tblW w:w="0" w:type="auto"/>
        <w:jc w:val="center"/>
        <w:tblLayout w:type="fixed"/>
        <w:tblCellMar>
          <w:top w:w="0" w:type="dxa"/>
          <w:left w:w="108" w:type="dxa"/>
          <w:bottom w:w="0" w:type="dxa"/>
          <w:right w:w="108" w:type="dxa"/>
        </w:tblCellMar>
      </w:tblPr>
      <w:tblGrid>
        <w:gridCol w:w="10200"/>
      </w:tblGrid>
      <w:tr w14:paraId="16390FDA">
        <w:tblPrEx>
          <w:tblCellMar>
            <w:top w:w="0" w:type="dxa"/>
            <w:left w:w="108" w:type="dxa"/>
            <w:bottom w:w="0" w:type="dxa"/>
            <w:right w:w="108" w:type="dxa"/>
          </w:tblCellMar>
        </w:tblPrEx>
        <w:trPr>
          <w:trHeight w:val="600" w:hRule="atLeast"/>
          <w:jc w:val="center"/>
        </w:trPr>
        <w:tc>
          <w:tcPr>
            <w:tcW w:w="10200" w:type="dxa"/>
            <w:tcBorders>
              <w:top w:val="single" w:color="888888" w:sz="6" w:space="0"/>
              <w:left w:val="single" w:color="888888" w:sz="6" w:space="0"/>
              <w:bottom w:val="single" w:color="888888" w:sz="6" w:space="0"/>
              <w:right w:val="single" w:color="888888" w:sz="6" w:space="0"/>
            </w:tcBorders>
          </w:tcPr>
          <w:p w14:paraId="7E84F81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eastAsia="宋体" w:cs="宋体" w:asciiTheme="minorAscii" w:hAnsiTheme="minorAscii"/>
                <w:sz w:val="21"/>
                <w:szCs w:val="21"/>
              </w:rPr>
            </w:pPr>
            <w:r>
              <w:rPr>
                <w:rFonts w:hint="default" w:asciiTheme="minorAscii" w:hAnsiTheme="minorAscii"/>
                <w:color w:val="222222"/>
                <w:sz w:val="21"/>
                <w:szCs w:val="21"/>
              </w:rPr>
              <w:t>•</w:t>
            </w:r>
            <w:r>
              <w:rPr>
                <w:rFonts w:hint="default" w:eastAsia="宋体" w:cs="宋体" w:asciiTheme="minorAscii" w:hAnsiTheme="minorAscii"/>
                <w:sz w:val="21"/>
                <w:szCs w:val="21"/>
              </w:rPr>
              <w:t xml:space="preserve"> The solution strictly maintains overall AI accuracy ≥90% throughout implementation and 5-year maintenance period.</w:t>
            </w:r>
          </w:p>
          <w:p w14:paraId="65C866D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eastAsia="宋体" w:cs="宋体" w:asciiTheme="minorAscii" w:hAnsiTheme="minorAscii"/>
                <w:sz w:val="21"/>
                <w:szCs w:val="21"/>
              </w:rPr>
            </w:pPr>
            <w:r>
              <w:rPr>
                <w:rFonts w:hint="default" w:asciiTheme="minorAscii" w:hAnsiTheme="minorAscii"/>
                <w:color w:val="222222"/>
                <w:sz w:val="21"/>
                <w:szCs w:val="21"/>
              </w:rPr>
              <w:t>•</w:t>
            </w:r>
            <w:r>
              <w:rPr>
                <w:rFonts w:hint="default" w:eastAsia="宋体" w:cs="宋体" w:asciiTheme="minorAscii" w:hAnsiTheme="minorAscii"/>
                <w:sz w:val="21"/>
                <w:szCs w:val="21"/>
              </w:rPr>
              <w:t xml:space="preserve"> Support multiple training and tuning methodologies: Supervised Learning, Unsupervised Learning and Reinforcement Learning from Human Feedback (RLHF).</w:t>
            </w:r>
          </w:p>
          <w:p w14:paraId="3D912B4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eastAsia="宋体" w:cs="宋体" w:asciiTheme="minorAscii" w:hAnsiTheme="minorAscii"/>
                <w:sz w:val="21"/>
                <w:szCs w:val="21"/>
              </w:rPr>
            </w:pPr>
            <w:r>
              <w:rPr>
                <w:rFonts w:hint="default" w:asciiTheme="minorAscii" w:hAnsiTheme="minorAscii"/>
                <w:color w:val="222222"/>
                <w:sz w:val="21"/>
                <w:szCs w:val="21"/>
              </w:rPr>
              <w:t>•</w:t>
            </w:r>
            <w:r>
              <w:rPr>
                <w:rFonts w:hint="default" w:eastAsia="宋体" w:cs="宋体" w:asciiTheme="minorAscii" w:hAnsiTheme="minorAscii"/>
                <w:sz w:val="21"/>
                <w:szCs w:val="21"/>
              </w:rPr>
              <w:t xml:space="preserve"> Establish dedicated iteration mechanism: collect officer correction records, abnormal case samples and manual modification content, regularly update training corpus, perform model fine-tuning and version iteration.</w:t>
            </w:r>
          </w:p>
          <w:p w14:paraId="117EB900">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hint="default" w:asciiTheme="minorAscii" w:hAnsiTheme="minorAscii"/>
                <w:color w:val="222222"/>
                <w:sz w:val="21"/>
                <w:szCs w:val="21"/>
              </w:rPr>
              <w:t>•</w:t>
            </w:r>
            <w:r>
              <w:rPr>
                <w:rFonts w:hint="default" w:eastAsia="宋体" w:cs="宋体" w:asciiTheme="minorAscii" w:hAnsiTheme="minorAscii"/>
                <w:sz w:val="21"/>
                <w:szCs w:val="21"/>
              </w:rPr>
              <w:t xml:space="preserve"> Support model version management, A/B testing, canary deployment and rollback mechanism to ensure service stability during tuning.</w:t>
            </w:r>
          </w:p>
        </w:tc>
      </w:tr>
    </w:tbl>
    <w:p w14:paraId="5E7246B4"/>
    <w:p w14:paraId="2E2B30B9">
      <w:pPr>
        <w:spacing w:before="280" w:after="80"/>
      </w:pPr>
      <w:r>
        <w:rPr>
          <w:b/>
          <w:color w:val="003D7A"/>
          <w:sz w:val="26"/>
        </w:rPr>
        <w:t>6.2 User Feedback API (4.2.5.6)</w:t>
      </w:r>
    </w:p>
    <w:p w14:paraId="7EA92675">
      <w:pPr>
        <w:spacing w:after="60"/>
        <w:ind w:left="360"/>
      </w:pPr>
      <w:r>
        <w:rPr>
          <w:color w:val="222222"/>
          <w:sz w:val="20"/>
        </w:rPr>
        <w:t>• API design — capturing officer adoption / correction data and feeding back to training corpus</w:t>
      </w:r>
    </w:p>
    <w:tbl>
      <w:tblPr>
        <w:tblStyle w:val="32"/>
        <w:tblW w:w="0" w:type="auto"/>
        <w:jc w:val="center"/>
        <w:tblLayout w:type="fixed"/>
        <w:tblCellMar>
          <w:top w:w="0" w:type="dxa"/>
          <w:left w:w="108" w:type="dxa"/>
          <w:bottom w:w="0" w:type="dxa"/>
          <w:right w:w="108" w:type="dxa"/>
        </w:tblCellMar>
      </w:tblPr>
      <w:tblGrid>
        <w:gridCol w:w="10200"/>
      </w:tblGrid>
      <w:tr w14:paraId="3C584651">
        <w:tblPrEx>
          <w:tblCellMar>
            <w:top w:w="0" w:type="dxa"/>
            <w:left w:w="108" w:type="dxa"/>
            <w:bottom w:w="0" w:type="dxa"/>
            <w:right w:w="108" w:type="dxa"/>
          </w:tblCellMar>
        </w:tblPrEx>
        <w:trPr>
          <w:trHeight w:val="2592" w:hRule="atLeast"/>
          <w:jc w:val="center"/>
        </w:trPr>
        <w:tc>
          <w:tcPr>
            <w:tcW w:w="10200" w:type="dxa"/>
            <w:tcBorders>
              <w:top w:val="single" w:color="888888" w:sz="6" w:space="0"/>
              <w:left w:val="single" w:color="888888" w:sz="6" w:space="0"/>
              <w:bottom w:val="single" w:color="888888" w:sz="6" w:space="0"/>
              <w:right w:val="single" w:color="888888" w:sz="6" w:space="0"/>
            </w:tcBorders>
          </w:tcPr>
          <w:p w14:paraId="38A1ED2F">
            <w:pPr>
              <w:rPr>
                <w:rFonts w:hint="eastAsia"/>
              </w:rPr>
            </w:pPr>
            <w:r>
              <w:rPr>
                <w:rFonts w:hint="eastAsia"/>
              </w:rPr>
              <w:t>Provide standardized dedicated feedback API to collect:</w:t>
            </w:r>
          </w:p>
          <w:p w14:paraId="697B32BA">
            <w:pPr>
              <w:rPr>
                <w:rFonts w:hint="eastAsia"/>
              </w:rPr>
            </w:pPr>
            <w:r>
              <w:rPr>
                <w:rFonts w:hint="default" w:asciiTheme="minorAscii" w:hAnsiTheme="minorAscii"/>
                <w:color w:val="222222"/>
                <w:sz w:val="21"/>
                <w:szCs w:val="21"/>
              </w:rPr>
              <w:t>•</w:t>
            </w:r>
            <w:r>
              <w:rPr>
                <w:rFonts w:hint="eastAsia"/>
              </w:rPr>
              <w:t xml:space="preserve"> Case officer’s manual correction on document classification result</w:t>
            </w:r>
          </w:p>
          <w:p w14:paraId="0CBAF82B">
            <w:pPr>
              <w:rPr>
                <w:rFonts w:hint="eastAsia"/>
              </w:rPr>
            </w:pPr>
            <w:r>
              <w:rPr>
                <w:rFonts w:hint="default" w:asciiTheme="minorAscii" w:hAnsiTheme="minorAscii"/>
                <w:color w:val="222222"/>
                <w:sz w:val="21"/>
                <w:szCs w:val="21"/>
              </w:rPr>
              <w:t>•</w:t>
            </w:r>
            <w:r>
              <w:rPr>
                <w:rFonts w:hint="eastAsia"/>
              </w:rPr>
              <w:t xml:space="preserve"> Manual adjustment on data verification abnormal marking</w:t>
            </w:r>
          </w:p>
          <w:p w14:paraId="168A83DE">
            <w:pPr>
              <w:rPr>
                <w:rFonts w:hint="eastAsia"/>
              </w:rPr>
            </w:pPr>
            <w:r>
              <w:rPr>
                <w:rFonts w:hint="default" w:asciiTheme="minorAscii" w:hAnsiTheme="minorAscii"/>
                <w:color w:val="222222"/>
                <w:sz w:val="21"/>
                <w:szCs w:val="21"/>
              </w:rPr>
              <w:t>•</w:t>
            </w:r>
            <w:r>
              <w:rPr>
                <w:rFonts w:hint="eastAsia"/>
              </w:rPr>
              <w:t xml:space="preserve"> Content modification and wording adjustment on auto-generated minutes draft</w:t>
            </w:r>
          </w:p>
          <w:p w14:paraId="68540DF7">
            <w:pPr>
              <w:rPr>
                <w:rFonts w:hint="eastAsia"/>
              </w:rPr>
            </w:pPr>
            <w:r>
              <w:rPr>
                <w:rFonts w:hint="default" w:asciiTheme="minorAscii" w:hAnsiTheme="minorAscii"/>
                <w:color w:val="222222"/>
                <w:sz w:val="21"/>
                <w:szCs w:val="21"/>
              </w:rPr>
              <w:t>•</w:t>
            </w:r>
            <w:r>
              <w:rPr>
                <w:rFonts w:hint="eastAsia"/>
              </w:rPr>
              <w:t xml:space="preserve"> User satisfaction label and error feedback tagging</w:t>
            </w:r>
          </w:p>
          <w:p w14:paraId="685778B5">
            <w:r>
              <w:rPr>
                <w:rFonts w:hint="eastAsia"/>
              </w:rPr>
              <w:t>All feedback data will be automatically structured and archived into</w:t>
            </w:r>
            <w:r>
              <w:rPr>
                <w:rFonts w:hint="eastAsia" w:eastAsia="宋体"/>
                <w:lang w:val="en-US" w:eastAsia="zh-CN"/>
              </w:rPr>
              <w:t xml:space="preserve"> </w:t>
            </w:r>
            <w:bookmarkStart w:id="0" w:name="_GoBack"/>
            <w:bookmarkEnd w:id="0"/>
            <w:r>
              <w:rPr>
                <w:rFonts w:hint="eastAsia" w:eastAsia="宋体"/>
                <w:lang w:val="en-US" w:eastAsia="zh-CN"/>
              </w:rPr>
              <w:t>a</w:t>
            </w:r>
            <w:r>
              <w:rPr>
                <w:rFonts w:hint="eastAsia"/>
              </w:rPr>
              <w:t xml:space="preserve"> training dataset, feeding back to model fine-tuning pipeline to continuously lift accuracy and service satisfaction.</w:t>
            </w:r>
          </w:p>
        </w:tc>
      </w:tr>
    </w:tbl>
    <w:p w14:paraId="0E3E5777"/>
    <w:p w14:paraId="34CBE953">
      <w:pPr>
        <w:spacing w:before="280" w:after="80"/>
      </w:pPr>
      <w:r>
        <w:rPr>
          <w:b/>
          <w:color w:val="003D7A"/>
          <w:sz w:val="26"/>
        </w:rPr>
        <w:t>6.3 Consolidated Accuracy Table (please propose for each function)</w:t>
      </w:r>
    </w:p>
    <w:p w14:paraId="75A21BF6">
      <w:pPr>
        <w:spacing w:after="120"/>
      </w:pPr>
      <w:r>
        <w:rPr>
          <w:i/>
          <w:color w:val="222222"/>
          <w:sz w:val="20"/>
        </w:rPr>
        <w:t>Please complete: (a) committed accuracy % (b) accuracy definition (e.g. character / word / field / business-level) (c) measurement method (test set size, metrics such as precision / recall / F1).  請填寫：(a) 承諾準確率 % (b) 準確率定義 (c) 量測方法。</w:t>
      </w:r>
    </w:p>
    <w:tbl>
      <w:tblPr>
        <w:tblStyle w:val="32"/>
        <w:tblW w:w="0" w:type="auto"/>
        <w:jc w:val="center"/>
        <w:tblLayout w:type="fixed"/>
        <w:tblCellMar>
          <w:top w:w="0" w:type="dxa"/>
          <w:left w:w="108" w:type="dxa"/>
          <w:bottom w:w="0" w:type="dxa"/>
          <w:right w:w="108" w:type="dxa"/>
        </w:tblCellMar>
      </w:tblPr>
      <w:tblGrid>
        <w:gridCol w:w="2550"/>
        <w:gridCol w:w="2550"/>
        <w:gridCol w:w="2550"/>
        <w:gridCol w:w="2550"/>
      </w:tblGrid>
      <w:tr w14:paraId="18D768DD">
        <w:tblPrEx>
          <w:tblCellMar>
            <w:top w:w="0" w:type="dxa"/>
            <w:left w:w="108" w:type="dxa"/>
            <w:bottom w:w="0" w:type="dxa"/>
            <w:right w:w="108" w:type="dxa"/>
          </w:tblCellMar>
        </w:tblPrEx>
        <w:trPr>
          <w:trHeight w:val="576" w:hRule="atLeast"/>
          <w:jc w:val="center"/>
        </w:trPr>
        <w:tc>
          <w:tcPr>
            <w:tcW w:w="2550" w:type="dxa"/>
            <w:shd w:val="clear" w:color="auto" w:fill="003D7A"/>
            <w:vAlign w:val="center"/>
          </w:tcPr>
          <w:p w14:paraId="506A28A4">
            <w:r>
              <w:rPr>
                <w:b/>
                <w:color w:val="FFFFFF"/>
                <w:sz w:val="20"/>
              </w:rPr>
              <w:t>AI Function</w:t>
            </w:r>
          </w:p>
        </w:tc>
        <w:tc>
          <w:tcPr>
            <w:tcW w:w="2550" w:type="dxa"/>
            <w:shd w:val="clear" w:color="auto" w:fill="003D7A"/>
            <w:vAlign w:val="center"/>
          </w:tcPr>
          <w:p w14:paraId="04AD4324">
            <w:r>
              <w:rPr>
                <w:b/>
                <w:color w:val="FFFFFF"/>
                <w:sz w:val="20"/>
              </w:rPr>
              <w:t>Committed Accuracy (%)</w:t>
            </w:r>
          </w:p>
        </w:tc>
        <w:tc>
          <w:tcPr>
            <w:tcW w:w="2550" w:type="dxa"/>
            <w:shd w:val="clear" w:color="auto" w:fill="003D7A"/>
            <w:vAlign w:val="center"/>
          </w:tcPr>
          <w:p w14:paraId="3F5BD07F">
            <w:r>
              <w:rPr>
                <w:b/>
                <w:color w:val="FFFFFF"/>
                <w:sz w:val="20"/>
              </w:rPr>
              <w:t>Accuracy Definition</w:t>
            </w:r>
          </w:p>
        </w:tc>
        <w:tc>
          <w:tcPr>
            <w:tcW w:w="2550" w:type="dxa"/>
            <w:shd w:val="clear" w:color="auto" w:fill="003D7A"/>
            <w:vAlign w:val="center"/>
          </w:tcPr>
          <w:p w14:paraId="57D7182C">
            <w:r>
              <w:rPr>
                <w:b/>
                <w:color w:val="FFFFFF"/>
                <w:sz w:val="20"/>
              </w:rPr>
              <w:t>Measurement Method</w:t>
            </w:r>
          </w:p>
        </w:tc>
      </w:tr>
      <w:tr w14:paraId="4FE0B79D">
        <w:tblPrEx>
          <w:tblCellMar>
            <w:top w:w="0" w:type="dxa"/>
            <w:left w:w="108" w:type="dxa"/>
            <w:bottom w:w="0" w:type="dxa"/>
            <w:right w:w="108" w:type="dxa"/>
          </w:tblCellMar>
        </w:tblPrEx>
        <w:trPr>
          <w:trHeight w:val="1007" w:hRule="atLeast"/>
          <w:jc w:val="center"/>
        </w:trPr>
        <w:tc>
          <w:tcPr>
            <w:tcW w:w="2550" w:type="dxa"/>
            <w:tcBorders>
              <w:top w:val="single" w:color="888888" w:sz="6" w:space="0"/>
              <w:left w:val="single" w:color="888888" w:sz="6" w:space="0"/>
              <w:bottom w:val="single" w:color="888888" w:sz="6" w:space="0"/>
              <w:right w:val="single" w:color="888888" w:sz="6" w:space="0"/>
            </w:tcBorders>
            <w:vAlign w:val="top"/>
          </w:tcPr>
          <w:p w14:paraId="32076D00">
            <w:r>
              <w:rPr>
                <w:b/>
                <w:color w:val="222222"/>
                <w:sz w:val="20"/>
              </w:rPr>
              <w:t>Automated Document Classification</w:t>
            </w:r>
          </w:p>
        </w:tc>
        <w:tc>
          <w:tcPr>
            <w:tcW w:w="2550" w:type="dxa"/>
            <w:tcBorders>
              <w:top w:val="single" w:color="888888" w:sz="6" w:space="0"/>
              <w:left w:val="single" w:color="888888" w:sz="6" w:space="0"/>
              <w:bottom w:val="single" w:color="888888" w:sz="6" w:space="0"/>
              <w:right w:val="single" w:color="888888" w:sz="6" w:space="0"/>
            </w:tcBorders>
            <w:vAlign w:val="top"/>
          </w:tcPr>
          <w:p w14:paraId="689A4C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heme="minorAscii" w:hAnsiTheme="minorAscii"/>
              </w:rPr>
            </w:pPr>
            <w:r>
              <w:rPr>
                <w:rFonts w:hint="default" w:eastAsia="宋体" w:cs="宋体" w:asciiTheme="minorAscii" w:hAnsiTheme="minorAscii"/>
                <w:kern w:val="0"/>
                <w:sz w:val="20"/>
                <w:szCs w:val="20"/>
                <w:lang w:val="en-US" w:eastAsia="zh-CN" w:bidi="ar"/>
              </w:rPr>
              <w:t>≥95%</w:t>
            </w:r>
          </w:p>
        </w:tc>
        <w:tc>
          <w:tcPr>
            <w:tcW w:w="2550" w:type="dxa"/>
            <w:tcBorders>
              <w:top w:val="single" w:color="888888" w:sz="6" w:space="0"/>
              <w:left w:val="single" w:color="888888" w:sz="6" w:space="0"/>
              <w:bottom w:val="single" w:color="888888" w:sz="6" w:space="0"/>
              <w:right w:val="single" w:color="888888" w:sz="6" w:space="0"/>
            </w:tcBorders>
            <w:vAlign w:val="top"/>
          </w:tcPr>
          <w:p w14:paraId="7D360A3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rPr>
            </w:pPr>
            <w:r>
              <w:rPr>
                <w:rFonts w:hint="default" w:eastAsia="宋体" w:cs="宋体" w:asciiTheme="minorAscii" w:hAnsiTheme="minorAscii"/>
                <w:kern w:val="0"/>
                <w:sz w:val="20"/>
                <w:szCs w:val="20"/>
                <w:lang w:val="en-US" w:eastAsia="zh-CN" w:bidi="ar"/>
              </w:rPr>
              <w:t>Business-level document classification &amp; completeness judgment accuracy</w:t>
            </w:r>
          </w:p>
        </w:tc>
        <w:tc>
          <w:tcPr>
            <w:tcW w:w="2550" w:type="dxa"/>
            <w:tcBorders>
              <w:top w:val="single" w:color="888888" w:sz="6" w:space="0"/>
              <w:left w:val="single" w:color="888888" w:sz="6" w:space="0"/>
              <w:bottom w:val="single" w:color="888888" w:sz="6" w:space="0"/>
              <w:right w:val="single" w:color="888888" w:sz="6" w:space="0"/>
            </w:tcBorders>
            <w:vAlign w:val="top"/>
          </w:tcPr>
          <w:p w14:paraId="5302673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rPr>
            </w:pPr>
            <w:r>
              <w:rPr>
                <w:rFonts w:hint="default" w:eastAsia="宋体" w:cs="宋体" w:asciiTheme="minorAscii" w:hAnsiTheme="minorAscii"/>
                <w:kern w:val="0"/>
                <w:sz w:val="20"/>
                <w:szCs w:val="20"/>
                <w:lang w:val="en-US" w:eastAsia="zh-CN" w:bidi="ar"/>
              </w:rPr>
              <w:t>More than 5,000 test samples; evaluate Precision, Recall, F1-score</w:t>
            </w:r>
          </w:p>
        </w:tc>
      </w:tr>
      <w:tr w14:paraId="396F7BEC">
        <w:tblPrEx>
          <w:tblCellMar>
            <w:top w:w="0" w:type="dxa"/>
            <w:left w:w="108" w:type="dxa"/>
            <w:bottom w:w="0" w:type="dxa"/>
            <w:right w:w="108" w:type="dxa"/>
          </w:tblCellMar>
        </w:tblPrEx>
        <w:trPr>
          <w:trHeight w:val="1007" w:hRule="atLeast"/>
          <w:jc w:val="center"/>
        </w:trPr>
        <w:tc>
          <w:tcPr>
            <w:tcW w:w="2550" w:type="dxa"/>
            <w:tcBorders>
              <w:top w:val="single" w:color="888888" w:sz="6" w:space="0"/>
              <w:left w:val="single" w:color="888888" w:sz="6" w:space="0"/>
              <w:bottom w:val="single" w:color="888888" w:sz="6" w:space="0"/>
              <w:right w:val="single" w:color="888888" w:sz="6" w:space="0"/>
            </w:tcBorders>
            <w:vAlign w:val="top"/>
          </w:tcPr>
          <w:p w14:paraId="0C9EF84A">
            <w:r>
              <w:rPr>
                <w:b/>
                <w:color w:val="222222"/>
                <w:sz w:val="20"/>
              </w:rPr>
              <w:t>Intelligent Data Verification</w:t>
            </w:r>
          </w:p>
        </w:tc>
        <w:tc>
          <w:tcPr>
            <w:tcW w:w="2550" w:type="dxa"/>
            <w:tcBorders>
              <w:top w:val="single" w:color="888888" w:sz="6" w:space="0"/>
              <w:left w:val="single" w:color="888888" w:sz="6" w:space="0"/>
              <w:bottom w:val="single" w:color="888888" w:sz="6" w:space="0"/>
              <w:right w:val="single" w:color="888888" w:sz="6" w:space="0"/>
            </w:tcBorders>
            <w:vAlign w:val="top"/>
          </w:tcPr>
          <w:p w14:paraId="77F222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heme="minorAscii" w:hAnsiTheme="minorAscii"/>
              </w:rPr>
            </w:pPr>
            <w:r>
              <w:rPr>
                <w:rFonts w:hint="default" w:eastAsia="宋体" w:cs="宋体" w:asciiTheme="minorAscii" w:hAnsiTheme="minorAscii"/>
                <w:kern w:val="0"/>
                <w:sz w:val="20"/>
                <w:szCs w:val="20"/>
                <w:lang w:val="en-US" w:eastAsia="zh-CN" w:bidi="ar"/>
              </w:rPr>
              <w:t>≥9</w:t>
            </w:r>
            <w:r>
              <w:rPr>
                <w:rFonts w:hint="eastAsia" w:eastAsia="宋体" w:cs="宋体" w:asciiTheme="minorAscii" w:hAnsiTheme="minorAscii"/>
                <w:kern w:val="0"/>
                <w:sz w:val="20"/>
                <w:szCs w:val="20"/>
                <w:lang w:val="en-US" w:eastAsia="zh-CN" w:bidi="ar"/>
              </w:rPr>
              <w:t>0</w:t>
            </w:r>
            <w:r>
              <w:rPr>
                <w:rFonts w:hint="default" w:eastAsia="宋体" w:cs="宋体" w:asciiTheme="minorAscii" w:hAnsiTheme="minorAscii"/>
                <w:kern w:val="0"/>
                <w:sz w:val="20"/>
                <w:szCs w:val="20"/>
                <w:lang w:val="en-US" w:eastAsia="zh-CN" w:bidi="ar"/>
              </w:rPr>
              <w:t>%</w:t>
            </w:r>
          </w:p>
        </w:tc>
        <w:tc>
          <w:tcPr>
            <w:tcW w:w="2550" w:type="dxa"/>
            <w:tcBorders>
              <w:top w:val="single" w:color="888888" w:sz="6" w:space="0"/>
              <w:left w:val="single" w:color="888888" w:sz="6" w:space="0"/>
              <w:bottom w:val="single" w:color="888888" w:sz="6" w:space="0"/>
              <w:right w:val="single" w:color="888888" w:sz="6" w:space="0"/>
            </w:tcBorders>
            <w:vAlign w:val="top"/>
          </w:tcPr>
          <w:p w14:paraId="4EB541B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rPr>
            </w:pPr>
            <w:r>
              <w:rPr>
                <w:rFonts w:hint="default" w:eastAsia="宋体" w:cs="宋体" w:asciiTheme="minorAscii" w:hAnsiTheme="minorAscii"/>
                <w:kern w:val="0"/>
                <w:sz w:val="20"/>
                <w:szCs w:val="20"/>
                <w:lang w:val="en-US" w:eastAsia="zh-CN" w:bidi="ar"/>
              </w:rPr>
              <w:t>Field extraction &amp; business cross-check compliance accuracy</w:t>
            </w:r>
          </w:p>
        </w:tc>
        <w:tc>
          <w:tcPr>
            <w:tcW w:w="2550" w:type="dxa"/>
            <w:tcBorders>
              <w:top w:val="single" w:color="888888" w:sz="6" w:space="0"/>
              <w:left w:val="single" w:color="888888" w:sz="6" w:space="0"/>
              <w:bottom w:val="single" w:color="888888" w:sz="6" w:space="0"/>
              <w:right w:val="single" w:color="888888" w:sz="6" w:space="0"/>
            </w:tcBorders>
            <w:vAlign w:val="top"/>
          </w:tcPr>
          <w:p w14:paraId="4B630E0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rPr>
            </w:pPr>
            <w:r>
              <w:rPr>
                <w:rFonts w:hint="default" w:eastAsia="宋体" w:cs="宋体" w:asciiTheme="minorAscii" w:hAnsiTheme="minorAscii"/>
                <w:kern w:val="0"/>
                <w:sz w:val="20"/>
                <w:szCs w:val="20"/>
                <w:lang w:val="en-US" w:eastAsia="zh-CN" w:bidi="ar"/>
              </w:rPr>
              <w:t>Full scenario abnormal sample set; measure extraction accuracy &amp; inconsistency detection rate</w:t>
            </w:r>
          </w:p>
        </w:tc>
      </w:tr>
      <w:tr w14:paraId="678094BB">
        <w:tblPrEx>
          <w:tblCellMar>
            <w:top w:w="0" w:type="dxa"/>
            <w:left w:w="108" w:type="dxa"/>
            <w:bottom w:w="0" w:type="dxa"/>
            <w:right w:w="108" w:type="dxa"/>
          </w:tblCellMar>
        </w:tblPrEx>
        <w:trPr>
          <w:trHeight w:val="1007" w:hRule="atLeast"/>
          <w:jc w:val="center"/>
        </w:trPr>
        <w:tc>
          <w:tcPr>
            <w:tcW w:w="2550" w:type="dxa"/>
            <w:tcBorders>
              <w:top w:val="single" w:color="888888" w:sz="6" w:space="0"/>
              <w:left w:val="single" w:color="888888" w:sz="6" w:space="0"/>
              <w:bottom w:val="single" w:color="888888" w:sz="6" w:space="0"/>
              <w:right w:val="single" w:color="888888" w:sz="6" w:space="0"/>
            </w:tcBorders>
            <w:vAlign w:val="top"/>
          </w:tcPr>
          <w:p w14:paraId="29F92E91">
            <w:r>
              <w:rPr>
                <w:b/>
                <w:color w:val="222222"/>
                <w:sz w:val="20"/>
              </w:rPr>
              <w:t>Intelligent Minutes Drafting</w:t>
            </w:r>
          </w:p>
        </w:tc>
        <w:tc>
          <w:tcPr>
            <w:tcW w:w="2550" w:type="dxa"/>
            <w:tcBorders>
              <w:top w:val="single" w:color="888888" w:sz="6" w:space="0"/>
              <w:left w:val="single" w:color="888888" w:sz="6" w:space="0"/>
              <w:bottom w:val="single" w:color="888888" w:sz="6" w:space="0"/>
              <w:right w:val="single" w:color="888888" w:sz="6" w:space="0"/>
            </w:tcBorders>
            <w:vAlign w:val="top"/>
          </w:tcPr>
          <w:p w14:paraId="2E84D7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heme="minorAscii" w:hAnsiTheme="minorAscii"/>
              </w:rPr>
            </w:pPr>
            <w:r>
              <w:rPr>
                <w:rFonts w:hint="default" w:eastAsia="宋体" w:cs="宋体" w:asciiTheme="minorAscii" w:hAnsiTheme="minorAscii"/>
                <w:kern w:val="0"/>
                <w:sz w:val="20"/>
                <w:szCs w:val="20"/>
                <w:lang w:val="en-US" w:eastAsia="zh-CN" w:bidi="ar"/>
              </w:rPr>
              <w:t>≥90%</w:t>
            </w:r>
          </w:p>
        </w:tc>
        <w:tc>
          <w:tcPr>
            <w:tcW w:w="2550" w:type="dxa"/>
            <w:tcBorders>
              <w:top w:val="single" w:color="888888" w:sz="6" w:space="0"/>
              <w:left w:val="single" w:color="888888" w:sz="6" w:space="0"/>
              <w:bottom w:val="single" w:color="888888" w:sz="6" w:space="0"/>
              <w:right w:val="single" w:color="888888" w:sz="6" w:space="0"/>
            </w:tcBorders>
            <w:vAlign w:val="top"/>
          </w:tcPr>
          <w:p w14:paraId="66EAA3E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rPr>
            </w:pPr>
            <w:r>
              <w:rPr>
                <w:rFonts w:hint="default" w:eastAsia="宋体" w:cs="宋体" w:asciiTheme="minorAscii" w:hAnsiTheme="minorAscii"/>
                <w:kern w:val="0"/>
                <w:sz w:val="20"/>
                <w:szCs w:val="20"/>
                <w:lang w:val="en-US" w:eastAsia="zh-CN" w:bidi="ar"/>
              </w:rPr>
              <w:t>Template matching &amp; content wording compliance accuracy</w:t>
            </w:r>
          </w:p>
        </w:tc>
        <w:tc>
          <w:tcPr>
            <w:tcW w:w="2550" w:type="dxa"/>
            <w:tcBorders>
              <w:top w:val="single" w:color="888888" w:sz="6" w:space="0"/>
              <w:left w:val="single" w:color="888888" w:sz="6" w:space="0"/>
              <w:bottom w:val="single" w:color="888888" w:sz="6" w:space="0"/>
              <w:right w:val="single" w:color="888888" w:sz="6" w:space="0"/>
            </w:tcBorders>
            <w:vAlign w:val="top"/>
          </w:tcPr>
          <w:p w14:paraId="1D1F698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rPr>
            </w:pPr>
            <w:r>
              <w:rPr>
                <w:rFonts w:hint="default" w:eastAsia="宋体" w:cs="宋体" w:asciiTheme="minorAscii" w:hAnsiTheme="minorAscii"/>
                <w:kern w:val="0"/>
                <w:sz w:val="20"/>
                <w:szCs w:val="20"/>
                <w:lang w:val="en-US" w:eastAsia="zh-CN" w:bidi="ar"/>
              </w:rPr>
              <w:t>Scenario-based test set; evaluate matching hit rate &amp; manual modification rate</w:t>
            </w:r>
          </w:p>
        </w:tc>
      </w:tr>
      <w:tr w14:paraId="47E1ADB4">
        <w:tblPrEx>
          <w:tblCellMar>
            <w:top w:w="0" w:type="dxa"/>
            <w:left w:w="108" w:type="dxa"/>
            <w:bottom w:w="0" w:type="dxa"/>
            <w:right w:w="108" w:type="dxa"/>
          </w:tblCellMar>
        </w:tblPrEx>
        <w:trPr>
          <w:trHeight w:val="1007" w:hRule="atLeast"/>
          <w:jc w:val="center"/>
        </w:trPr>
        <w:tc>
          <w:tcPr>
            <w:tcW w:w="2550" w:type="dxa"/>
            <w:tcBorders>
              <w:top w:val="single" w:color="888888" w:sz="6" w:space="0"/>
              <w:left w:val="single" w:color="888888" w:sz="6" w:space="0"/>
              <w:bottom w:val="single" w:color="888888" w:sz="6" w:space="0"/>
              <w:right w:val="single" w:color="888888" w:sz="6" w:space="0"/>
            </w:tcBorders>
            <w:vAlign w:val="top"/>
          </w:tcPr>
          <w:p w14:paraId="2E47465F">
            <w:r>
              <w:rPr>
                <w:b/>
                <w:color w:val="222222"/>
                <w:sz w:val="20"/>
              </w:rPr>
              <w:t>Combined Workflow (End-to-End)</w:t>
            </w:r>
          </w:p>
        </w:tc>
        <w:tc>
          <w:tcPr>
            <w:tcW w:w="2550" w:type="dxa"/>
            <w:tcBorders>
              <w:top w:val="single" w:color="888888" w:sz="6" w:space="0"/>
              <w:left w:val="single" w:color="888888" w:sz="6" w:space="0"/>
              <w:bottom w:val="single" w:color="888888" w:sz="6" w:space="0"/>
              <w:right w:val="single" w:color="888888" w:sz="6" w:space="0"/>
            </w:tcBorders>
            <w:vAlign w:val="top"/>
          </w:tcPr>
          <w:p w14:paraId="1FFD06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heme="minorAscii" w:hAnsiTheme="minorAscii"/>
              </w:rPr>
            </w:pPr>
            <w:r>
              <w:rPr>
                <w:rFonts w:hint="default" w:eastAsia="宋体" w:cs="宋体" w:asciiTheme="minorAscii" w:hAnsiTheme="minorAscii"/>
                <w:kern w:val="0"/>
                <w:sz w:val="20"/>
                <w:szCs w:val="20"/>
                <w:lang w:val="en-US" w:eastAsia="zh-CN" w:bidi="ar"/>
              </w:rPr>
              <w:t>≥90%</w:t>
            </w:r>
          </w:p>
        </w:tc>
        <w:tc>
          <w:tcPr>
            <w:tcW w:w="2550" w:type="dxa"/>
            <w:tcBorders>
              <w:top w:val="single" w:color="888888" w:sz="6" w:space="0"/>
              <w:left w:val="single" w:color="888888" w:sz="6" w:space="0"/>
              <w:bottom w:val="single" w:color="888888" w:sz="6" w:space="0"/>
              <w:right w:val="single" w:color="888888" w:sz="6" w:space="0"/>
            </w:tcBorders>
            <w:vAlign w:val="top"/>
          </w:tcPr>
          <w:p w14:paraId="0DE0E4B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rPr>
            </w:pPr>
            <w:r>
              <w:rPr>
                <w:rFonts w:hint="default" w:eastAsia="宋体" w:cs="宋体" w:asciiTheme="minorAscii" w:hAnsiTheme="minorAscii"/>
                <w:kern w:val="0"/>
                <w:sz w:val="20"/>
                <w:szCs w:val="20"/>
                <w:lang w:val="en-US" w:eastAsia="zh-CN" w:bidi="ar"/>
              </w:rPr>
              <w:t>Full case end-to-end business pass rate</w:t>
            </w:r>
          </w:p>
        </w:tc>
        <w:tc>
          <w:tcPr>
            <w:tcW w:w="2550" w:type="dxa"/>
            <w:tcBorders>
              <w:top w:val="single" w:color="888888" w:sz="6" w:space="0"/>
              <w:left w:val="single" w:color="888888" w:sz="6" w:space="0"/>
              <w:bottom w:val="single" w:color="888888" w:sz="6" w:space="0"/>
              <w:right w:val="single" w:color="888888" w:sz="6" w:space="0"/>
            </w:tcBorders>
            <w:vAlign w:val="top"/>
          </w:tcPr>
          <w:p w14:paraId="1E91CE5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rPr>
            </w:pPr>
            <w:r>
              <w:rPr>
                <w:rFonts w:hint="default" w:eastAsia="宋体" w:cs="宋体" w:asciiTheme="minorAscii" w:hAnsiTheme="minorAscii"/>
                <w:kern w:val="0"/>
                <w:sz w:val="20"/>
                <w:szCs w:val="20"/>
                <w:lang w:val="en-US" w:eastAsia="zh-CN" w:bidi="ar"/>
              </w:rPr>
              <w:t>Full lifecycle case batch test; measure overall automatic pass rate</w:t>
            </w:r>
          </w:p>
        </w:tc>
      </w:tr>
    </w:tbl>
    <w:p w14:paraId="3C137082">
      <w:pPr>
        <w:spacing w:before="440" w:after="80"/>
      </w:pPr>
      <w:r>
        <w:rPr>
          <w:b/>
          <w:color w:val="003D7A"/>
          <w:sz w:val="32"/>
        </w:rPr>
        <w:t>7. Local Resilience &amp; Failover（應用服務層面）</w:t>
      </w:r>
    </w:p>
    <w:p w14:paraId="0C26698A">
      <w:pPr>
        <w:spacing w:after="80"/>
      </w:pPr>
      <w:r>
        <w:rPr>
          <w:i/>
          <w:color w:val="555555"/>
          <w:sz w:val="19"/>
        </w:rPr>
        <w:t>[ Annex I Table 1 — Local Resilience · RFI 4.3.9 + 4.3.13 ]</w:t>
      </w:r>
    </w:p>
    <w:tbl>
      <w:tblPr>
        <w:tblStyle w:val="32"/>
        <w:tblW w:w="0" w:type="auto"/>
        <w:jc w:val="center"/>
        <w:tblLayout w:type="fixed"/>
        <w:tblCellMar>
          <w:top w:w="0" w:type="dxa"/>
          <w:left w:w="108" w:type="dxa"/>
          <w:bottom w:w="0" w:type="dxa"/>
          <w:right w:w="108" w:type="dxa"/>
        </w:tblCellMar>
      </w:tblPr>
      <w:tblGrid>
        <w:gridCol w:w="10200"/>
      </w:tblGrid>
      <w:tr w14:paraId="640DD69D">
        <w:tblPrEx>
          <w:tblCellMar>
            <w:top w:w="0" w:type="dxa"/>
            <w:left w:w="108" w:type="dxa"/>
            <w:bottom w:w="0" w:type="dxa"/>
            <w:right w:w="108" w:type="dxa"/>
          </w:tblCellMar>
        </w:tblPrEx>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40FC1B56">
            <w:pPr>
              <w:spacing w:after="80"/>
            </w:pPr>
            <w:r>
              <w:rPr>
                <w:b/>
                <w:color w:val="003D7A"/>
                <w:sz w:val="18"/>
              </w:rPr>
              <w:t>Annex I Table 1 — Original (English):</w:t>
            </w:r>
          </w:p>
          <w:p w14:paraId="12D84DE9">
            <w:pPr>
              <w:spacing w:after="40"/>
            </w:pPr>
            <w:r>
              <w:rPr>
                <w:i/>
                <w:color w:val="333333"/>
                <w:sz w:val="19"/>
              </w:rPr>
              <w:t>Local Resilience and Failover</w:t>
            </w:r>
          </w:p>
          <w:p w14:paraId="2F5EDE31">
            <w:pPr>
              <w:spacing w:after="40"/>
            </w:pPr>
            <w:r>
              <w:rPr>
                <w:i/>
                <w:color w:val="333333"/>
                <w:sz w:val="19"/>
              </w:rPr>
              <w:t>All of the servers shall have local resilience and high availability in the production environment, in either active-active or active-standby. Please state the committed switch-over time from primary to standby server at active-active case and active-standby case.</w:t>
            </w:r>
          </w:p>
        </w:tc>
      </w:tr>
      <w:tr w14:paraId="610F807C">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19A9D5E3">
            <w:pPr>
              <w:spacing w:after="80"/>
            </w:pPr>
            <w:r>
              <w:rPr>
                <w:b/>
                <w:color w:val="3A5A00"/>
                <w:sz w:val="18"/>
              </w:rPr>
              <w:t>中文解釋 (CMHK reference)：</w:t>
            </w:r>
          </w:p>
          <w:p w14:paraId="5AC49B01">
            <w:pPr>
              <w:spacing w:after="40"/>
            </w:pPr>
            <w:r>
              <w:rPr>
                <w:i/>
                <w:color w:val="333333"/>
                <w:sz w:val="19"/>
              </w:rPr>
              <w:t>本地容災與故障切換</w:t>
            </w:r>
          </w:p>
          <w:p w14:paraId="6B194FE4">
            <w:pPr>
              <w:spacing w:after="40"/>
            </w:pPr>
            <w:r>
              <w:rPr>
                <w:i/>
                <w:color w:val="333333"/>
                <w:sz w:val="19"/>
              </w:rPr>
              <w:t>生產環境所有 server 須具備本地容災與高可用配置（active-active 或 active-standby）。請承諾兩種配置下，從主機切換至備機的切換時間</w:t>
            </w:r>
          </w:p>
        </w:tc>
      </w:tr>
    </w:tbl>
    <w:p w14:paraId="569CDCF3"/>
    <w:tbl>
      <w:tblPr>
        <w:tblStyle w:val="32"/>
        <w:tblW w:w="0" w:type="auto"/>
        <w:jc w:val="center"/>
        <w:tblLayout w:type="fixed"/>
        <w:tblCellMar>
          <w:top w:w="0" w:type="dxa"/>
          <w:left w:w="108" w:type="dxa"/>
          <w:bottom w:w="0" w:type="dxa"/>
          <w:right w:w="108" w:type="dxa"/>
        </w:tblCellMar>
      </w:tblPr>
      <w:tblGrid>
        <w:gridCol w:w="10200"/>
      </w:tblGrid>
      <w:tr w14:paraId="42569FF7">
        <w:tblPrEx>
          <w:tblCellMar>
            <w:top w:w="0" w:type="dxa"/>
            <w:left w:w="108" w:type="dxa"/>
            <w:bottom w:w="0" w:type="dxa"/>
            <w:right w:w="108" w:type="dxa"/>
          </w:tblCellMar>
        </w:tblPrEx>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3C7F08CE">
            <w:pPr>
              <w:spacing w:after="80"/>
            </w:pPr>
            <w:r>
              <w:rPr>
                <w:b/>
                <w:color w:val="003D7A"/>
                <w:sz w:val="18"/>
              </w:rPr>
              <w:t>RFI 4.3.9 — Original (English):</w:t>
            </w:r>
          </w:p>
          <w:p w14:paraId="7A6FC8AC">
            <w:pPr>
              <w:spacing w:after="40"/>
            </w:pPr>
            <w:r>
              <w:rPr>
                <w:i/>
                <w:color w:val="333333"/>
                <w:sz w:val="19"/>
              </w:rPr>
              <w:t>4.3.9 System Reliability Requirement</w:t>
            </w:r>
          </w:p>
          <w:p w14:paraId="023425FD">
            <w:pPr>
              <w:spacing w:after="40"/>
            </w:pPr>
            <w:r>
              <w:rPr>
                <w:i/>
                <w:color w:val="333333"/>
                <w:sz w:val="19"/>
              </w:rPr>
              <w:t>4.3.9.1 Shall adopt minimum serviceability level: 99.5%</w:t>
            </w:r>
          </w:p>
        </w:tc>
      </w:tr>
      <w:tr w14:paraId="1D2AF9FF">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1D8D8DE1">
            <w:pPr>
              <w:spacing w:after="80"/>
            </w:pPr>
            <w:r>
              <w:rPr>
                <w:b/>
                <w:color w:val="3A5A00"/>
                <w:sz w:val="18"/>
              </w:rPr>
              <w:t>中文解釋 (CMHK reference)：</w:t>
            </w:r>
          </w:p>
          <w:p w14:paraId="6D0147F8">
            <w:pPr>
              <w:spacing w:after="40"/>
            </w:pPr>
            <w:r>
              <w:rPr>
                <w:i/>
                <w:color w:val="333333"/>
                <w:sz w:val="19"/>
              </w:rPr>
              <w:t>4.3.9 系統可靠性要求</w:t>
            </w:r>
          </w:p>
          <w:p w14:paraId="4366614A">
            <w:pPr>
              <w:spacing w:after="40"/>
            </w:pPr>
            <w:r>
              <w:rPr>
                <w:i/>
                <w:color w:val="333333"/>
                <w:sz w:val="19"/>
              </w:rPr>
              <w:t>4.3.9.1 應採最低可服務率 99.5%</w:t>
            </w:r>
          </w:p>
        </w:tc>
      </w:tr>
    </w:tbl>
    <w:p w14:paraId="52A80074"/>
    <w:tbl>
      <w:tblPr>
        <w:tblStyle w:val="32"/>
        <w:tblW w:w="0" w:type="auto"/>
        <w:jc w:val="center"/>
        <w:tblLayout w:type="fixed"/>
        <w:tblCellMar>
          <w:top w:w="0" w:type="dxa"/>
          <w:left w:w="108" w:type="dxa"/>
          <w:bottom w:w="0" w:type="dxa"/>
          <w:right w:w="108" w:type="dxa"/>
        </w:tblCellMar>
      </w:tblPr>
      <w:tblGrid>
        <w:gridCol w:w="10200"/>
      </w:tblGrid>
      <w:tr w14:paraId="10B6E5E8">
        <w:tblPrEx>
          <w:tblCellMar>
            <w:top w:w="0" w:type="dxa"/>
            <w:left w:w="108" w:type="dxa"/>
            <w:bottom w:w="0" w:type="dxa"/>
            <w:right w:w="108" w:type="dxa"/>
          </w:tblCellMar>
        </w:tblPrEx>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5C90B879">
            <w:pPr>
              <w:spacing w:after="80"/>
            </w:pPr>
            <w:r>
              <w:rPr>
                <w:b/>
                <w:color w:val="003D7A"/>
                <w:sz w:val="18"/>
              </w:rPr>
              <w:t>RFI 4.3.13 — Original (English):</w:t>
            </w:r>
          </w:p>
          <w:p w14:paraId="1AA18ADD">
            <w:pPr>
              <w:spacing w:after="40"/>
            </w:pPr>
            <w:r>
              <w:rPr>
                <w:i/>
                <w:color w:val="333333"/>
                <w:sz w:val="19"/>
              </w:rPr>
              <w:t>4.3.13 High Availability Requirements for the New AI Solutions</w:t>
            </w:r>
          </w:p>
          <w:p w14:paraId="12FC9C59">
            <w:pPr>
              <w:spacing w:after="40"/>
            </w:pPr>
            <w:r>
              <w:rPr>
                <w:i/>
                <w:color w:val="333333"/>
                <w:sz w:val="19"/>
              </w:rPr>
              <w:t>4.3.13.1 Shall provide local resilience in active-active mechanism for all AI Inference servers in the production environment.</w:t>
            </w:r>
          </w:p>
          <w:p w14:paraId="2452F9C6">
            <w:pPr>
              <w:spacing w:after="40"/>
            </w:pPr>
            <w:r>
              <w:rPr>
                <w:i/>
                <w:color w:val="333333"/>
                <w:sz w:val="19"/>
              </w:rPr>
              <w:t>4.3.13.2 Shall provide local resilience using active-standby or active-active method for all services in the production environment.</w:t>
            </w:r>
          </w:p>
        </w:tc>
      </w:tr>
      <w:tr w14:paraId="1492FFC1">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3C22CCB2">
            <w:pPr>
              <w:spacing w:after="80"/>
            </w:pPr>
            <w:r>
              <w:rPr>
                <w:b/>
                <w:color w:val="3A5A00"/>
                <w:sz w:val="18"/>
              </w:rPr>
              <w:t>中文解釋 (CMHK reference)：</w:t>
            </w:r>
          </w:p>
          <w:p w14:paraId="14449397">
            <w:pPr>
              <w:spacing w:after="40"/>
            </w:pPr>
            <w:r>
              <w:rPr>
                <w:i/>
                <w:color w:val="333333"/>
                <w:sz w:val="19"/>
              </w:rPr>
              <w:t>4.3.13 新 AI 方案之高可用要求</w:t>
            </w:r>
          </w:p>
          <w:p w14:paraId="50ADFDA8">
            <w:pPr>
              <w:spacing w:after="40"/>
            </w:pPr>
            <w:r>
              <w:rPr>
                <w:i/>
                <w:color w:val="333333"/>
                <w:sz w:val="19"/>
              </w:rPr>
              <w:t>4.3.13.1 生產環境之所有 AI Inference servers 應採 active-active 本地容災</w:t>
            </w:r>
          </w:p>
          <w:p w14:paraId="7AA6C988">
            <w:pPr>
              <w:spacing w:after="40"/>
            </w:pPr>
            <w:r>
              <w:rPr>
                <w:i/>
                <w:color w:val="333333"/>
                <w:sz w:val="19"/>
              </w:rPr>
              <w:t>4.3.13.2 生產環境之所有服務應採 active-standby 或 active-active 本地容災</w:t>
            </w:r>
          </w:p>
        </w:tc>
      </w:tr>
    </w:tbl>
    <w:p w14:paraId="24151514"/>
    <w:p w14:paraId="794458CF">
      <w:pPr>
        <w:spacing w:after="60"/>
        <w:ind w:left="360"/>
      </w:pPr>
      <w:r>
        <w:rPr>
          <w:color w:val="222222"/>
          <w:sz w:val="20"/>
        </w:rPr>
        <w:t>• HA configuration for AI application services (OCR / Cross-Check Engine / Minutes LLM / PDF Generator)</w:t>
      </w:r>
    </w:p>
    <w:p w14:paraId="37C6DFA7">
      <w:pPr>
        <w:spacing w:after="60"/>
        <w:ind w:left="360"/>
      </w:pPr>
      <w:r>
        <w:rPr>
          <w:color w:val="222222"/>
          <w:sz w:val="20"/>
        </w:rPr>
        <w:t>• Please commit switch-over time in the table below</w:t>
      </w:r>
    </w:p>
    <w:p w14:paraId="3A31F383">
      <w:pPr>
        <w:spacing w:after="120"/>
      </w:pPr>
      <w:r>
        <w:rPr>
          <w:i/>
          <w:color w:val="222222"/>
          <w:sz w:val="20"/>
        </w:rPr>
        <w:t>Please commit the primary → standby switch-over time for each configuration.  請承諾每種 HA 配置的主機→備機切換時間。</w:t>
      </w:r>
    </w:p>
    <w:tbl>
      <w:tblPr>
        <w:tblStyle w:val="32"/>
        <w:tblW w:w="0" w:type="auto"/>
        <w:jc w:val="center"/>
        <w:tblLayout w:type="fixed"/>
        <w:tblCellMar>
          <w:top w:w="0" w:type="dxa"/>
          <w:left w:w="108" w:type="dxa"/>
          <w:bottom w:w="0" w:type="dxa"/>
          <w:right w:w="108" w:type="dxa"/>
        </w:tblCellMar>
      </w:tblPr>
      <w:tblGrid>
        <w:gridCol w:w="3400"/>
        <w:gridCol w:w="3400"/>
        <w:gridCol w:w="3400"/>
      </w:tblGrid>
      <w:tr w14:paraId="6231CAEF">
        <w:tblPrEx>
          <w:tblCellMar>
            <w:top w:w="0" w:type="dxa"/>
            <w:left w:w="108" w:type="dxa"/>
            <w:bottom w:w="0" w:type="dxa"/>
            <w:right w:w="108" w:type="dxa"/>
          </w:tblCellMar>
        </w:tblPrEx>
        <w:trPr>
          <w:trHeight w:val="576" w:hRule="atLeast"/>
          <w:jc w:val="center"/>
        </w:trPr>
        <w:tc>
          <w:tcPr>
            <w:tcW w:w="3400" w:type="dxa"/>
            <w:shd w:val="clear" w:color="auto" w:fill="003D7A"/>
            <w:vAlign w:val="center"/>
          </w:tcPr>
          <w:p w14:paraId="4B40FB79">
            <w:r>
              <w:rPr>
                <w:b/>
                <w:color w:val="FFFFFF"/>
                <w:sz w:val="20"/>
              </w:rPr>
              <w:t>HA Configuration</w:t>
            </w:r>
          </w:p>
        </w:tc>
        <w:tc>
          <w:tcPr>
            <w:tcW w:w="3400" w:type="dxa"/>
            <w:shd w:val="clear" w:color="auto" w:fill="003D7A"/>
            <w:vAlign w:val="center"/>
          </w:tcPr>
          <w:p w14:paraId="5DAFAFFD">
            <w:r>
              <w:rPr>
                <w:b/>
                <w:color w:val="FFFFFF"/>
                <w:sz w:val="20"/>
              </w:rPr>
              <w:t>Applicable to</w:t>
            </w:r>
          </w:p>
        </w:tc>
        <w:tc>
          <w:tcPr>
            <w:tcW w:w="3400" w:type="dxa"/>
            <w:shd w:val="clear" w:color="auto" w:fill="003D7A"/>
            <w:vAlign w:val="center"/>
          </w:tcPr>
          <w:p w14:paraId="44FE7EAF">
            <w:r>
              <w:rPr>
                <w:b/>
                <w:color w:val="FFFFFF"/>
                <w:sz w:val="20"/>
              </w:rPr>
              <w:t>Committed Switch-over Time</w:t>
            </w:r>
          </w:p>
        </w:tc>
      </w:tr>
      <w:tr w14:paraId="0152BBF7">
        <w:tblPrEx>
          <w:tblCellMar>
            <w:top w:w="0" w:type="dxa"/>
            <w:left w:w="108" w:type="dxa"/>
            <w:bottom w:w="0" w:type="dxa"/>
            <w:right w:w="108" w:type="dxa"/>
          </w:tblCellMar>
        </w:tblPrEx>
        <w:trPr>
          <w:trHeight w:val="864" w:hRule="atLeast"/>
          <w:jc w:val="center"/>
        </w:trPr>
        <w:tc>
          <w:tcPr>
            <w:tcW w:w="3400" w:type="dxa"/>
            <w:tcBorders>
              <w:top w:val="single" w:color="888888" w:sz="6" w:space="0"/>
              <w:left w:val="single" w:color="888888" w:sz="6" w:space="0"/>
              <w:bottom w:val="single" w:color="888888" w:sz="6" w:space="0"/>
              <w:right w:val="single" w:color="888888" w:sz="6" w:space="0"/>
            </w:tcBorders>
            <w:vAlign w:val="top"/>
          </w:tcPr>
          <w:p w14:paraId="5B8B02A0">
            <w:r>
              <w:rPr>
                <w:b/>
                <w:color w:val="222222"/>
                <w:sz w:val="20"/>
              </w:rPr>
              <w:t>Active-Active</w:t>
            </w:r>
          </w:p>
        </w:tc>
        <w:tc>
          <w:tcPr>
            <w:tcW w:w="3400" w:type="dxa"/>
            <w:tcBorders>
              <w:top w:val="single" w:color="888888" w:sz="6" w:space="0"/>
              <w:left w:val="single" w:color="888888" w:sz="6" w:space="0"/>
              <w:bottom w:val="single" w:color="888888" w:sz="6" w:space="0"/>
              <w:right w:val="single" w:color="888888" w:sz="6" w:space="0"/>
            </w:tcBorders>
            <w:vAlign w:val="top"/>
          </w:tcPr>
          <w:p w14:paraId="55A5467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AI inference service, OCR engine, data extraction engine, stateless microservices</w:t>
            </w:r>
          </w:p>
        </w:tc>
        <w:tc>
          <w:tcPr>
            <w:tcW w:w="3400" w:type="dxa"/>
            <w:tcBorders>
              <w:top w:val="single" w:color="888888" w:sz="6" w:space="0"/>
              <w:left w:val="single" w:color="888888" w:sz="6" w:space="0"/>
              <w:bottom w:val="single" w:color="888888" w:sz="6" w:space="0"/>
              <w:right w:val="single" w:color="888888" w:sz="6" w:space="0"/>
            </w:tcBorders>
            <w:vAlign w:val="top"/>
          </w:tcPr>
          <w:p w14:paraId="61B34A5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 30 seconds</w:t>
            </w:r>
          </w:p>
        </w:tc>
      </w:tr>
      <w:tr w14:paraId="05EE8054">
        <w:tblPrEx>
          <w:tblCellMar>
            <w:top w:w="0" w:type="dxa"/>
            <w:left w:w="108" w:type="dxa"/>
            <w:bottom w:w="0" w:type="dxa"/>
            <w:right w:w="108" w:type="dxa"/>
          </w:tblCellMar>
        </w:tblPrEx>
        <w:trPr>
          <w:trHeight w:val="864" w:hRule="atLeast"/>
          <w:jc w:val="center"/>
        </w:trPr>
        <w:tc>
          <w:tcPr>
            <w:tcW w:w="3400" w:type="dxa"/>
            <w:tcBorders>
              <w:top w:val="single" w:color="888888" w:sz="6" w:space="0"/>
              <w:left w:val="single" w:color="888888" w:sz="6" w:space="0"/>
              <w:bottom w:val="single" w:color="888888" w:sz="6" w:space="0"/>
              <w:right w:val="single" w:color="888888" w:sz="6" w:space="0"/>
            </w:tcBorders>
            <w:vAlign w:val="top"/>
          </w:tcPr>
          <w:p w14:paraId="353BD2A9">
            <w:r>
              <w:rPr>
                <w:b/>
                <w:color w:val="222222"/>
                <w:sz w:val="20"/>
              </w:rPr>
              <w:t>Active-Standby</w:t>
            </w:r>
          </w:p>
        </w:tc>
        <w:tc>
          <w:tcPr>
            <w:tcW w:w="3400" w:type="dxa"/>
            <w:tcBorders>
              <w:top w:val="single" w:color="888888" w:sz="6" w:space="0"/>
              <w:left w:val="single" w:color="888888" w:sz="6" w:space="0"/>
              <w:bottom w:val="single" w:color="888888" w:sz="6" w:space="0"/>
              <w:right w:val="single" w:color="888888" w:sz="6" w:space="0"/>
            </w:tcBorders>
            <w:vAlign w:val="top"/>
          </w:tcPr>
          <w:p w14:paraId="676937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Workflow engine, task scheduler, RAG vector database service</w:t>
            </w:r>
          </w:p>
        </w:tc>
        <w:tc>
          <w:tcPr>
            <w:tcW w:w="3400" w:type="dxa"/>
            <w:tcBorders>
              <w:top w:val="single" w:color="888888" w:sz="6" w:space="0"/>
              <w:left w:val="single" w:color="888888" w:sz="6" w:space="0"/>
              <w:bottom w:val="single" w:color="888888" w:sz="6" w:space="0"/>
              <w:right w:val="single" w:color="888888" w:sz="6" w:space="0"/>
            </w:tcBorders>
            <w:vAlign w:val="top"/>
          </w:tcPr>
          <w:p w14:paraId="69B8C35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 60 seconds</w:t>
            </w:r>
          </w:p>
        </w:tc>
      </w:tr>
    </w:tbl>
    <w:p w14:paraId="0D3E4BFF"/>
    <w:p w14:paraId="2A3F7F67">
      <w:r>
        <w:br w:type="page"/>
      </w:r>
    </w:p>
    <w:p w14:paraId="4939DB09">
      <w:pPr>
        <w:spacing w:before="440" w:after="80"/>
      </w:pPr>
      <w:r>
        <w:rPr>
          <w:b/>
          <w:color w:val="003D7A"/>
          <w:sz w:val="32"/>
        </w:rPr>
        <w:t>8. Sizing and Performance（應用層 sizing）</w:t>
      </w:r>
    </w:p>
    <w:p w14:paraId="45751849">
      <w:pPr>
        <w:spacing w:after="80"/>
      </w:pPr>
      <w:r>
        <w:rPr>
          <w:i/>
          <w:color w:val="555555"/>
          <w:sz w:val="19"/>
        </w:rPr>
        <w:t>[ Annex I Table 1 — Sizing and Performance · RFI 4.3.6 ]</w:t>
      </w:r>
    </w:p>
    <w:tbl>
      <w:tblPr>
        <w:tblStyle w:val="32"/>
        <w:tblW w:w="0" w:type="auto"/>
        <w:jc w:val="center"/>
        <w:tblLayout w:type="fixed"/>
        <w:tblCellMar>
          <w:top w:w="0" w:type="dxa"/>
          <w:left w:w="108" w:type="dxa"/>
          <w:bottom w:w="0" w:type="dxa"/>
          <w:right w:w="108" w:type="dxa"/>
        </w:tblCellMar>
      </w:tblPr>
      <w:tblGrid>
        <w:gridCol w:w="10200"/>
      </w:tblGrid>
      <w:tr w14:paraId="42C15587">
        <w:tblPrEx>
          <w:tblCellMar>
            <w:top w:w="0" w:type="dxa"/>
            <w:left w:w="108" w:type="dxa"/>
            <w:bottom w:w="0" w:type="dxa"/>
            <w:right w:w="108" w:type="dxa"/>
          </w:tblCellMar>
        </w:tblPrEx>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3AE63249">
            <w:pPr>
              <w:spacing w:after="80"/>
            </w:pPr>
            <w:r>
              <w:rPr>
                <w:b/>
                <w:color w:val="003D7A"/>
                <w:sz w:val="18"/>
              </w:rPr>
              <w:t>Annex I Table 1 — Original (English):</w:t>
            </w:r>
          </w:p>
          <w:p w14:paraId="3CD61664">
            <w:pPr>
              <w:spacing w:after="40"/>
            </w:pPr>
            <w:r>
              <w:rPr>
                <w:i/>
                <w:color w:val="333333"/>
                <w:sz w:val="19"/>
              </w:rPr>
              <w:t>Sizing and Performance</w:t>
            </w:r>
          </w:p>
          <w:p w14:paraId="3EE1A392">
            <w:pPr>
              <w:spacing w:after="40"/>
            </w:pPr>
            <w:r>
              <w:rPr>
                <w:i/>
                <w:color w:val="333333"/>
                <w:sz w:val="19"/>
              </w:rPr>
              <w:t>• For the sizing, please suggest according to the table below.</w:t>
            </w:r>
          </w:p>
          <w:p w14:paraId="03E17C25">
            <w:pPr>
              <w:spacing w:after="40"/>
            </w:pPr>
            <w:r>
              <w:rPr>
                <w:i/>
                <w:color w:val="333333"/>
                <w:sz w:val="19"/>
              </w:rPr>
              <w:t>• For the performance, please suggest according to the table below.</w:t>
            </w:r>
          </w:p>
          <w:p w14:paraId="4FBB85E8">
            <w:pPr>
              <w:spacing w:after="40"/>
            </w:pPr>
            <w:r>
              <w:rPr>
                <w:i/>
                <w:color w:val="333333"/>
                <w:sz w:val="19"/>
              </w:rPr>
              <w:t>• For the AI accuracy, please suggest according to the table below.</w:t>
            </w:r>
          </w:p>
          <w:p w14:paraId="75E3ACA2">
            <w:pPr>
              <w:spacing w:after="40"/>
            </w:pPr>
            <w:r>
              <w:rPr>
                <w:i/>
                <w:color w:val="333333"/>
                <w:sz w:val="19"/>
              </w:rPr>
              <w:t>• Table for Sizing Estimation — Storage Size Requirement: please state the proposed storage size for the whole AI Solutions.</w:t>
            </w:r>
          </w:p>
          <w:p w14:paraId="0D680D1B">
            <w:pPr>
              <w:spacing w:after="40"/>
            </w:pPr>
            <w:r>
              <w:rPr>
                <w:i/>
                <w:color w:val="333333"/>
                <w:sz w:val="19"/>
              </w:rPr>
              <w:t>• Table for System Performance.</w:t>
            </w:r>
          </w:p>
          <w:p w14:paraId="1B1E7502">
            <w:pPr>
              <w:spacing w:after="40"/>
            </w:pPr>
            <w:r>
              <w:rPr>
                <w:i/>
                <w:color w:val="333333"/>
                <w:sz w:val="19"/>
              </w:rPr>
              <w:t>• Table for System Accuracy.</w:t>
            </w:r>
          </w:p>
        </w:tc>
      </w:tr>
      <w:tr w14:paraId="2C130A15">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54E6583A">
            <w:pPr>
              <w:spacing w:after="80"/>
            </w:pPr>
            <w:r>
              <w:rPr>
                <w:b/>
                <w:color w:val="3A5A00"/>
                <w:sz w:val="18"/>
              </w:rPr>
              <w:t>中文解釋 (CMHK reference)：</w:t>
            </w:r>
          </w:p>
          <w:p w14:paraId="5B4193EB">
            <w:pPr>
              <w:spacing w:after="40"/>
            </w:pPr>
            <w:r>
              <w:rPr>
                <w:i/>
                <w:color w:val="333333"/>
                <w:sz w:val="19"/>
              </w:rPr>
              <w:t>系統容量與性能</w:t>
            </w:r>
          </w:p>
          <w:p w14:paraId="5EFFC719">
            <w:pPr>
              <w:spacing w:after="40"/>
            </w:pPr>
            <w:r>
              <w:rPr>
                <w:i/>
                <w:color w:val="333333"/>
                <w:sz w:val="19"/>
              </w:rPr>
              <w:t>• Sizing：請按下表建議</w:t>
            </w:r>
          </w:p>
          <w:p w14:paraId="41A5C040">
            <w:pPr>
              <w:spacing w:after="40"/>
            </w:pPr>
            <w:r>
              <w:rPr>
                <w:i/>
                <w:color w:val="333333"/>
                <w:sz w:val="19"/>
              </w:rPr>
              <w:t>• 性能：請按下表建議</w:t>
            </w:r>
          </w:p>
          <w:p w14:paraId="2685205F">
            <w:pPr>
              <w:spacing w:after="40"/>
            </w:pPr>
            <w:r>
              <w:rPr>
                <w:i/>
                <w:color w:val="333333"/>
                <w:sz w:val="19"/>
              </w:rPr>
              <w:t>• AI 準確率：請按下表建議</w:t>
            </w:r>
          </w:p>
          <w:p w14:paraId="704A54EE">
            <w:pPr>
              <w:spacing w:after="40"/>
            </w:pPr>
            <w:r>
              <w:rPr>
                <w:i/>
                <w:color w:val="333333"/>
                <w:sz w:val="19"/>
              </w:rPr>
              <w:t>• Sizing 估算表 — Storage Size 需求：請列出整套 AI Solutions 之建議儲存容量</w:t>
            </w:r>
          </w:p>
          <w:p w14:paraId="72679EB7">
            <w:pPr>
              <w:spacing w:after="40"/>
            </w:pPr>
            <w:r>
              <w:rPr>
                <w:i/>
                <w:color w:val="333333"/>
                <w:sz w:val="19"/>
              </w:rPr>
              <w:t>• 系統性能表</w:t>
            </w:r>
          </w:p>
          <w:p w14:paraId="177885C3">
            <w:pPr>
              <w:spacing w:after="40"/>
            </w:pPr>
            <w:r>
              <w:rPr>
                <w:i/>
                <w:color w:val="333333"/>
                <w:sz w:val="19"/>
              </w:rPr>
              <w:t>• 系統準確率表</w:t>
            </w:r>
          </w:p>
        </w:tc>
      </w:tr>
    </w:tbl>
    <w:p w14:paraId="5FE5FBCC"/>
    <w:p w14:paraId="40E0BF4D">
      <w:pPr>
        <w:spacing w:before="280" w:after="80"/>
      </w:pPr>
      <w:r>
        <w:rPr>
          <w:b/>
          <w:color w:val="003D7A"/>
          <w:sz w:val="26"/>
        </w:rPr>
        <w:t>8.1 Storage Size for AI Application Stack</w:t>
      </w:r>
    </w:p>
    <w:p w14:paraId="4F4B9E9A">
      <w:pPr>
        <w:spacing w:after="120"/>
      </w:pPr>
      <w:r>
        <w:rPr>
          <w:i/>
          <w:color w:val="222222"/>
          <w:sz w:val="20"/>
        </w:rPr>
        <w:t>Please complete the storage sizing table (basis: 500K cases/yr × 12 attachments × 3 pages × 5 MB × 5 yr retention + 7% annual growth).  請填寫儲存容量估算表（基於 50 萬件 / 年 × 12 附件 × 3 頁 × 5 MB × 5 年保存 + 7% 年增長）。</w:t>
      </w:r>
    </w:p>
    <w:tbl>
      <w:tblPr>
        <w:tblStyle w:val="32"/>
        <w:tblW w:w="0" w:type="auto"/>
        <w:jc w:val="center"/>
        <w:tblLayout w:type="fixed"/>
        <w:tblCellMar>
          <w:top w:w="0" w:type="dxa"/>
          <w:left w:w="108" w:type="dxa"/>
          <w:bottom w:w="0" w:type="dxa"/>
          <w:right w:w="108" w:type="dxa"/>
        </w:tblCellMar>
      </w:tblPr>
      <w:tblGrid>
        <w:gridCol w:w="2550"/>
        <w:gridCol w:w="1548"/>
        <w:gridCol w:w="2256"/>
        <w:gridCol w:w="3846"/>
      </w:tblGrid>
      <w:tr w14:paraId="6758391B">
        <w:tblPrEx>
          <w:tblCellMar>
            <w:top w:w="0" w:type="dxa"/>
            <w:left w:w="108" w:type="dxa"/>
            <w:bottom w:w="0" w:type="dxa"/>
            <w:right w:w="108" w:type="dxa"/>
          </w:tblCellMar>
        </w:tblPrEx>
        <w:trPr>
          <w:trHeight w:val="576" w:hRule="atLeast"/>
          <w:jc w:val="center"/>
        </w:trPr>
        <w:tc>
          <w:tcPr>
            <w:tcW w:w="2550" w:type="dxa"/>
            <w:shd w:val="clear" w:color="auto" w:fill="003D7A"/>
            <w:vAlign w:val="center"/>
          </w:tcPr>
          <w:p w14:paraId="330B07F9">
            <w:r>
              <w:rPr>
                <w:b/>
                <w:color w:val="FFFFFF"/>
                <w:sz w:val="20"/>
              </w:rPr>
              <w:t>Item</w:t>
            </w:r>
          </w:p>
        </w:tc>
        <w:tc>
          <w:tcPr>
            <w:tcW w:w="1548" w:type="dxa"/>
            <w:shd w:val="clear" w:color="auto" w:fill="003D7A"/>
            <w:vAlign w:val="center"/>
          </w:tcPr>
          <w:p w14:paraId="59D5CCAA">
            <w:r>
              <w:rPr>
                <w:b/>
                <w:color w:val="FFFFFF"/>
                <w:sz w:val="20"/>
              </w:rPr>
              <w:t>Capacity (TB)</w:t>
            </w:r>
          </w:p>
        </w:tc>
        <w:tc>
          <w:tcPr>
            <w:tcW w:w="2256" w:type="dxa"/>
            <w:shd w:val="clear" w:color="auto" w:fill="003D7A"/>
            <w:vAlign w:val="center"/>
          </w:tcPr>
          <w:p w14:paraId="62A36B3F">
            <w:r>
              <w:rPr>
                <w:b/>
                <w:color w:val="FFFFFF"/>
                <w:sz w:val="20"/>
              </w:rPr>
              <w:t>Growth Assumption</w:t>
            </w:r>
          </w:p>
        </w:tc>
        <w:tc>
          <w:tcPr>
            <w:tcW w:w="3846" w:type="dxa"/>
            <w:shd w:val="clear" w:color="auto" w:fill="003D7A"/>
            <w:vAlign w:val="center"/>
          </w:tcPr>
          <w:p w14:paraId="501865B1">
            <w:r>
              <w:rPr>
                <w:b/>
                <w:color w:val="FFFFFF"/>
                <w:sz w:val="20"/>
              </w:rPr>
              <w:t>Notes / Calculation Formula</w:t>
            </w:r>
          </w:p>
        </w:tc>
      </w:tr>
      <w:tr w14:paraId="24645407">
        <w:tblPrEx>
          <w:tblCellMar>
            <w:top w:w="0" w:type="dxa"/>
            <w:left w:w="108" w:type="dxa"/>
            <w:bottom w:w="0" w:type="dxa"/>
            <w:right w:w="108" w:type="dxa"/>
          </w:tblCellMar>
        </w:tblPrEx>
        <w:trPr>
          <w:trHeight w:val="1007" w:hRule="atLeast"/>
          <w:jc w:val="center"/>
        </w:trPr>
        <w:tc>
          <w:tcPr>
            <w:tcW w:w="2550" w:type="dxa"/>
            <w:tcBorders>
              <w:top w:val="single" w:color="888888" w:sz="6" w:space="0"/>
              <w:left w:val="single" w:color="888888" w:sz="6" w:space="0"/>
              <w:bottom w:val="single" w:color="888888" w:sz="6" w:space="0"/>
              <w:right w:val="single" w:color="888888" w:sz="6" w:space="0"/>
            </w:tcBorders>
            <w:vAlign w:val="top"/>
          </w:tcPr>
          <w:p w14:paraId="6EBADCAB">
            <w:pPr>
              <w:rPr>
                <w:b/>
                <w:color w:val="222222"/>
                <w:sz w:val="20"/>
              </w:rPr>
            </w:pPr>
            <w:r>
              <w:rPr>
                <w:b/>
                <w:color w:val="222222"/>
                <w:sz w:val="20"/>
              </w:rPr>
              <w:t>AI Application Layer storage (templates / knowledge base / training samples / PDF cache)</w:t>
            </w:r>
          </w:p>
          <w:p w14:paraId="122C1FBE">
            <w:pPr>
              <w:rPr>
                <w:b/>
                <w:color w:val="222222"/>
                <w:sz w:val="20"/>
              </w:rPr>
            </w:pPr>
          </w:p>
        </w:tc>
        <w:tc>
          <w:tcPr>
            <w:tcW w:w="1548" w:type="dxa"/>
            <w:tcBorders>
              <w:top w:val="single" w:color="888888" w:sz="6" w:space="0"/>
              <w:left w:val="single" w:color="888888" w:sz="6" w:space="0"/>
              <w:bottom w:val="single" w:color="888888" w:sz="6" w:space="0"/>
              <w:right w:val="single" w:color="888888" w:sz="6" w:space="0"/>
            </w:tcBorders>
            <w:vAlign w:val="top"/>
          </w:tcPr>
          <w:p w14:paraId="5E7C2A7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eastAsia="宋体" w:cs="宋体" w:asciiTheme="minorAscii" w:hAnsiTheme="minorAscii"/>
                <w:b/>
                <w:bCs/>
                <w:kern w:val="0"/>
                <w:sz w:val="21"/>
                <w:szCs w:val="21"/>
                <w:lang w:val="en-US" w:eastAsia="zh-CN" w:bidi="ar"/>
              </w:rPr>
            </w:pPr>
            <w:r>
              <w:rPr>
                <w:rFonts w:hint="eastAsia" w:eastAsia="宋体" w:cs="宋体" w:asciiTheme="minorAscii" w:hAnsiTheme="minorAscii"/>
                <w:b/>
                <w:bCs/>
                <w:kern w:val="0"/>
                <w:sz w:val="21"/>
                <w:szCs w:val="21"/>
                <w:lang w:val="en-US" w:eastAsia="zh-CN" w:bidi="ar"/>
              </w:rPr>
              <w:t>16TB</w:t>
            </w:r>
          </w:p>
          <w:p w14:paraId="476A2F2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eastAsia="宋体" w:cs="宋体" w:asciiTheme="minorAscii" w:hAnsiTheme="minorAscii"/>
                <w:kern w:val="0"/>
                <w:sz w:val="21"/>
                <w:szCs w:val="21"/>
                <w:lang w:val="en-US" w:eastAsia="zh-CN" w:bidi="ar"/>
              </w:rPr>
            </w:pPr>
            <w:r>
              <w:rPr>
                <w:rFonts w:hint="eastAsia" w:eastAsia="宋体" w:cs="宋体" w:asciiTheme="minorAscii" w:hAnsiTheme="minorAscii"/>
                <w:kern w:val="0"/>
                <w:sz w:val="21"/>
                <w:szCs w:val="21"/>
                <w:lang w:val="en-US" w:eastAsia="zh-CN" w:bidi="ar"/>
              </w:rPr>
              <w:t>(</w:t>
            </w:r>
            <w:r>
              <w:rPr>
                <w:rFonts w:hint="default" w:eastAsia="宋体" w:cs="宋体" w:asciiTheme="minorAscii" w:hAnsiTheme="minorAscii"/>
                <w:kern w:val="0"/>
                <w:sz w:val="21"/>
                <w:szCs w:val="21"/>
                <w:lang w:val="en-US" w:eastAsia="zh-CN" w:bidi="ar"/>
              </w:rPr>
              <w:t>Mixed Retention Scheme for Short-Term Hot Data</w:t>
            </w:r>
            <w:r>
              <w:rPr>
                <w:rFonts w:hint="eastAsia" w:eastAsia="宋体" w:cs="宋体" w:asciiTheme="minorAscii" w:hAnsiTheme="minorAscii"/>
                <w:kern w:val="0"/>
                <w:sz w:val="21"/>
                <w:szCs w:val="21"/>
                <w:lang w:val="en-US" w:eastAsia="zh-CN" w:bidi="ar"/>
              </w:rPr>
              <w:t>)</w:t>
            </w:r>
          </w:p>
        </w:tc>
        <w:tc>
          <w:tcPr>
            <w:tcW w:w="2256" w:type="dxa"/>
            <w:tcBorders>
              <w:top w:val="single" w:color="888888" w:sz="6" w:space="0"/>
              <w:left w:val="single" w:color="888888" w:sz="6" w:space="0"/>
              <w:bottom w:val="single" w:color="888888" w:sz="6" w:space="0"/>
              <w:right w:val="single" w:color="888888" w:sz="6" w:space="0"/>
            </w:tcBorders>
            <w:vAlign w:val="top"/>
          </w:tcPr>
          <w:p w14:paraId="2270B4A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7% annual growth for 5 years</w:t>
            </w:r>
          </w:p>
          <w:p w14:paraId="658467F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eastAsia="宋体" w:cs="宋体" w:asciiTheme="minorAscii" w:hAnsiTheme="minorAscii"/>
                <w:kern w:val="0"/>
                <w:sz w:val="21"/>
                <w:szCs w:val="21"/>
                <w:lang w:val="en-US" w:eastAsia="zh-CN" w:bidi="ar"/>
              </w:rPr>
            </w:pPr>
          </w:p>
        </w:tc>
        <w:tc>
          <w:tcPr>
            <w:tcW w:w="3846" w:type="dxa"/>
            <w:tcBorders>
              <w:top w:val="single" w:color="888888" w:sz="6" w:space="0"/>
              <w:left w:val="single" w:color="888888" w:sz="6" w:space="0"/>
              <w:bottom w:val="single" w:color="888888" w:sz="6" w:space="0"/>
              <w:right w:val="single" w:color="888888" w:sz="6" w:space="0"/>
            </w:tcBorders>
            <w:vAlign w:val="top"/>
          </w:tcPr>
          <w:p w14:paraId="42428BE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Calculated based on 500K annual applications, 12 attachments per case, 3 pages per attachment, 5MB per page, with 7% annual growth in 5-year planning. Mixed retention policy applied: original document files retained for 7 days, OCR structured results retained for 30 days, audit logs retained for 60 days. Storage covers system OS/database/application, RAG knowledge base, AI model version archive, training samples and PDF report cache. Additional 30% overhead for snapshot, log and temporary data, plus 20% capacity headroom for future business growth and expansion.</w:t>
            </w:r>
          </w:p>
        </w:tc>
      </w:tr>
      <w:tr w14:paraId="5E547899">
        <w:tblPrEx>
          <w:tblCellMar>
            <w:top w:w="0" w:type="dxa"/>
            <w:left w:w="108" w:type="dxa"/>
            <w:bottom w:w="0" w:type="dxa"/>
            <w:right w:w="108" w:type="dxa"/>
          </w:tblCellMar>
        </w:tblPrEx>
        <w:trPr>
          <w:trHeight w:val="1007" w:hRule="atLeast"/>
          <w:jc w:val="center"/>
        </w:trPr>
        <w:tc>
          <w:tcPr>
            <w:tcW w:w="2550" w:type="dxa"/>
            <w:tcBorders>
              <w:top w:val="single" w:color="888888" w:sz="6" w:space="0"/>
              <w:left w:val="single" w:color="888888" w:sz="6" w:space="0"/>
              <w:bottom w:val="single" w:color="888888" w:sz="6" w:space="0"/>
              <w:right w:val="single" w:color="888888" w:sz="6" w:space="0"/>
            </w:tcBorders>
            <w:vAlign w:val="top"/>
          </w:tcPr>
          <w:p w14:paraId="67038C76">
            <w:pPr>
              <w:rPr>
                <w:b/>
                <w:color w:val="222222"/>
                <w:sz w:val="20"/>
              </w:rPr>
            </w:pPr>
            <w:r>
              <w:rPr>
                <w:b/>
                <w:color w:val="222222"/>
                <w:sz w:val="20"/>
              </w:rPr>
              <w:t>AI Application Layer storage (templates / knowledge base / training samples / PDF cache)</w:t>
            </w:r>
          </w:p>
        </w:tc>
        <w:tc>
          <w:tcPr>
            <w:tcW w:w="1548" w:type="dxa"/>
            <w:tcBorders>
              <w:top w:val="single" w:color="888888" w:sz="6" w:space="0"/>
              <w:left w:val="single" w:color="888888" w:sz="6" w:space="0"/>
              <w:bottom w:val="single" w:color="888888" w:sz="6" w:space="0"/>
              <w:right w:val="single" w:color="888888" w:sz="6" w:space="0"/>
            </w:tcBorders>
            <w:vAlign w:val="top"/>
          </w:tcPr>
          <w:p w14:paraId="7A9E0EF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eastAsia="宋体" w:cs="宋体" w:asciiTheme="minorAscii" w:hAnsiTheme="minorAscii"/>
                <w:b/>
                <w:bCs/>
                <w:kern w:val="0"/>
                <w:sz w:val="21"/>
                <w:szCs w:val="21"/>
                <w:lang w:val="en-US" w:eastAsia="zh-CN" w:bidi="ar"/>
              </w:rPr>
            </w:pPr>
            <w:r>
              <w:rPr>
                <w:rFonts w:hint="eastAsia" w:eastAsia="宋体" w:cs="宋体" w:asciiTheme="minorAscii" w:hAnsiTheme="minorAscii"/>
                <w:b/>
                <w:bCs/>
                <w:kern w:val="0"/>
                <w:sz w:val="21"/>
                <w:szCs w:val="21"/>
                <w:lang w:val="en-US" w:eastAsia="zh-CN" w:bidi="ar"/>
              </w:rPr>
              <w:t>770TB</w:t>
            </w:r>
          </w:p>
          <w:p w14:paraId="0140CE4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eastAsia" w:eastAsia="宋体" w:cs="宋体" w:asciiTheme="minorAscii" w:hAnsiTheme="minorAscii"/>
                <w:kern w:val="0"/>
                <w:sz w:val="21"/>
                <w:szCs w:val="21"/>
                <w:lang w:val="en-US" w:eastAsia="zh-CN" w:bidi="ar"/>
              </w:rPr>
            </w:pPr>
            <w:r>
              <w:rPr>
                <w:rFonts w:hint="eastAsia" w:eastAsia="宋体" w:cs="宋体" w:asciiTheme="minorAscii" w:hAnsiTheme="minorAscii"/>
                <w:kern w:val="0"/>
                <w:sz w:val="21"/>
                <w:szCs w:val="21"/>
                <w:lang w:val="en-US" w:eastAsia="zh-CN" w:bidi="ar"/>
              </w:rPr>
              <w:t>(</w:t>
            </w:r>
            <w:r>
              <w:rPr>
                <w:rFonts w:hint="default" w:eastAsia="宋体" w:cs="宋体" w:asciiTheme="minorAscii" w:hAnsiTheme="minorAscii"/>
                <w:kern w:val="0"/>
                <w:sz w:val="21"/>
                <w:szCs w:val="21"/>
                <w:lang w:val="en-US" w:eastAsia="zh-CN" w:bidi="ar"/>
              </w:rPr>
              <w:t>Full Data 5-Year Complete Retention Scheme</w:t>
            </w:r>
            <w:r>
              <w:rPr>
                <w:rFonts w:hint="eastAsia" w:eastAsia="宋体" w:cs="宋体" w:asciiTheme="minorAscii" w:hAnsiTheme="minorAscii"/>
                <w:kern w:val="0"/>
                <w:sz w:val="21"/>
                <w:szCs w:val="21"/>
                <w:lang w:val="en-US" w:eastAsia="zh-CN" w:bidi="ar"/>
              </w:rPr>
              <w:t>)</w:t>
            </w:r>
          </w:p>
        </w:tc>
        <w:tc>
          <w:tcPr>
            <w:tcW w:w="2256" w:type="dxa"/>
            <w:tcBorders>
              <w:top w:val="single" w:color="888888" w:sz="6" w:space="0"/>
              <w:left w:val="single" w:color="888888" w:sz="6" w:space="0"/>
              <w:bottom w:val="single" w:color="888888" w:sz="6" w:space="0"/>
              <w:right w:val="single" w:color="888888" w:sz="6" w:space="0"/>
            </w:tcBorders>
            <w:vAlign w:val="top"/>
          </w:tcPr>
          <w:p w14:paraId="6F6D979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7% annual growth for 5 years</w:t>
            </w:r>
          </w:p>
        </w:tc>
        <w:tc>
          <w:tcPr>
            <w:tcW w:w="3846" w:type="dxa"/>
            <w:tcBorders>
              <w:top w:val="single" w:color="888888" w:sz="6" w:space="0"/>
              <w:left w:val="single" w:color="888888" w:sz="6" w:space="0"/>
              <w:bottom w:val="single" w:color="888888" w:sz="6" w:space="0"/>
              <w:right w:val="single" w:color="888888" w:sz="6" w:space="0"/>
            </w:tcBorders>
            <w:vAlign w:val="top"/>
          </w:tcPr>
          <w:p w14:paraId="011AFB6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sz w:val="21"/>
                <w:szCs w:val="21"/>
              </w:rPr>
              <w:t>Calculated based on 500K annual applications, 12 attachments per case, 3 pages per attachment, 5MB per page, with 7% annual growth in 5-year planning. Full data retention policy applied: all original document files, OCR structured results, and audit logs are fully retained for 5 years without short-term purge. Storage covers system OS/database/application, RAG knowledge base, AI model version archive, training samples and PDF report cache. Additional 30% overhead for snapshot, log and temporary data, plus 20% capacity headroom for future business growth and expansion.</w:t>
            </w:r>
          </w:p>
        </w:tc>
      </w:tr>
    </w:tbl>
    <w:p w14:paraId="0F863B68"/>
    <w:p w14:paraId="70E9943B">
      <w:pPr>
        <w:spacing w:before="280" w:after="80"/>
      </w:pPr>
      <w:r>
        <w:rPr>
          <w:b/>
          <w:color w:val="003D7A"/>
          <w:sz w:val="26"/>
        </w:rPr>
        <w:t>8.2 System Performance</w:t>
      </w:r>
    </w:p>
    <w:p w14:paraId="7CBF3262">
      <w:pPr>
        <w:spacing w:after="120"/>
      </w:pPr>
      <w:r>
        <w:rPr>
          <w:i/>
          <w:color w:val="222222"/>
          <w:sz w:val="20"/>
        </w:rPr>
        <w:t>Please commit the system performance metrics. 請承諾下列性能指標。</w:t>
      </w:r>
    </w:p>
    <w:tbl>
      <w:tblPr>
        <w:tblStyle w:val="32"/>
        <w:tblW w:w="0" w:type="auto"/>
        <w:jc w:val="center"/>
        <w:tblLayout w:type="fixed"/>
        <w:tblCellMar>
          <w:top w:w="0" w:type="dxa"/>
          <w:left w:w="108" w:type="dxa"/>
          <w:bottom w:w="0" w:type="dxa"/>
          <w:right w:w="108" w:type="dxa"/>
        </w:tblCellMar>
      </w:tblPr>
      <w:tblGrid>
        <w:gridCol w:w="3400"/>
        <w:gridCol w:w="3400"/>
        <w:gridCol w:w="3400"/>
      </w:tblGrid>
      <w:tr w14:paraId="1DEDA3D9">
        <w:tblPrEx>
          <w:tblCellMar>
            <w:top w:w="0" w:type="dxa"/>
            <w:left w:w="108" w:type="dxa"/>
            <w:bottom w:w="0" w:type="dxa"/>
            <w:right w:w="108" w:type="dxa"/>
          </w:tblCellMar>
        </w:tblPrEx>
        <w:trPr>
          <w:trHeight w:val="576" w:hRule="atLeast"/>
          <w:jc w:val="center"/>
        </w:trPr>
        <w:tc>
          <w:tcPr>
            <w:tcW w:w="3400" w:type="dxa"/>
            <w:shd w:val="clear" w:color="auto" w:fill="003D7A"/>
            <w:vAlign w:val="center"/>
          </w:tcPr>
          <w:p w14:paraId="22A5AFC8">
            <w:r>
              <w:rPr>
                <w:b/>
                <w:color w:val="FFFFFF"/>
                <w:sz w:val="20"/>
              </w:rPr>
              <w:t>Performance Metric</w:t>
            </w:r>
          </w:p>
        </w:tc>
        <w:tc>
          <w:tcPr>
            <w:tcW w:w="3400" w:type="dxa"/>
            <w:shd w:val="clear" w:color="auto" w:fill="003D7A"/>
            <w:vAlign w:val="center"/>
          </w:tcPr>
          <w:p w14:paraId="6113421B">
            <w:r>
              <w:rPr>
                <w:b/>
                <w:color w:val="FFFFFF"/>
                <w:sz w:val="20"/>
              </w:rPr>
              <w:t>Committed Value</w:t>
            </w:r>
          </w:p>
        </w:tc>
        <w:tc>
          <w:tcPr>
            <w:tcW w:w="3400" w:type="dxa"/>
            <w:shd w:val="clear" w:color="auto" w:fill="003D7A"/>
            <w:vAlign w:val="center"/>
          </w:tcPr>
          <w:p w14:paraId="4792768D">
            <w:r>
              <w:rPr>
                <w:b/>
                <w:color w:val="FFFFFF"/>
                <w:sz w:val="20"/>
              </w:rPr>
              <w:t>Measurement Method / Scenario</w:t>
            </w:r>
          </w:p>
        </w:tc>
      </w:tr>
      <w:tr w14:paraId="6E694B66">
        <w:tblPrEx>
          <w:tblCellMar>
            <w:top w:w="0" w:type="dxa"/>
            <w:left w:w="108" w:type="dxa"/>
            <w:bottom w:w="0" w:type="dxa"/>
            <w:right w:w="108" w:type="dxa"/>
          </w:tblCellMar>
        </w:tblPrEx>
        <w:trPr>
          <w:trHeight w:val="864" w:hRule="atLeast"/>
          <w:jc w:val="center"/>
        </w:trPr>
        <w:tc>
          <w:tcPr>
            <w:tcW w:w="3400" w:type="dxa"/>
            <w:tcBorders>
              <w:top w:val="single" w:color="888888" w:sz="6" w:space="0"/>
              <w:left w:val="single" w:color="888888" w:sz="6" w:space="0"/>
              <w:bottom w:val="single" w:color="888888" w:sz="6" w:space="0"/>
              <w:right w:val="single" w:color="888888" w:sz="6" w:space="0"/>
            </w:tcBorders>
            <w:vAlign w:val="top"/>
          </w:tcPr>
          <w:p w14:paraId="3B9A1E2E">
            <w:r>
              <w:rPr>
                <w:b/>
                <w:color w:val="222222"/>
                <w:sz w:val="20"/>
              </w:rPr>
              <w:t>End-to-end processing latency (per case, P95)</w:t>
            </w:r>
          </w:p>
        </w:tc>
        <w:tc>
          <w:tcPr>
            <w:tcW w:w="3400" w:type="dxa"/>
            <w:tcBorders>
              <w:top w:val="single" w:color="888888" w:sz="6" w:space="0"/>
              <w:left w:val="single" w:color="888888" w:sz="6" w:space="0"/>
              <w:bottom w:val="single" w:color="888888" w:sz="6" w:space="0"/>
              <w:right w:val="single" w:color="888888" w:sz="6" w:space="0"/>
            </w:tcBorders>
            <w:vAlign w:val="top"/>
          </w:tcPr>
          <w:p w14:paraId="3FA981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 60 seconds</w:t>
            </w:r>
          </w:p>
        </w:tc>
        <w:tc>
          <w:tcPr>
            <w:tcW w:w="3400" w:type="dxa"/>
            <w:tcBorders>
              <w:top w:val="single" w:color="888888" w:sz="6" w:space="0"/>
              <w:left w:val="single" w:color="888888" w:sz="6" w:space="0"/>
              <w:bottom w:val="single" w:color="888888" w:sz="6" w:space="0"/>
              <w:right w:val="single" w:color="888888" w:sz="6" w:space="0"/>
            </w:tcBorders>
            <w:vAlign w:val="top"/>
          </w:tcPr>
          <w:p w14:paraId="02CB7F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Standard FDH visa case with 12 attachments under peak concurrency</w:t>
            </w:r>
          </w:p>
        </w:tc>
      </w:tr>
      <w:tr w14:paraId="18E371B9">
        <w:tblPrEx>
          <w:tblCellMar>
            <w:top w:w="0" w:type="dxa"/>
            <w:left w:w="108" w:type="dxa"/>
            <w:bottom w:w="0" w:type="dxa"/>
            <w:right w:w="108" w:type="dxa"/>
          </w:tblCellMar>
        </w:tblPrEx>
        <w:trPr>
          <w:trHeight w:val="864" w:hRule="atLeast"/>
          <w:jc w:val="center"/>
        </w:trPr>
        <w:tc>
          <w:tcPr>
            <w:tcW w:w="3400" w:type="dxa"/>
            <w:tcBorders>
              <w:top w:val="single" w:color="888888" w:sz="6" w:space="0"/>
              <w:left w:val="single" w:color="888888" w:sz="6" w:space="0"/>
              <w:bottom w:val="single" w:color="888888" w:sz="6" w:space="0"/>
              <w:right w:val="single" w:color="888888" w:sz="6" w:space="0"/>
            </w:tcBorders>
            <w:vAlign w:val="top"/>
          </w:tcPr>
          <w:p w14:paraId="43E8306B">
            <w:r>
              <w:rPr>
                <w:b/>
                <w:color w:val="222222"/>
                <w:sz w:val="20"/>
              </w:rPr>
              <w:t>Concurrent processing capacity (cases / hour)</w:t>
            </w:r>
          </w:p>
        </w:tc>
        <w:tc>
          <w:tcPr>
            <w:tcW w:w="3400" w:type="dxa"/>
            <w:tcBorders>
              <w:top w:val="single" w:color="888888" w:sz="6" w:space="0"/>
              <w:left w:val="single" w:color="888888" w:sz="6" w:space="0"/>
              <w:bottom w:val="single" w:color="888888" w:sz="6" w:space="0"/>
              <w:right w:val="single" w:color="888888" w:sz="6" w:space="0"/>
            </w:tcBorders>
            <w:vAlign w:val="top"/>
          </w:tcPr>
          <w:p w14:paraId="23DD94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 700 cases/hour</w:t>
            </w:r>
          </w:p>
        </w:tc>
        <w:tc>
          <w:tcPr>
            <w:tcW w:w="3400" w:type="dxa"/>
            <w:tcBorders>
              <w:top w:val="single" w:color="888888" w:sz="6" w:space="0"/>
              <w:left w:val="single" w:color="888888" w:sz="6" w:space="0"/>
              <w:bottom w:val="single" w:color="888888" w:sz="6" w:space="0"/>
              <w:right w:val="single" w:color="888888" w:sz="6" w:space="0"/>
            </w:tcBorders>
            <w:vAlign w:val="top"/>
          </w:tcPr>
          <w:p w14:paraId="270140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Support Year 5 peak business volume with 7% growth margin</w:t>
            </w:r>
          </w:p>
        </w:tc>
      </w:tr>
      <w:tr w14:paraId="3222B6E3">
        <w:tblPrEx>
          <w:tblCellMar>
            <w:top w:w="0" w:type="dxa"/>
            <w:left w:w="108" w:type="dxa"/>
            <w:bottom w:w="0" w:type="dxa"/>
            <w:right w:w="108" w:type="dxa"/>
          </w:tblCellMar>
        </w:tblPrEx>
        <w:trPr>
          <w:trHeight w:val="864" w:hRule="atLeast"/>
          <w:jc w:val="center"/>
        </w:trPr>
        <w:tc>
          <w:tcPr>
            <w:tcW w:w="3400" w:type="dxa"/>
            <w:tcBorders>
              <w:top w:val="single" w:color="888888" w:sz="6" w:space="0"/>
              <w:left w:val="single" w:color="888888" w:sz="6" w:space="0"/>
              <w:bottom w:val="single" w:color="888888" w:sz="6" w:space="0"/>
              <w:right w:val="single" w:color="888888" w:sz="6" w:space="0"/>
            </w:tcBorders>
            <w:vAlign w:val="top"/>
          </w:tcPr>
          <w:p w14:paraId="3E699307">
            <w:r>
              <w:rPr>
                <w:b/>
                <w:color w:val="222222"/>
                <w:sz w:val="20"/>
              </w:rPr>
              <w:t>PDF generation latency (per case, P95)</w:t>
            </w:r>
          </w:p>
        </w:tc>
        <w:tc>
          <w:tcPr>
            <w:tcW w:w="3400" w:type="dxa"/>
            <w:tcBorders>
              <w:top w:val="single" w:color="888888" w:sz="6" w:space="0"/>
              <w:left w:val="single" w:color="888888" w:sz="6" w:space="0"/>
              <w:bottom w:val="single" w:color="888888" w:sz="6" w:space="0"/>
              <w:right w:val="single" w:color="888888" w:sz="6" w:space="0"/>
            </w:tcBorders>
            <w:vAlign w:val="top"/>
          </w:tcPr>
          <w:p w14:paraId="1DD23F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 xml:space="preserve">≤ </w:t>
            </w:r>
            <w:r>
              <w:rPr>
                <w:rFonts w:hint="eastAsia" w:eastAsia="宋体" w:cs="宋体" w:asciiTheme="minorAscii" w:hAnsiTheme="minorAscii"/>
                <w:kern w:val="0"/>
                <w:sz w:val="21"/>
                <w:szCs w:val="21"/>
                <w:lang w:val="en-US" w:eastAsia="zh-CN" w:bidi="ar"/>
              </w:rPr>
              <w:t>30</w:t>
            </w:r>
            <w:r>
              <w:rPr>
                <w:rFonts w:hint="default" w:eastAsia="宋体" w:cs="宋体" w:asciiTheme="minorAscii" w:hAnsiTheme="minorAscii"/>
                <w:kern w:val="0"/>
                <w:sz w:val="21"/>
                <w:szCs w:val="21"/>
                <w:lang w:val="en-US" w:eastAsia="zh-CN" w:bidi="ar"/>
              </w:rPr>
              <w:t xml:space="preserve"> seconds</w:t>
            </w:r>
          </w:p>
        </w:tc>
        <w:tc>
          <w:tcPr>
            <w:tcW w:w="3400" w:type="dxa"/>
            <w:tcBorders>
              <w:top w:val="single" w:color="888888" w:sz="6" w:space="0"/>
              <w:left w:val="single" w:color="888888" w:sz="6" w:space="0"/>
              <w:bottom w:val="single" w:color="888888" w:sz="6" w:space="0"/>
              <w:right w:val="single" w:color="888888" w:sz="6" w:space="0"/>
            </w:tcBorders>
            <w:vAlign w:val="top"/>
          </w:tcPr>
          <w:p w14:paraId="19B475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Single case dual PDF report generation</w:t>
            </w:r>
          </w:p>
        </w:tc>
      </w:tr>
      <w:tr w14:paraId="15E73B00">
        <w:tblPrEx>
          <w:tblCellMar>
            <w:top w:w="0" w:type="dxa"/>
            <w:left w:w="108" w:type="dxa"/>
            <w:bottom w:w="0" w:type="dxa"/>
            <w:right w:w="108" w:type="dxa"/>
          </w:tblCellMar>
        </w:tblPrEx>
        <w:trPr>
          <w:trHeight w:val="864" w:hRule="atLeast"/>
          <w:jc w:val="center"/>
        </w:trPr>
        <w:tc>
          <w:tcPr>
            <w:tcW w:w="3400" w:type="dxa"/>
            <w:tcBorders>
              <w:top w:val="single" w:color="888888" w:sz="6" w:space="0"/>
              <w:left w:val="single" w:color="888888" w:sz="6" w:space="0"/>
              <w:bottom w:val="single" w:color="888888" w:sz="6" w:space="0"/>
              <w:right w:val="single" w:color="888888" w:sz="6" w:space="0"/>
            </w:tcBorders>
            <w:vAlign w:val="top"/>
          </w:tcPr>
          <w:p w14:paraId="07CF0D19">
            <w:r>
              <w:rPr>
                <w:b/>
                <w:color w:val="222222"/>
                <w:sz w:val="20"/>
              </w:rPr>
              <w:t>OCR / extraction latency per page (P95)</w:t>
            </w:r>
          </w:p>
        </w:tc>
        <w:tc>
          <w:tcPr>
            <w:tcW w:w="3400" w:type="dxa"/>
            <w:tcBorders>
              <w:top w:val="single" w:color="888888" w:sz="6" w:space="0"/>
              <w:left w:val="single" w:color="888888" w:sz="6" w:space="0"/>
              <w:bottom w:val="single" w:color="888888" w:sz="6" w:space="0"/>
              <w:right w:val="single" w:color="888888" w:sz="6" w:space="0"/>
            </w:tcBorders>
            <w:vAlign w:val="top"/>
          </w:tcPr>
          <w:p w14:paraId="2804AB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 xml:space="preserve">≤ </w:t>
            </w:r>
            <w:r>
              <w:rPr>
                <w:rFonts w:hint="eastAsia" w:eastAsia="宋体" w:cs="宋体" w:asciiTheme="minorAscii" w:hAnsiTheme="minorAscii"/>
                <w:kern w:val="0"/>
                <w:sz w:val="21"/>
                <w:szCs w:val="21"/>
                <w:lang w:val="en-US" w:eastAsia="zh-CN" w:bidi="ar"/>
              </w:rPr>
              <w:t>10</w:t>
            </w:r>
            <w:r>
              <w:rPr>
                <w:rFonts w:hint="default" w:eastAsia="宋体" w:cs="宋体" w:asciiTheme="minorAscii" w:hAnsiTheme="minorAscii"/>
                <w:kern w:val="0"/>
                <w:sz w:val="21"/>
                <w:szCs w:val="21"/>
                <w:lang w:val="en-US" w:eastAsia="zh-CN" w:bidi="ar"/>
              </w:rPr>
              <w:t xml:space="preserve"> seconds</w:t>
            </w:r>
          </w:p>
        </w:tc>
        <w:tc>
          <w:tcPr>
            <w:tcW w:w="3400" w:type="dxa"/>
            <w:tcBorders>
              <w:top w:val="single" w:color="888888" w:sz="6" w:space="0"/>
              <w:left w:val="single" w:color="888888" w:sz="6" w:space="0"/>
              <w:bottom w:val="single" w:color="888888" w:sz="6" w:space="0"/>
              <w:right w:val="single" w:color="888888" w:sz="6" w:space="0"/>
            </w:tcBorders>
            <w:vAlign w:val="top"/>
          </w:tcPr>
          <w:p w14:paraId="64F316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Standard application attachment page under normal load</w:t>
            </w:r>
          </w:p>
        </w:tc>
      </w:tr>
    </w:tbl>
    <w:p w14:paraId="66131E0F"/>
    <w:p w14:paraId="6CDAC95A">
      <w:r>
        <w:br w:type="page"/>
      </w:r>
    </w:p>
    <w:p w14:paraId="654BF9AF">
      <w:pPr>
        <w:spacing w:before="280" w:after="80"/>
      </w:pPr>
      <w:r>
        <w:rPr>
          <w:b/>
          <w:color w:val="003D7A"/>
          <w:sz w:val="26"/>
        </w:rPr>
        <w:t>Annex I Table 9 — Project Schedule</w:t>
      </w:r>
    </w:p>
    <w:tbl>
      <w:tblPr>
        <w:tblStyle w:val="32"/>
        <w:tblW w:w="0" w:type="auto"/>
        <w:jc w:val="center"/>
        <w:tblLayout w:type="fixed"/>
        <w:tblCellMar>
          <w:top w:w="0" w:type="dxa"/>
          <w:left w:w="108" w:type="dxa"/>
          <w:bottom w:w="0" w:type="dxa"/>
          <w:right w:w="108" w:type="dxa"/>
        </w:tblCellMar>
      </w:tblPr>
      <w:tblGrid>
        <w:gridCol w:w="10200"/>
      </w:tblGrid>
      <w:tr w14:paraId="35B738D6">
        <w:tblPrEx>
          <w:tblCellMar>
            <w:top w:w="0" w:type="dxa"/>
            <w:left w:w="108" w:type="dxa"/>
            <w:bottom w:w="0" w:type="dxa"/>
            <w:right w:w="108" w:type="dxa"/>
          </w:tblCellMar>
        </w:tblPrEx>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520AB7C1">
            <w:pPr>
              <w:spacing w:after="80"/>
            </w:pPr>
            <w:r>
              <w:rPr>
                <w:b/>
                <w:color w:val="003D7A"/>
                <w:sz w:val="18"/>
              </w:rPr>
              <w:t>Annex I Table 9 — Original:</w:t>
            </w:r>
          </w:p>
          <w:p w14:paraId="528CE2A8">
            <w:pPr>
              <w:spacing w:after="40"/>
            </w:pPr>
            <w:r>
              <w:rPr>
                <w:i/>
                <w:color w:val="333333"/>
                <w:sz w:val="19"/>
              </w:rPr>
              <w:t>"Table 9 - Proposed Project Schedule" — Month 0 = Contract Date. Please provide start / end month for each phase relevant to your layer.</w:t>
            </w:r>
          </w:p>
        </w:tc>
      </w:tr>
      <w:tr w14:paraId="54ED5340">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60A4D86E">
            <w:pPr>
              <w:spacing w:after="80"/>
            </w:pPr>
            <w:r>
              <w:rPr>
                <w:b/>
                <w:color w:val="3A5A00"/>
                <w:sz w:val="18"/>
              </w:rPr>
              <w:t>中文解釋：</w:t>
            </w:r>
          </w:p>
          <w:p w14:paraId="2DA8A45C">
            <w:pPr>
              <w:spacing w:after="40"/>
            </w:pPr>
            <w:r>
              <w:rPr>
                <w:i/>
                <w:color w:val="333333"/>
                <w:sz w:val="19"/>
              </w:rPr>
              <w:t>Annex I Table 9 — Project Schedule（建議項目時程）。以 Contract Date 簽約日為 Month 0，請貴司填寫負責層之各階段起迄月份。</w:t>
            </w:r>
          </w:p>
        </w:tc>
      </w:tr>
    </w:tbl>
    <w:p w14:paraId="127E8D97"/>
    <w:tbl>
      <w:tblPr>
        <w:tblStyle w:val="32"/>
        <w:tblW w:w="0" w:type="auto"/>
        <w:jc w:val="center"/>
        <w:tblLayout w:type="fixed"/>
        <w:tblCellMar>
          <w:top w:w="0" w:type="dxa"/>
          <w:left w:w="108" w:type="dxa"/>
          <w:bottom w:w="0" w:type="dxa"/>
          <w:right w:w="108" w:type="dxa"/>
        </w:tblCellMar>
      </w:tblPr>
      <w:tblGrid>
        <w:gridCol w:w="2550"/>
        <w:gridCol w:w="2550"/>
        <w:gridCol w:w="2550"/>
        <w:gridCol w:w="2550"/>
      </w:tblGrid>
      <w:tr w14:paraId="4519C247">
        <w:tblPrEx>
          <w:tblCellMar>
            <w:top w:w="0" w:type="dxa"/>
            <w:left w:w="108" w:type="dxa"/>
            <w:bottom w:w="0" w:type="dxa"/>
            <w:right w:w="108" w:type="dxa"/>
          </w:tblCellMar>
        </w:tblPrEx>
        <w:trPr>
          <w:trHeight w:val="503" w:hRule="atLeast"/>
          <w:jc w:val="center"/>
        </w:trPr>
        <w:tc>
          <w:tcPr>
            <w:tcW w:w="2550" w:type="dxa"/>
            <w:shd w:val="clear" w:color="auto" w:fill="003D7A"/>
            <w:vAlign w:val="center"/>
          </w:tcPr>
          <w:p w14:paraId="13C9ED72">
            <w:r>
              <w:rPr>
                <w:b/>
                <w:color w:val="FFFFFF"/>
                <w:sz w:val="20"/>
              </w:rPr>
              <w:t>Item</w:t>
            </w:r>
          </w:p>
        </w:tc>
        <w:tc>
          <w:tcPr>
            <w:tcW w:w="2550" w:type="dxa"/>
            <w:shd w:val="clear" w:color="auto" w:fill="003D7A"/>
            <w:vAlign w:val="center"/>
          </w:tcPr>
          <w:p w14:paraId="3FA13432">
            <w:r>
              <w:rPr>
                <w:b/>
                <w:color w:val="FFFFFF"/>
                <w:sz w:val="20"/>
              </w:rPr>
              <w:t>Task Description</w:t>
            </w:r>
          </w:p>
        </w:tc>
        <w:tc>
          <w:tcPr>
            <w:tcW w:w="2550" w:type="dxa"/>
            <w:shd w:val="clear" w:color="auto" w:fill="003D7A"/>
            <w:vAlign w:val="center"/>
          </w:tcPr>
          <w:p w14:paraId="263310ED">
            <w:r>
              <w:rPr>
                <w:b/>
                <w:color w:val="FFFFFF"/>
                <w:sz w:val="20"/>
              </w:rPr>
              <w:t>Start (Month _)</w:t>
            </w:r>
          </w:p>
        </w:tc>
        <w:tc>
          <w:tcPr>
            <w:tcW w:w="2550" w:type="dxa"/>
            <w:shd w:val="clear" w:color="auto" w:fill="003D7A"/>
            <w:vAlign w:val="center"/>
          </w:tcPr>
          <w:p w14:paraId="2349ABB1">
            <w:r>
              <w:rPr>
                <w:b/>
                <w:color w:val="FFFFFF"/>
                <w:sz w:val="20"/>
              </w:rPr>
              <w:t>End (Month _)</w:t>
            </w:r>
          </w:p>
        </w:tc>
      </w:tr>
      <w:tr w14:paraId="1866F594">
        <w:tblPrEx>
          <w:tblCellMar>
            <w:top w:w="0" w:type="dxa"/>
            <w:left w:w="108" w:type="dxa"/>
            <w:bottom w:w="0" w:type="dxa"/>
            <w:right w:w="108" w:type="dxa"/>
          </w:tblCellMar>
        </w:tblPrEx>
        <w:trPr>
          <w:trHeight w:val="720" w:hRule="atLeast"/>
          <w:jc w:val="center"/>
        </w:trPr>
        <w:tc>
          <w:tcPr>
            <w:tcW w:w="2550" w:type="dxa"/>
            <w:tcBorders>
              <w:top w:val="single" w:color="888888" w:sz="6" w:space="0"/>
              <w:left w:val="single" w:color="888888" w:sz="6" w:space="0"/>
              <w:bottom w:val="single" w:color="888888" w:sz="6" w:space="0"/>
              <w:right w:val="single" w:color="888888" w:sz="6" w:space="0"/>
            </w:tcBorders>
            <w:vAlign w:val="top"/>
          </w:tcPr>
          <w:p w14:paraId="22BC693C">
            <w:r>
              <w:rPr>
                <w:sz w:val="19"/>
              </w:rPr>
              <w:t>1</w:t>
            </w:r>
          </w:p>
        </w:tc>
        <w:tc>
          <w:tcPr>
            <w:tcW w:w="2550" w:type="dxa"/>
            <w:tcBorders>
              <w:top w:val="single" w:color="888888" w:sz="6" w:space="0"/>
              <w:left w:val="single" w:color="888888" w:sz="6" w:space="0"/>
              <w:bottom w:val="single" w:color="888888" w:sz="6" w:space="0"/>
              <w:right w:val="single" w:color="888888" w:sz="6" w:space="0"/>
            </w:tcBorders>
            <w:vAlign w:val="top"/>
          </w:tcPr>
          <w:p w14:paraId="1B234E33">
            <w:r>
              <w:rPr>
                <w:sz w:val="19"/>
              </w:rPr>
              <w:t>System Analysis and Design / 系統分析與設計</w:t>
            </w:r>
          </w:p>
        </w:tc>
        <w:tc>
          <w:tcPr>
            <w:tcW w:w="2550" w:type="dxa"/>
            <w:tcBorders>
              <w:top w:val="single" w:color="888888" w:sz="6" w:space="0"/>
              <w:left w:val="single" w:color="888888" w:sz="6" w:space="0"/>
              <w:bottom w:val="single" w:color="888888" w:sz="6" w:space="0"/>
              <w:right w:val="single" w:color="888888" w:sz="6" w:space="0"/>
            </w:tcBorders>
            <w:vAlign w:val="top"/>
          </w:tcPr>
          <w:p w14:paraId="3E89180A">
            <w:pPr>
              <w:rPr>
                <w:sz w:val="19"/>
              </w:rPr>
            </w:pPr>
            <w:r>
              <w:rPr>
                <w:sz w:val="19"/>
              </w:rPr>
              <w:t>Month 1</w:t>
            </w:r>
          </w:p>
        </w:tc>
        <w:tc>
          <w:tcPr>
            <w:tcW w:w="2550" w:type="dxa"/>
            <w:tcBorders>
              <w:top w:val="single" w:color="888888" w:sz="6" w:space="0"/>
              <w:left w:val="single" w:color="888888" w:sz="6" w:space="0"/>
              <w:bottom w:val="single" w:color="888888" w:sz="6" w:space="0"/>
              <w:right w:val="single" w:color="888888" w:sz="6" w:space="0"/>
            </w:tcBorders>
            <w:vAlign w:val="top"/>
          </w:tcPr>
          <w:p w14:paraId="0D40FBC1">
            <w:pPr>
              <w:rPr>
                <w:rFonts w:hint="eastAsia"/>
                <w:sz w:val="19"/>
                <w:lang w:eastAsia="zh-CN"/>
              </w:rPr>
            </w:pPr>
            <w:r>
              <w:rPr>
                <w:sz w:val="19"/>
              </w:rPr>
              <w:t xml:space="preserve">Month </w:t>
            </w:r>
            <w:r>
              <w:rPr>
                <w:rFonts w:hint="eastAsia"/>
                <w:sz w:val="19"/>
                <w:lang w:val="en-US" w:eastAsia="zh-CN"/>
              </w:rPr>
              <w:t>3</w:t>
            </w:r>
          </w:p>
        </w:tc>
      </w:tr>
      <w:tr w14:paraId="6A79E14E">
        <w:tblPrEx>
          <w:tblCellMar>
            <w:top w:w="0" w:type="dxa"/>
            <w:left w:w="108" w:type="dxa"/>
            <w:bottom w:w="0" w:type="dxa"/>
            <w:right w:w="108" w:type="dxa"/>
          </w:tblCellMar>
        </w:tblPrEx>
        <w:trPr>
          <w:trHeight w:val="720" w:hRule="atLeast"/>
          <w:jc w:val="center"/>
        </w:trPr>
        <w:tc>
          <w:tcPr>
            <w:tcW w:w="2550" w:type="dxa"/>
            <w:tcBorders>
              <w:top w:val="single" w:color="888888" w:sz="6" w:space="0"/>
              <w:left w:val="single" w:color="888888" w:sz="6" w:space="0"/>
              <w:bottom w:val="single" w:color="888888" w:sz="6" w:space="0"/>
              <w:right w:val="single" w:color="888888" w:sz="6" w:space="0"/>
            </w:tcBorders>
            <w:vAlign w:val="top"/>
          </w:tcPr>
          <w:p w14:paraId="276183CB">
            <w:r>
              <w:rPr>
                <w:sz w:val="19"/>
              </w:rPr>
              <w:t>2</w:t>
            </w:r>
          </w:p>
        </w:tc>
        <w:tc>
          <w:tcPr>
            <w:tcW w:w="2550" w:type="dxa"/>
            <w:tcBorders>
              <w:top w:val="single" w:color="888888" w:sz="6" w:space="0"/>
              <w:left w:val="single" w:color="888888" w:sz="6" w:space="0"/>
              <w:bottom w:val="single" w:color="888888" w:sz="6" w:space="0"/>
              <w:right w:val="single" w:color="888888" w:sz="6" w:space="0"/>
            </w:tcBorders>
            <w:vAlign w:val="top"/>
          </w:tcPr>
          <w:p w14:paraId="5ACB0B7B">
            <w:r>
              <w:rPr>
                <w:sz w:val="19"/>
              </w:rPr>
              <w:t>System Development and Testing / 系統開發與測試</w:t>
            </w:r>
          </w:p>
        </w:tc>
        <w:tc>
          <w:tcPr>
            <w:tcW w:w="2550" w:type="dxa"/>
            <w:tcBorders>
              <w:top w:val="single" w:color="888888" w:sz="6" w:space="0"/>
              <w:left w:val="single" w:color="888888" w:sz="6" w:space="0"/>
              <w:bottom w:val="single" w:color="888888" w:sz="6" w:space="0"/>
              <w:right w:val="single" w:color="888888" w:sz="6" w:space="0"/>
            </w:tcBorders>
            <w:vAlign w:val="top"/>
          </w:tcPr>
          <w:p w14:paraId="41A7022F">
            <w:pPr>
              <w:rPr>
                <w:rFonts w:hint="eastAsia"/>
                <w:sz w:val="19"/>
                <w:lang w:eastAsia="zh-CN"/>
              </w:rPr>
            </w:pPr>
            <w:r>
              <w:rPr>
                <w:sz w:val="19"/>
              </w:rPr>
              <w:t xml:space="preserve">Month </w:t>
            </w:r>
            <w:r>
              <w:rPr>
                <w:rFonts w:hint="eastAsia"/>
                <w:sz w:val="19"/>
                <w:lang w:val="en-US" w:eastAsia="zh-CN"/>
              </w:rPr>
              <w:t>3</w:t>
            </w:r>
          </w:p>
        </w:tc>
        <w:tc>
          <w:tcPr>
            <w:tcW w:w="2550" w:type="dxa"/>
            <w:tcBorders>
              <w:top w:val="single" w:color="888888" w:sz="6" w:space="0"/>
              <w:left w:val="single" w:color="888888" w:sz="6" w:space="0"/>
              <w:bottom w:val="single" w:color="888888" w:sz="6" w:space="0"/>
              <w:right w:val="single" w:color="888888" w:sz="6" w:space="0"/>
            </w:tcBorders>
            <w:vAlign w:val="top"/>
          </w:tcPr>
          <w:p w14:paraId="3C27604B">
            <w:pPr>
              <w:rPr>
                <w:rFonts w:hint="eastAsia"/>
                <w:sz w:val="19"/>
                <w:lang w:eastAsia="zh-CN"/>
              </w:rPr>
            </w:pPr>
            <w:r>
              <w:rPr>
                <w:sz w:val="19"/>
              </w:rPr>
              <w:t xml:space="preserve">Month </w:t>
            </w:r>
            <w:r>
              <w:rPr>
                <w:rFonts w:hint="eastAsia"/>
                <w:sz w:val="19"/>
                <w:lang w:val="en-US" w:eastAsia="zh-CN"/>
              </w:rPr>
              <w:t>5</w:t>
            </w:r>
          </w:p>
        </w:tc>
      </w:tr>
      <w:tr w14:paraId="368D12C6">
        <w:tblPrEx>
          <w:tblCellMar>
            <w:top w:w="0" w:type="dxa"/>
            <w:left w:w="108" w:type="dxa"/>
            <w:bottom w:w="0" w:type="dxa"/>
            <w:right w:w="108" w:type="dxa"/>
          </w:tblCellMar>
        </w:tblPrEx>
        <w:trPr>
          <w:trHeight w:val="720" w:hRule="atLeast"/>
          <w:jc w:val="center"/>
        </w:trPr>
        <w:tc>
          <w:tcPr>
            <w:tcW w:w="2550" w:type="dxa"/>
            <w:tcBorders>
              <w:top w:val="single" w:color="888888" w:sz="6" w:space="0"/>
              <w:left w:val="single" w:color="888888" w:sz="6" w:space="0"/>
              <w:bottom w:val="single" w:color="888888" w:sz="6" w:space="0"/>
              <w:right w:val="single" w:color="888888" w:sz="6" w:space="0"/>
            </w:tcBorders>
            <w:vAlign w:val="top"/>
          </w:tcPr>
          <w:p w14:paraId="05960ADE">
            <w:r>
              <w:rPr>
                <w:sz w:val="19"/>
              </w:rPr>
              <w:t>3</w:t>
            </w:r>
          </w:p>
        </w:tc>
        <w:tc>
          <w:tcPr>
            <w:tcW w:w="2550" w:type="dxa"/>
            <w:tcBorders>
              <w:top w:val="single" w:color="888888" w:sz="6" w:space="0"/>
              <w:left w:val="single" w:color="888888" w:sz="6" w:space="0"/>
              <w:bottom w:val="single" w:color="888888" w:sz="6" w:space="0"/>
              <w:right w:val="single" w:color="888888" w:sz="6" w:space="0"/>
            </w:tcBorders>
            <w:vAlign w:val="top"/>
          </w:tcPr>
          <w:p w14:paraId="5CB6AECC">
            <w:r>
              <w:rPr>
                <w:sz w:val="19"/>
              </w:rPr>
              <w:t>System and User Acceptance (SIT / UAT) / 系統與使用者驗收</w:t>
            </w:r>
          </w:p>
        </w:tc>
        <w:tc>
          <w:tcPr>
            <w:tcW w:w="2550" w:type="dxa"/>
            <w:tcBorders>
              <w:top w:val="single" w:color="888888" w:sz="6" w:space="0"/>
              <w:left w:val="single" w:color="888888" w:sz="6" w:space="0"/>
              <w:bottom w:val="single" w:color="888888" w:sz="6" w:space="0"/>
              <w:right w:val="single" w:color="888888" w:sz="6" w:space="0"/>
            </w:tcBorders>
            <w:vAlign w:val="top"/>
          </w:tcPr>
          <w:p w14:paraId="3623B9C9">
            <w:pPr>
              <w:rPr>
                <w:rFonts w:hint="eastAsia"/>
                <w:sz w:val="19"/>
                <w:lang w:eastAsia="zh-CN"/>
              </w:rPr>
            </w:pPr>
            <w:r>
              <w:rPr>
                <w:sz w:val="19"/>
              </w:rPr>
              <w:t xml:space="preserve">Month </w:t>
            </w:r>
            <w:r>
              <w:rPr>
                <w:rFonts w:hint="eastAsia"/>
                <w:sz w:val="19"/>
                <w:lang w:val="en-US" w:eastAsia="zh-CN"/>
              </w:rPr>
              <w:t>5</w:t>
            </w:r>
          </w:p>
        </w:tc>
        <w:tc>
          <w:tcPr>
            <w:tcW w:w="2550" w:type="dxa"/>
            <w:tcBorders>
              <w:top w:val="single" w:color="888888" w:sz="6" w:space="0"/>
              <w:left w:val="single" w:color="888888" w:sz="6" w:space="0"/>
              <w:bottom w:val="single" w:color="888888" w:sz="6" w:space="0"/>
              <w:right w:val="single" w:color="888888" w:sz="6" w:space="0"/>
            </w:tcBorders>
            <w:vAlign w:val="top"/>
          </w:tcPr>
          <w:p w14:paraId="0A963884">
            <w:pPr>
              <w:rPr>
                <w:rFonts w:hint="eastAsia"/>
                <w:sz w:val="19"/>
                <w:lang w:eastAsia="zh-CN"/>
              </w:rPr>
            </w:pPr>
            <w:r>
              <w:rPr>
                <w:sz w:val="19"/>
              </w:rPr>
              <w:t xml:space="preserve">Month </w:t>
            </w:r>
            <w:r>
              <w:rPr>
                <w:rFonts w:hint="eastAsia"/>
                <w:sz w:val="19"/>
                <w:lang w:val="en-US" w:eastAsia="zh-CN"/>
              </w:rPr>
              <w:t>6</w:t>
            </w:r>
          </w:p>
        </w:tc>
      </w:tr>
      <w:tr w14:paraId="0DD05E68">
        <w:tblPrEx>
          <w:tblCellMar>
            <w:top w:w="0" w:type="dxa"/>
            <w:left w:w="108" w:type="dxa"/>
            <w:bottom w:w="0" w:type="dxa"/>
            <w:right w:w="108" w:type="dxa"/>
          </w:tblCellMar>
        </w:tblPrEx>
        <w:trPr>
          <w:trHeight w:val="720" w:hRule="atLeast"/>
          <w:jc w:val="center"/>
        </w:trPr>
        <w:tc>
          <w:tcPr>
            <w:tcW w:w="2550" w:type="dxa"/>
            <w:tcBorders>
              <w:top w:val="single" w:color="888888" w:sz="6" w:space="0"/>
              <w:left w:val="single" w:color="888888" w:sz="6" w:space="0"/>
              <w:bottom w:val="single" w:color="888888" w:sz="6" w:space="0"/>
              <w:right w:val="single" w:color="888888" w:sz="6" w:space="0"/>
            </w:tcBorders>
            <w:vAlign w:val="top"/>
          </w:tcPr>
          <w:p w14:paraId="03ED8A34">
            <w:r>
              <w:rPr>
                <w:sz w:val="19"/>
              </w:rPr>
              <w:t>4</w:t>
            </w:r>
          </w:p>
        </w:tc>
        <w:tc>
          <w:tcPr>
            <w:tcW w:w="2550" w:type="dxa"/>
            <w:tcBorders>
              <w:top w:val="single" w:color="888888" w:sz="6" w:space="0"/>
              <w:left w:val="single" w:color="888888" w:sz="6" w:space="0"/>
              <w:bottom w:val="single" w:color="888888" w:sz="6" w:space="0"/>
              <w:right w:val="single" w:color="888888" w:sz="6" w:space="0"/>
            </w:tcBorders>
            <w:vAlign w:val="top"/>
          </w:tcPr>
          <w:p w14:paraId="7C1CBC52">
            <w:r>
              <w:rPr>
                <w:sz w:val="19"/>
              </w:rPr>
              <w:t>User Training (≥ 10 sessions per RFI 4.3.14.3) / 使用者培訓</w:t>
            </w:r>
          </w:p>
        </w:tc>
        <w:tc>
          <w:tcPr>
            <w:tcW w:w="2550" w:type="dxa"/>
            <w:tcBorders>
              <w:top w:val="single" w:color="888888" w:sz="6" w:space="0"/>
              <w:left w:val="single" w:color="888888" w:sz="6" w:space="0"/>
              <w:bottom w:val="single" w:color="888888" w:sz="6" w:space="0"/>
              <w:right w:val="single" w:color="888888" w:sz="6" w:space="0"/>
            </w:tcBorders>
            <w:vAlign w:val="top"/>
          </w:tcPr>
          <w:p w14:paraId="11E906B6">
            <w:pPr>
              <w:rPr>
                <w:rFonts w:hint="eastAsia"/>
                <w:sz w:val="19"/>
                <w:lang w:eastAsia="zh-CN"/>
              </w:rPr>
            </w:pPr>
            <w:r>
              <w:rPr>
                <w:sz w:val="19"/>
              </w:rPr>
              <w:t xml:space="preserve">Month </w:t>
            </w:r>
            <w:r>
              <w:rPr>
                <w:rFonts w:hint="eastAsia"/>
                <w:sz w:val="19"/>
                <w:lang w:val="en-US" w:eastAsia="zh-CN"/>
              </w:rPr>
              <w:t>6</w:t>
            </w:r>
          </w:p>
        </w:tc>
        <w:tc>
          <w:tcPr>
            <w:tcW w:w="2550" w:type="dxa"/>
            <w:tcBorders>
              <w:top w:val="single" w:color="888888" w:sz="6" w:space="0"/>
              <w:left w:val="single" w:color="888888" w:sz="6" w:space="0"/>
              <w:bottom w:val="single" w:color="888888" w:sz="6" w:space="0"/>
              <w:right w:val="single" w:color="888888" w:sz="6" w:space="0"/>
            </w:tcBorders>
            <w:vAlign w:val="top"/>
          </w:tcPr>
          <w:p w14:paraId="321E394E">
            <w:pPr>
              <w:rPr>
                <w:rFonts w:hint="eastAsia"/>
                <w:sz w:val="19"/>
                <w:lang w:eastAsia="zh-CN"/>
              </w:rPr>
            </w:pPr>
            <w:r>
              <w:rPr>
                <w:sz w:val="19"/>
              </w:rPr>
              <w:t xml:space="preserve">Month </w:t>
            </w:r>
            <w:r>
              <w:rPr>
                <w:rFonts w:hint="eastAsia"/>
                <w:sz w:val="19"/>
                <w:lang w:val="en-US" w:eastAsia="zh-CN"/>
              </w:rPr>
              <w:t>7</w:t>
            </w:r>
          </w:p>
        </w:tc>
      </w:tr>
      <w:tr w14:paraId="093F1BB1">
        <w:tblPrEx>
          <w:tblCellMar>
            <w:top w:w="0" w:type="dxa"/>
            <w:left w:w="108" w:type="dxa"/>
            <w:bottom w:w="0" w:type="dxa"/>
            <w:right w:w="108" w:type="dxa"/>
          </w:tblCellMar>
        </w:tblPrEx>
        <w:trPr>
          <w:trHeight w:val="720" w:hRule="atLeast"/>
          <w:jc w:val="center"/>
        </w:trPr>
        <w:tc>
          <w:tcPr>
            <w:tcW w:w="2550" w:type="dxa"/>
            <w:tcBorders>
              <w:top w:val="single" w:color="888888" w:sz="6" w:space="0"/>
              <w:left w:val="single" w:color="888888" w:sz="6" w:space="0"/>
              <w:bottom w:val="single" w:color="888888" w:sz="6" w:space="0"/>
              <w:right w:val="single" w:color="888888" w:sz="6" w:space="0"/>
            </w:tcBorders>
            <w:vAlign w:val="top"/>
          </w:tcPr>
          <w:p w14:paraId="544DF390">
            <w:r>
              <w:rPr>
                <w:sz w:val="19"/>
              </w:rPr>
              <w:t>5</w:t>
            </w:r>
          </w:p>
        </w:tc>
        <w:tc>
          <w:tcPr>
            <w:tcW w:w="2550" w:type="dxa"/>
            <w:tcBorders>
              <w:top w:val="single" w:color="888888" w:sz="6" w:space="0"/>
              <w:left w:val="single" w:color="888888" w:sz="6" w:space="0"/>
              <w:bottom w:val="single" w:color="888888" w:sz="6" w:space="0"/>
              <w:right w:val="single" w:color="888888" w:sz="6" w:space="0"/>
            </w:tcBorders>
            <w:vAlign w:val="top"/>
          </w:tcPr>
          <w:p w14:paraId="18B52186">
            <w:r>
              <w:rPr>
                <w:sz w:val="19"/>
              </w:rPr>
              <w:t>System Rollout / 系統上線</w:t>
            </w:r>
          </w:p>
        </w:tc>
        <w:tc>
          <w:tcPr>
            <w:tcW w:w="2550" w:type="dxa"/>
            <w:tcBorders>
              <w:top w:val="single" w:color="888888" w:sz="6" w:space="0"/>
              <w:left w:val="single" w:color="888888" w:sz="6" w:space="0"/>
              <w:bottom w:val="single" w:color="888888" w:sz="6" w:space="0"/>
              <w:right w:val="single" w:color="888888" w:sz="6" w:space="0"/>
            </w:tcBorders>
            <w:vAlign w:val="top"/>
          </w:tcPr>
          <w:p w14:paraId="0B7A694B">
            <w:pPr>
              <w:rPr>
                <w:rFonts w:hint="eastAsia"/>
                <w:sz w:val="19"/>
                <w:lang w:eastAsia="zh-CN"/>
              </w:rPr>
            </w:pPr>
            <w:r>
              <w:rPr>
                <w:sz w:val="19"/>
              </w:rPr>
              <w:t xml:space="preserve">Month </w:t>
            </w:r>
            <w:r>
              <w:rPr>
                <w:rFonts w:hint="eastAsia"/>
                <w:sz w:val="19"/>
                <w:lang w:val="en-US" w:eastAsia="zh-CN"/>
              </w:rPr>
              <w:t>7</w:t>
            </w:r>
          </w:p>
        </w:tc>
        <w:tc>
          <w:tcPr>
            <w:tcW w:w="2550" w:type="dxa"/>
            <w:tcBorders>
              <w:top w:val="single" w:color="888888" w:sz="6" w:space="0"/>
              <w:left w:val="single" w:color="888888" w:sz="6" w:space="0"/>
              <w:bottom w:val="single" w:color="888888" w:sz="6" w:space="0"/>
              <w:right w:val="single" w:color="888888" w:sz="6" w:space="0"/>
            </w:tcBorders>
            <w:vAlign w:val="top"/>
          </w:tcPr>
          <w:p w14:paraId="12C049B4">
            <w:pPr>
              <w:rPr>
                <w:rFonts w:hint="eastAsia"/>
                <w:sz w:val="19"/>
                <w:lang w:eastAsia="zh-CN"/>
              </w:rPr>
            </w:pPr>
            <w:r>
              <w:rPr>
                <w:sz w:val="19"/>
              </w:rPr>
              <w:t xml:space="preserve">Month </w:t>
            </w:r>
            <w:r>
              <w:rPr>
                <w:rFonts w:hint="eastAsia"/>
                <w:sz w:val="19"/>
                <w:lang w:val="en-US" w:eastAsia="zh-CN"/>
              </w:rPr>
              <w:t>7</w:t>
            </w:r>
          </w:p>
        </w:tc>
      </w:tr>
      <w:tr w14:paraId="6DCE1FF2">
        <w:tblPrEx>
          <w:tblCellMar>
            <w:top w:w="0" w:type="dxa"/>
            <w:left w:w="108" w:type="dxa"/>
            <w:bottom w:w="0" w:type="dxa"/>
            <w:right w:w="108" w:type="dxa"/>
          </w:tblCellMar>
        </w:tblPrEx>
        <w:trPr>
          <w:trHeight w:val="720" w:hRule="atLeast"/>
          <w:jc w:val="center"/>
        </w:trPr>
        <w:tc>
          <w:tcPr>
            <w:tcW w:w="2550" w:type="dxa"/>
            <w:tcBorders>
              <w:top w:val="single" w:color="888888" w:sz="6" w:space="0"/>
              <w:left w:val="single" w:color="888888" w:sz="6" w:space="0"/>
              <w:bottom w:val="single" w:color="888888" w:sz="6" w:space="0"/>
              <w:right w:val="single" w:color="888888" w:sz="6" w:space="0"/>
            </w:tcBorders>
            <w:vAlign w:val="top"/>
          </w:tcPr>
          <w:p w14:paraId="662ECB24">
            <w:r>
              <w:rPr>
                <w:sz w:val="19"/>
              </w:rPr>
              <w:t>6</w:t>
            </w:r>
          </w:p>
        </w:tc>
        <w:tc>
          <w:tcPr>
            <w:tcW w:w="2550" w:type="dxa"/>
            <w:tcBorders>
              <w:top w:val="single" w:color="888888" w:sz="6" w:space="0"/>
              <w:left w:val="single" w:color="888888" w:sz="6" w:space="0"/>
              <w:bottom w:val="single" w:color="888888" w:sz="6" w:space="0"/>
              <w:right w:val="single" w:color="888888" w:sz="6" w:space="0"/>
            </w:tcBorders>
            <w:vAlign w:val="top"/>
          </w:tcPr>
          <w:p w14:paraId="23CBBF04">
            <w:r>
              <w:rPr>
                <w:sz w:val="19"/>
              </w:rPr>
              <w:t>System Nursing (3 months) / 系統維護期</w:t>
            </w:r>
          </w:p>
        </w:tc>
        <w:tc>
          <w:tcPr>
            <w:tcW w:w="2550" w:type="dxa"/>
            <w:tcBorders>
              <w:top w:val="single" w:color="888888" w:sz="6" w:space="0"/>
              <w:left w:val="single" w:color="888888" w:sz="6" w:space="0"/>
              <w:bottom w:val="single" w:color="888888" w:sz="6" w:space="0"/>
              <w:right w:val="single" w:color="888888" w:sz="6" w:space="0"/>
            </w:tcBorders>
            <w:vAlign w:val="top"/>
          </w:tcPr>
          <w:p w14:paraId="559469BE">
            <w:pPr>
              <w:rPr>
                <w:rFonts w:hint="eastAsia"/>
                <w:sz w:val="19"/>
                <w:lang w:val="en-US" w:eastAsia="zh-CN"/>
              </w:rPr>
            </w:pPr>
            <w:r>
              <w:rPr>
                <w:sz w:val="19"/>
              </w:rPr>
              <w:t xml:space="preserve">Month </w:t>
            </w:r>
            <w:r>
              <w:rPr>
                <w:rFonts w:hint="eastAsia"/>
                <w:sz w:val="19"/>
                <w:lang w:val="en-US" w:eastAsia="zh-CN"/>
              </w:rPr>
              <w:t>8</w:t>
            </w:r>
          </w:p>
        </w:tc>
        <w:tc>
          <w:tcPr>
            <w:tcW w:w="2550" w:type="dxa"/>
            <w:tcBorders>
              <w:top w:val="single" w:color="888888" w:sz="6" w:space="0"/>
              <w:left w:val="single" w:color="888888" w:sz="6" w:space="0"/>
              <w:bottom w:val="single" w:color="888888" w:sz="6" w:space="0"/>
              <w:right w:val="single" w:color="888888" w:sz="6" w:space="0"/>
            </w:tcBorders>
            <w:vAlign w:val="top"/>
          </w:tcPr>
          <w:p w14:paraId="43D7A520">
            <w:pPr>
              <w:rPr>
                <w:rFonts w:hint="default"/>
                <w:sz w:val="19"/>
                <w:lang w:val="en-US" w:eastAsia="zh-CN"/>
              </w:rPr>
            </w:pPr>
            <w:r>
              <w:rPr>
                <w:sz w:val="19"/>
              </w:rPr>
              <w:t xml:space="preserve">Month </w:t>
            </w:r>
            <w:r>
              <w:rPr>
                <w:rFonts w:hint="eastAsia"/>
                <w:sz w:val="19"/>
                <w:lang w:val="en-US" w:eastAsia="zh-CN"/>
              </w:rPr>
              <w:t>10</w:t>
            </w:r>
          </w:p>
        </w:tc>
      </w:tr>
    </w:tbl>
    <w:p w14:paraId="65E3AE8B"/>
    <w:sectPr>
      <w:pgSz w:w="12240" w:h="15840"/>
      <w:pgMar w:top="1134" w:right="1020" w:bottom="1134"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386A4E"/>
    <w:rsid w:val="014C4DA3"/>
    <w:rsid w:val="02DA57D5"/>
    <w:rsid w:val="036363D4"/>
    <w:rsid w:val="096A1B6D"/>
    <w:rsid w:val="0E5C2097"/>
    <w:rsid w:val="0F0B6A95"/>
    <w:rsid w:val="107225B6"/>
    <w:rsid w:val="11AF4B82"/>
    <w:rsid w:val="11D54941"/>
    <w:rsid w:val="133866A1"/>
    <w:rsid w:val="146A3560"/>
    <w:rsid w:val="16247A55"/>
    <w:rsid w:val="1B2129A5"/>
    <w:rsid w:val="1FA3666E"/>
    <w:rsid w:val="25DF1492"/>
    <w:rsid w:val="2BA44FCF"/>
    <w:rsid w:val="2F3426DA"/>
    <w:rsid w:val="30FA360C"/>
    <w:rsid w:val="31F17148"/>
    <w:rsid w:val="40E72B34"/>
    <w:rsid w:val="43801B36"/>
    <w:rsid w:val="448874CB"/>
    <w:rsid w:val="46B474E1"/>
    <w:rsid w:val="46F25071"/>
    <w:rsid w:val="495D1B40"/>
    <w:rsid w:val="54171D05"/>
    <w:rsid w:val="55B72899"/>
    <w:rsid w:val="55E3723E"/>
    <w:rsid w:val="562D2A01"/>
    <w:rsid w:val="575C52BB"/>
    <w:rsid w:val="5E895E64"/>
    <w:rsid w:val="5ECC3709"/>
    <w:rsid w:val="62297F79"/>
    <w:rsid w:val="6A2F6B02"/>
    <w:rsid w:val="6E9D5013"/>
    <w:rsid w:val="6EBE6636"/>
    <w:rsid w:val="727E14FC"/>
    <w:rsid w:val="72AE27E1"/>
    <w:rsid w:val="767174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eastAsia="Segoe Print" w:asciiTheme="minorHAnsi" w:hAnsiTheme="minorHAnsi"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unhideWhenUsed/>
    <w:uiPriority w:val="1"/>
  </w:style>
  <w:style w:type="table" w:default="1" w:styleId="32">
    <w:name w:val="Normal Table"/>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Segoe Print"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TML Code"/>
    <w:basedOn w:val="132"/>
    <w:semiHidden/>
    <w:unhideWhenUsed/>
    <w:qFormat/>
    <w:uiPriority w:val="99"/>
    <w:rPr>
      <w:rFonts w:ascii="Courier New" w:hAnsi="Courier New"/>
      <w:sz w:val="20"/>
    </w:rPr>
  </w:style>
  <w:style w:type="character" w:customStyle="1" w:styleId="136">
    <w:name w:val="Header Char"/>
    <w:basedOn w:val="132"/>
    <w:link w:val="25"/>
    <w:qFormat/>
    <w:uiPriority w:val="99"/>
  </w:style>
  <w:style w:type="character" w:customStyle="1" w:styleId="137">
    <w:name w:val="Footer Char"/>
    <w:basedOn w:val="132"/>
    <w:link w:val="24"/>
    <w:qFormat/>
    <w:uiPriority w:val="99"/>
  </w:style>
  <w:style w:type="paragraph" w:customStyle="1" w:styleId="138">
    <w:name w:val="No Spacing"/>
    <w:qFormat/>
    <w:uiPriority w:val="1"/>
    <w:pPr>
      <w:spacing w:after="0" w:line="240" w:lineRule="auto"/>
    </w:pPr>
    <w:rPr>
      <w:rFonts w:eastAsia="Segoe Print" w:asciiTheme="minorHAnsi" w:hAnsiTheme="minorHAnsi" w:cstheme="minorBidi"/>
      <w:sz w:val="22"/>
      <w:szCs w:val="22"/>
      <w:lang w:val="en-US" w:eastAsia="en-US" w:bidi="ar-SA"/>
    </w:rPr>
  </w:style>
  <w:style w:type="character" w:customStyle="1" w:styleId="139">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customStyle="1"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qFormat/>
    <w:uiPriority w:val="99"/>
    <w:rPr>
      <w:rFonts w:ascii="Courier New" w:hAnsi="Courier New"/>
      <w:sz w:val="20"/>
      <w:szCs w:val="20"/>
    </w:rPr>
  </w:style>
  <w:style w:type="paragraph" w:customStyle="1"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customStyle="1"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qFormat/>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24</Pages>
  <Words>5260</Words>
  <Characters>22230</Characters>
  <Lines>0</Lines>
  <Paragraphs>0</Paragraphs>
  <TotalTime>0</TotalTime>
  <ScaleCrop>false</ScaleCrop>
  <LinksUpToDate>false</LinksUpToDate>
  <CharactersWithSpaces>25631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黄博林</cp:lastModifiedBy>
  <dcterms:modified xsi:type="dcterms:W3CDTF">2026-05-27T06:02:24Z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7127341ACE593F0807EB136A209D0910_31</vt:lpwstr>
  </property>
  <property fmtid="{D5CDD505-2E9C-101B-9397-08002B2CF9AE}" pid="3" name="KSOProductBuildVer">
    <vt:lpwstr>2052-12.1.0.26375</vt:lpwstr>
  </property>
  <property fmtid="{D5CDD505-2E9C-101B-9397-08002B2CF9AE}" pid="4" name="KSOTemplateDocerSaveRecord">
    <vt:lpwstr>eyJoZGlkIjoiZjJiYzRjZDg4ODIxMmZkMzVjYzYxNzIzMDEwYjJjY2IiLCJ1c2VySWQiOiIyNTc1OTUwNTAifQ==</vt:lpwstr>
  </property>
</Properties>
</file>