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007CC35F">
      <w:pPr>
        <w:spacing w:after="40"/>
      </w:pPr>
      <w:r>
        <w:rPr>
          <w:b/>
          <w:color w:val="003D7A"/>
          <w:sz w:val="22"/>
        </w:rPr>
        <w:t>● CMHK · 中国移动香港</w:t>
      </w:r>
    </w:p>
    <w:p w14:paraId="0281A349">
      <w:pPr>
        <w:spacing w:after="80"/>
      </w:pPr>
      <w:r>
        <w:rPr>
          <w:b/>
          <w:color w:val="003D7A"/>
          <w:sz w:val="44"/>
        </w:rPr>
        <w:t>技术方案书</w:t>
      </w:r>
    </w:p>
    <w:p w14:paraId="68C2E83F">
      <w:pPr>
        <w:spacing w:after="40"/>
      </w:pPr>
      <w:r>
        <w:rPr>
          <w:b/>
          <w:color w:val="222222"/>
          <w:sz w:val="28"/>
        </w:rPr>
        <w:t>面向 ImmD APPLIES-2 的 AI 整体解决方案</w:t>
      </w:r>
    </w:p>
    <w:p w14:paraId="62439DB5">
      <w:pPr>
        <w:spacing w:after="280"/>
      </w:pPr>
      <w:r>
        <w:rPr>
          <w:b/>
          <w:color w:val="5A8A00"/>
          <w:sz w:val="24"/>
        </w:rPr>
        <w:t>分包商层：AI 应用层</w:t>
      </w:r>
    </w:p>
    <w:p w14:paraId="378C3809">
      <w:r>
        <w:rPr>
          <w:color w:val="555555"/>
          <w:sz w:val="20"/>
        </w:rPr>
        <w:t>提交对象（CMHK 内部使用）：</w:t>
      </w:r>
    </w:p>
    <w:p w14:paraId="265E4C8C">
      <w:pPr>
        <w:spacing w:after="160"/>
      </w:pPr>
      <w:r>
        <w:rPr>
          <w:color w:val="222222"/>
          <w:sz w:val="20"/>
        </w:rPr>
        <w:t>中国移动香港有限公司（CMHK）— 主集成商</w:t>
      </w:r>
    </w:p>
    <w:p w14:paraId="6E0D98FB">
      <w:r>
        <w:rPr>
          <w:color w:val="555555"/>
          <w:sz w:val="20"/>
        </w:rPr>
        <w:t>提交方：</w:t>
      </w:r>
    </w:p>
    <w:p w14:paraId="574039D0">
      <w:pPr>
        <w:spacing w:after="280"/>
      </w:pPr>
      <w:r>
        <w:rPr>
          <w:color w:val="222222"/>
          <w:sz w:val="20"/>
        </w:rPr>
        <w:t xml:space="preserve">AI 应用层分包商</w:t>
      </w:r>
    </w:p>
    <w:p w14:paraId="7DC83D4E">
      <w:r>
        <w:rPr>
          <w:b/>
          <w:color w:val="003D7A"/>
          <w:sz w:val="20"/>
        </w:rPr>
        <w:t>版本：0.7（v1.1 — 英中双语参考 · 对齐 Annex I · 英文填报版）</w:t>
      </w:r>
    </w:p>
    <w:p w14:paraId="61ED0165">
      <w:pPr>
        <w:spacing w:after="360"/>
      </w:pPr>
      <w:r>
        <w:rPr>
          <w:color w:val="A86A00"/>
          <w:sz w:val="20"/>
        </w:rPr>
        <w:t>日期：2026 年 5 月 · 密级：机密</w:t>
      </w:r>
    </w:p>
    <w:p w14:paraId="51F2FC2E">
      <w:r>
        <w:br w:type="page"/>
      </w:r>
    </w:p>
    <w:p w14:paraId="091F7098">
      <w:pPr>
        <w:spacing w:before="440" w:after="80"/>
      </w:pPr>
      <w:r>
        <w:rPr>
          <w:b/>
          <w:color w:val="003D7A"/>
          <w:sz w:val="32"/>
        </w:rPr>
        <w:t>填写说明 / 分包商说明</w:t>
      </w:r>
    </w:p>
    <w:p w14:paraId="47CB2022">
      <w:pPr>
        <w:spacing w:after="200"/>
      </w:pPr>
      <w:r>
        <w:rPr>
          <w:color w:val="222222"/>
          <w:sz w:val="21"/>
        </w:rPr>
        <w:t>本文件按 ImmD RFI Annex I Table 1 结构组织。贵司只需在各章节下的“Please fill in”栏、大格留白、表格单元格内填写；CMHK 已预填部分（章节标题、Annex I / RFI 原文引用框）请保持不动。</w:t>
      </w:r>
    </w:p>
    <w:p w14:paraId="201A5545">
      <w:pPr>
        <w:spacing w:before="160" w:after="60"/>
      </w:pPr>
      <w:r>
        <w:rPr>
          <w:b/>
          <w:color w:val="5A8A00"/>
          <w:sz w:val="22"/>
        </w:rPr>
        <w:t>1. 文件配色 / Color Code</w:t>
      </w:r>
    </w:p>
    <w:p w14:paraId="373C6AA2">
      <w:pPr>
        <w:spacing w:after="60"/>
        <w:ind w:left="360"/>
      </w:pPr>
      <w:r>
        <w:rPr>
          <w:color w:val="222222"/>
          <w:sz w:val="20"/>
        </w:rPr>
        <w:t>• 蓝色框 = RFI / Annex I 英文原文（official original text，不可改动，仅供 reference）</w:t>
      </w:r>
    </w:p>
    <w:p w14:paraId="6D5A1693">
      <w:pPr>
        <w:spacing w:after="60"/>
        <w:ind w:left="360"/>
      </w:pPr>
      <w:r>
        <w:rPr>
          <w:color w:val="222222"/>
          <w:sz w:val="20"/>
        </w:rPr>
        <w:t>• 绿色框 = 中文解释（CMHK 翻译供贵司快速理解，非客户官方文字）</w:t>
      </w:r>
    </w:p>
    <w:p w14:paraId="4B769058">
      <w:pPr>
        <w:spacing w:after="60"/>
        <w:ind w:left="360"/>
      </w:pPr>
      <w:r>
        <w:rPr>
          <w:color w:val="222222"/>
          <w:sz w:val="20"/>
        </w:rPr>
        <w:t>• 白色框 = 贵司填写区（Please fill in）— 请以英文填写</w:t>
      </w:r>
    </w:p>
    <w:p w14:paraId="036FB0D8">
      <w:pPr>
        <w:spacing w:before="160" w:after="60"/>
      </w:pPr>
      <w:r>
        <w:rPr>
          <w:b/>
          <w:color w:val="5A8A00"/>
          <w:sz w:val="22"/>
        </w:rPr>
        <w:t>2. 语言要求 / Language</w:t>
      </w:r>
    </w:p>
    <w:p w14:paraId="20D989FF">
      <w:pPr>
        <w:spacing w:after="60"/>
        <w:ind w:left="360"/>
      </w:pPr>
      <w:r>
        <w:rPr>
          <w:color w:val="222222"/>
          <w:sz w:val="20"/>
        </w:rPr>
        <w:t>• 章节标题保留中文是为了让贵司技术同事更快理解架构（CMHK 内部对接用）</w:t>
      </w:r>
    </w:p>
    <w:p w14:paraId="5EE58DF6">
      <w:pPr>
        <w:spacing w:after="60"/>
        <w:ind w:left="360"/>
      </w:pPr>
      <w:r>
        <w:rPr>
          <w:color w:val="222222"/>
          <w:sz w:val="20"/>
        </w:rPr>
        <w:t>• **贵司填写内容请一律使用英文** — accuracy 表、switch-over 表、sizing 表、留白格全部以英文填写</w:t>
      </w:r>
    </w:p>
    <w:p w14:paraId="0FDFE87B">
      <w:pPr>
        <w:spacing w:after="60"/>
        <w:ind w:left="360"/>
      </w:pPr>
      <w:r>
        <w:rPr>
          <w:color w:val="222222"/>
          <w:sz w:val="20"/>
        </w:rPr>
        <w:t>• 原因：CMHK 最终提交 ImmD 的 TP 为英文版，贵司英文回稿可直接整合，无需翻译</w:t>
      </w:r>
    </w:p>
    <w:p w14:paraId="15528820">
      <w:pPr>
        <w:spacing w:before="160" w:after="60"/>
      </w:pPr>
      <w:r>
        <w:rPr>
          <w:b/>
          <w:color w:val="5A8A00"/>
          <w:sz w:val="22"/>
        </w:rPr>
        <w:t>3. 工作范围 / Scope</w:t>
      </w:r>
    </w:p>
    <w:p w14:paraId="41E46CA7">
      <w:r>
        <w:rPr>
          <w:color w:val="222222"/>
          <w:sz w:val="20"/>
        </w:rPr>
        <w:t>贵司负责 AI 应用层 — 三大功能（文件分类 / 数据核验 / Minutes 草拟）+ 整合工作流 + AI 准确率与优化。本层为 Option B 模式下的核心交付方，每个 case 输出 Cross-Check Report PDF + Minutes Draft PDF，并推送回 APPLIES-2。</w:t>
      </w:r>
    </w:p>
    <w:p w14:paraId="0EF8C558">
      <w:pPr>
        <w:spacing w:before="160" w:after="60"/>
      </w:pPr>
      <w:r>
        <w:rPr>
          <w:b/>
          <w:color w:val="5A8A00"/>
          <w:sz w:val="22"/>
        </w:rPr>
        <w:t>4. 填写对应 / Mapping to Annex I</w:t>
      </w:r>
    </w:p>
    <w:p w14:paraId="559921E3">
      <w:pPr>
        <w:spacing w:after="60"/>
        <w:ind w:left="360"/>
      </w:pPr>
      <w:r>
        <w:rPr>
          <w:color w:val="222222"/>
          <w:sz w:val="20"/>
        </w:rPr>
        <w:t>• 本文件每一章节对应 Annex I Table 1 的一个区块；贵司填写内容将由 CMHK 汇整后填入 Annex I 对应段落</w:t>
      </w:r>
    </w:p>
    <w:p w14:paraId="39976F6D">
      <w:pPr>
        <w:spacing w:after="60"/>
        <w:ind w:left="360"/>
      </w:pPr>
      <w:r>
        <w:rPr>
          <w:color w:val="222222"/>
          <w:sz w:val="20"/>
        </w:rPr>
        <w:t>• Annex I Table 3（硬件 / 软件清单 + 报价）由 CMHK 另行下发 RFQ Excel，请一并填写</w:t>
      </w:r>
    </w:p>
    <w:p w14:paraId="630AE4B9">
      <w:pPr>
        <w:spacing w:after="60"/>
        <w:ind w:left="360"/>
      </w:pPr>
      <w:r>
        <w:rPr>
          <w:color w:val="222222"/>
          <w:sz w:val="20"/>
        </w:rPr>
        <w:t>• Annex I Table 9（Project Schedule）已附于本文件末尾，请填写贵司负责层的起止月份</w:t>
      </w:r>
    </w:p>
    <w:p w14:paraId="51B2F7BA">
      <w:pPr>
        <w:spacing w:before="160" w:after="60"/>
      </w:pPr>
      <w:r>
        <w:rPr>
          <w:b/>
          <w:color w:val="5A8A00"/>
          <w:sz w:val="22"/>
        </w:rPr>
        <w:t>5. 提交时间 / Submission</w:t>
      </w:r>
    </w:p>
    <w:p w14:paraId="22EDEA23">
      <w:r>
        <w:rPr>
          <w:color w:val="222222"/>
          <w:sz w:val="20"/>
        </w:rPr>
        <w:t>截止：2026-05-28（RFI 5/29 截止前一天）。回稿请以本 docx 填写版回传 CMHK 对接窗口。</w:t>
      </w:r>
    </w:p>
    <w:p w14:paraId="75F4E1A8">
      <w:pPr>
        <w:spacing w:before="160" w:after="60"/>
      </w:pPr>
      <w:r>
        <w:rPr>
          <w:b/>
          <w:color w:val="5A8A00"/>
          <w:sz w:val="22"/>
        </w:rPr>
        <w:t>6. 设计约束（重要）/ Design Constraints</w:t>
      </w:r>
    </w:p>
    <w:p w14:paraId="3A2FE9AF">
      <w:pPr>
        <w:spacing w:after="60"/>
        <w:ind w:left="360"/>
      </w:pPr>
      <w:r>
        <w:rPr>
          <w:color w:val="222222"/>
          <w:sz w:val="20"/>
        </w:rPr>
        <w:t>• 客户定位：ImmD TSD 系统维保组 — APPLIES-2 主系统的 AI 后台增强（非新建系统）</w:t>
      </w:r>
    </w:p>
    <w:p w14:paraId="6ABAE32F">
      <w:pPr>
        <w:spacing w:after="60"/>
        <w:ind w:left="360"/>
      </w:pPr>
      <w:r>
        <w:rPr>
          <w:color w:val="222222"/>
          <w:sz w:val="20"/>
        </w:rPr>
        <w:t>• Option B 交付模式：AI 不接管 case officer UI；每个 case 推送双 PDF（Cross-Check Report + Minutes Draft）回 APPLIES-2</w:t>
      </w:r>
    </w:p>
    <w:p w14:paraId="5F8F4E04">
      <w:pPr>
        <w:spacing w:after="60"/>
        <w:ind w:left="360"/>
      </w:pPr>
      <w:r>
        <w:rPr>
          <w:color w:val="222222"/>
          <w:sz w:val="20"/>
        </w:rPr>
        <w:t>• 标准 case 场景：新聘外籍家庭佣工入境签证（FDH Entry Visa）+ 12 份官方附件</w:t>
      </w:r>
    </w:p>
    <w:p w14:paraId="5E8793C9">
      <w:pPr>
        <w:spacing w:after="60"/>
        <w:ind w:left="360"/>
      </w:pPr>
      <w:r>
        <w:rPr>
          <w:color w:val="222222"/>
          <w:sz w:val="20"/>
        </w:rPr>
        <w:t>• 业务量：年 50 万件 / 小时峰值 500 件 / 每件 12 附件 × 3 页 × 5 MB / 7% 年增长 × 5 年</w:t>
      </w:r>
    </w:p>
    <w:p w14:paraId="3E101FBB">
      <w:pPr>
        <w:spacing w:after="60"/>
        <w:ind w:left="360"/>
      </w:pPr>
      <w:r>
        <w:rPr>
          <w:color w:val="222222"/>
          <w:sz w:val="20"/>
        </w:rPr>
        <w:t>• 信创 / ITAI 兼容 + 既有中央软件兼容（Trellix / Leagsoft / Rizhiyi / IBM Netcool）</w:t>
      </w:r>
    </w:p>
    <w:p w14:paraId="2C399563">
      <w:r>
        <w:br w:type="page"/>
      </w:r>
    </w:p>
    <w:p w14:paraId="4C4B8A3E">
      <w:pPr>
        <w:spacing w:before="440" w:after="80"/>
      </w:pPr>
      <w:r>
        <w:rPr>
          <w:b/>
          <w:color w:val="003D7A"/>
          <w:sz w:val="32"/>
        </w:rPr>
        <w:t>1. 方案总览（Brief Solution Description）</w:t>
      </w:r>
    </w:p>
    <w:p w14:paraId="2864FF77">
      <w:pPr>
        <w:spacing w:after="80"/>
      </w:pPr>
      <w:r>
        <w:rPr>
          <w:i/>
          <w:color w:val="555555"/>
          <w:sz w:val="19"/>
        </w:rPr>
        <w:t>[ RFI 4.2 整体 · Annex I Table 1 — 简要说明 ]</w:t>
      </w:r>
    </w:p>
    <w:tbl>
      <w:tblPr>
        <w:tblStyle w:val="32"/>
        <w:tblW w:w="0" w:type="auto"/>
        <w:jc w:val="center"/>
        <w:tblLayout w:type="fixed"/>
        <w:tblCellMar>
          <w:top w:w="0" w:type="dxa"/>
          <w:left w:w="108" w:type="dxa"/>
          <w:bottom w:w="0" w:type="dxa"/>
          <w:right w:w="108" w:type="dxa"/>
        </w:tblCellMar>
      </w:tblPr>
      <w:tblGrid>
        <w:gridCol w:w="10200"/>
      </w:tblGrid>
      <w:tr w14:paraId="2B44B6EC">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604EA4DC">
            <w:pPr>
              <w:spacing w:after="80"/>
            </w:pPr>
            <w:r>
              <w:rPr>
                <w:b/>
                <w:color w:val="003D7A"/>
                <w:sz w:val="18"/>
              </w:rPr>
              <w:t>Annex I Table 1 — 原文（英文）：</w:t>
            </w:r>
          </w:p>
          <w:p w14:paraId="632FB982">
            <w:pPr>
              <w:spacing w:after="40"/>
            </w:pPr>
            <w:r>
              <w:rPr>
                <w:i/>
                <w:color w:val="333333"/>
                <w:sz w:val="19"/>
              </w:rPr>
              <w:t>拟议方案简要说明，并提供整个方案的总体高阶设计 / 架构图，展示下列方案基础设施和主要系统组件。</w:t>
            </w:r>
          </w:p>
        </w:tc>
      </w:tr>
      <w:tr w14:paraId="206FBFD8">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035D975F">
            <w:pPr>
              <w:spacing w:after="80"/>
            </w:pPr>
            <w:r>
              <w:rPr>
                <w:b/>
                <w:color w:val="3A5A00"/>
                <w:sz w:val="18"/>
              </w:rPr>
              <w:t>中文解释（CMHK 参考）：</w:t>
            </w:r>
          </w:p>
          <w:p w14:paraId="7C58D607">
            <w:pPr>
              <w:spacing w:after="40"/>
            </w:pPr>
            <w:r>
              <w:rPr>
                <w:i/>
                <w:color w:val="333333"/>
                <w:sz w:val="19"/>
              </w:rPr>
              <w:t>请提供方案总体简要描述，以及整套方案的高阶设计 / 架构图（显示方案基础设施与主要系统组件）。</w:t>
            </w:r>
          </w:p>
        </w:tc>
      </w:tr>
    </w:tbl>
    <w:p w14:paraId="78266B2A"/>
    <w:p w14:paraId="0EACEEE6">
      <w:pPr>
        <w:spacing w:after="60"/>
        <w:ind w:left="360"/>
      </w:pPr>
      <w:r>
        <w:rPr>
          <w:color w:val="222222"/>
          <w:sz w:val="20"/>
        </w:rPr>
        <w:t>• 提供 AI 应用层的总体高阶方案说明</w:t>
      </w:r>
    </w:p>
    <w:p w14:paraId="667BEA8D">
      <w:pPr>
        <w:spacing w:after="60"/>
        <w:ind w:left="360"/>
      </w:pPr>
      <w:r>
        <w:rPr>
          <w:color w:val="222222"/>
          <w:sz w:val="20"/>
        </w:rPr>
        <w:t>• 包含架构图，展示主要组件以及与 APPLIES-2、AI 推理层的接口</w:t>
      </w:r>
    </w:p>
    <w:tbl>
      <w:tblPr>
        <w:tblStyle w:val="32"/>
        <w:tblW w:w="0" w:type="auto"/>
        <w:jc w:val="center"/>
        <w:tblLayout w:type="fixed"/>
        <w:tblCellMar>
          <w:top w:w="0" w:type="dxa"/>
          <w:left w:w="108" w:type="dxa"/>
          <w:bottom w:w="0" w:type="dxa"/>
          <w:right w:w="108" w:type="dxa"/>
        </w:tblCellMar>
      </w:tblPr>
      <w:tblGrid>
        <w:gridCol w:w="10200"/>
      </w:tblGrid>
      <w:tr w14:paraId="32079D35">
        <w:tblPrEx>
          <w:tblCellMar>
            <w:top w:w="0" w:type="dxa"/>
            <w:left w:w="108" w:type="dxa"/>
            <w:bottom w:w="0" w:type="dxa"/>
            <w:right w:w="108" w:type="dxa"/>
          </w:tblCellMar>
        </w:tblPrEx>
        <w:trPr>
          <w:trHeight w:val="360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5169F5F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本 AI 应用层方案定位为 ImmD APPLIES-2 系统的 AI 后台增强模块，而非另建独立新平台。方案紧密集成三项核心 AI 功能：自动文件分类、智能数据核验和智能 Minutes 草拟。</w:t>
            </w:r>
            <w:r>
              <w:rPr>
                <w:rStyle w:val="133"/>
                <w:rFonts w:hint="default" w:eastAsia="宋体" w:cs="宋体" w:asciiTheme="minorAscii" w:hAnsiTheme="minorAscii"/>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3F677F5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方案采用典型的 RAG + LLM + VLM + OCR 端到端流水线架构。方案通过标准 API/MQ 接口从 ImmD APPLIES-2 接收结构化申请数据和非结构化文件（PDF、JPEG、PNG、TIF），执行全流程 AI 分析与业务逻辑校验，最终将标准化双 PDF 输出（Cross-Check Report + Minutes Draft）以及结构化 JSON 元数据回传至 APPLIES-2 工作流系统。</w:t>
            </w:r>
            <w:r>
              <w:rPr>
                <w:rStyle w:val="133"/>
                <w:rFonts w:hint="default" w:eastAsia="宋体" w:cs="宋体" w:asciiTheme="minorAscii" w:hAnsiTheme="minorAscii"/>
                <w:kern w:val="0"/>
                <w:sz w:val="21"/>
                <w:szCs w:val="21"/>
                <w:lang w:val="en-US" w:eastAsia="zh-CN" w:bidi="ar"/>
              </w:rPr>
              <w:t/>
            </w:r>
            <w:r>
              <w:rPr>
                <w:rFonts w:hint="default" w:eastAsia="宋体" w:cs="宋体" w:asciiTheme="minorAscii" w:hAnsiTheme="minorAscii"/>
                <w:kern w:val="0"/>
                <w:sz w:val="21"/>
                <w:szCs w:val="21"/>
                <w:lang w:val="en-US" w:eastAsia="zh-CN" w:bidi="ar"/>
              </w:rPr>
              <w:t/>
            </w:r>
            <w:r>
              <w:rPr>
                <w:rStyle w:val="133"/>
                <w:rFonts w:hint="default" w:eastAsia="宋体" w:cs="宋体" w:asciiTheme="minorAscii" w:hAnsiTheme="minorAscii"/>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3911774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1"/>
                <w:szCs w:val="21"/>
                <w:lang w:val="en-US" w:eastAsia="zh-CN" w:bidi="ar"/>
              </w:rPr>
            </w:pPr>
            <w:r>
              <w:rPr>
                <w:rFonts w:hint="default" w:eastAsia="宋体" w:cs="宋体" w:asciiTheme="minorAscii" w:hAnsiTheme="minorAscii"/>
                <w:kern w:val="0"/>
                <w:sz w:val="21"/>
                <w:szCs w:val="21"/>
                <w:lang w:val="en-US" w:eastAsia="zh-CN" w:bidi="ar"/>
              </w:rPr>
              <w:t>所有 AI 推理和模型调优工作负载均部署于国产信创服务器，采用算存分离、推理节点双活集群部署，并支持本地故障切换、持续模型优化、RLHF 反馈迭代和完整审计日志留存，以满足 ImmD 对安全性、准确率和 99.5% 系统可用性的要求。</w:t>
            </w:r>
          </w:p>
          <w:p w14:paraId="552438F3">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6330315" cy="4809490"/>
                  <wp:effectExtent l="0" t="0" r="9525" b="6350"/>
                  <wp:docPr id="2" name="图片 3"/>
                  <wp:cNvGraphicFramePr>
                    <a:graphicFrameLocks noChangeAspect="1"/>
                  </wp:cNvGraphicFramePr>
                  <a:graphic>
                    <a:graphicData uri="http://schemas.openxmlformats.org/drawingml/2006/picture">
                      <pic:pic>
                        <pic:nvPicPr>
                          <pic:cNvPr id="2" name="图片 3"/>
                          <pic:cNvPicPr>
                            <a:picLocks noChangeAspect="1"/>
                          </pic:cNvPicPr>
                        </pic:nvPicPr>
                        <pic:blipFill>
                          <a:blip r:embed="rId6"/>
                          <a:stretch>
                            <a:fillRect/>
                          </a:stretch>
                        </pic:blipFill>
                        <pic:spPr>
                          <a:xfrm>
                            <a:off x="0" y="0"/>
                            <a:ext cx="6330315" cy="4809490"/>
                          </a:xfrm>
                          <a:prstGeom prst="rect">
                            <a:avLst/>
                          </a:prstGeom>
                          <a:noFill/>
                          <a:ln>
                            <a:noFill/>
                          </a:ln>
                        </pic:spPr>
                      </pic:pic>
                    </a:graphicData>
                  </a:graphic>
                </wp:inline>
              </w:drawing>
            </w:r>
          </w:p>
          <w:p w14:paraId="253183A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如架构图所示，整体方案采用五层解耦的分层架构，自上而下包括外部业务系统层、接口网关接入层、AI 应用业务流程层、AI 模型推理引擎层以及信创计算与存储资源层。该架构遵循算存分离、业务与引擎分离、外部与内部网络隔离的设计原则，充分满足 ImmD 对高可用、安全合规、信创兼容和 5 年业务扩展的要求。</w:t>
            </w:r>
          </w:p>
          <w:p w14:paraId="5C50C3C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b/>
                <w:bCs/>
                <w:kern w:val="0"/>
                <w:sz w:val="21"/>
                <w:szCs w:val="21"/>
                <w:lang w:val="en-US" w:eastAsia="zh-CN" w:bidi="ar"/>
              </w:rPr>
            </w:pPr>
            <w:r>
              <w:rPr>
                <w:rFonts w:hint="default" w:eastAsia="宋体" w:cs="宋体" w:asciiTheme="minorAscii" w:hAnsiTheme="minorAscii"/>
                <w:b/>
                <w:bCs/>
                <w:kern w:val="0"/>
                <w:sz w:val="21"/>
                <w:szCs w:val="21"/>
                <w:lang w:val="en-US" w:eastAsia="zh-CN" w:bidi="ar"/>
              </w:rPr>
              <w:t>1. 外部业务系统层</w:t>
            </w:r>
          </w:p>
          <w:p w14:paraId="72308C9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（1）定位：作为整个 AI 方案的数据来源和业务入口，覆盖 ImmD APPLIES-2 及相关业务系统。</w:t>
            </w:r>
            <w:r>
              <w:rPr>
                <w:rFonts w:hint="default" w:eastAsia="宋体" w:cs="宋体" w:asciiTheme="minorAscii" w:hAnsiTheme="minorAscii"/>
                <w:b/>
                <w:bCs/>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226660A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（2）核心内容：签证申请 case 的结构化数据、PDF/图像附件文件、原有 case 工作流系统、结果展示门户及其他 ImmD 内部系统。</w:t>
            </w:r>
            <w:r>
              <w:rPr>
                <w:rFonts w:hint="default" w:eastAsia="宋体" w:cs="宋体" w:asciiTheme="minorAscii" w:hAnsiTheme="minorAscii"/>
                <w:b/>
                <w:bCs/>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56414EB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（3）职责：向 AI 应用层推送 case 数据和附件文件，接收 AI 生成的 cross-check report 和 minutes draft，并将结果回填至原有 ImmD 审批工作流。</w:t>
            </w:r>
            <w:r>
              <w:rPr>
                <w:rFonts w:hint="default" w:eastAsia="宋体" w:cs="宋体" w:asciiTheme="minorAscii" w:hAnsiTheme="minorAscii"/>
                <w:b/>
                <w:bCs/>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5E492AA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b/>
                <w:bCs/>
                <w:kern w:val="0"/>
                <w:sz w:val="21"/>
                <w:szCs w:val="21"/>
                <w:lang w:val="en-US" w:eastAsia="zh-CN" w:bidi="ar"/>
              </w:rPr>
            </w:pPr>
            <w:r>
              <w:rPr>
                <w:rFonts w:hint="default" w:eastAsia="宋体" w:cs="宋体" w:asciiTheme="minorAscii" w:hAnsiTheme="minorAscii"/>
                <w:b/>
                <w:bCs/>
                <w:kern w:val="0"/>
                <w:sz w:val="21"/>
                <w:szCs w:val="21"/>
                <w:lang w:val="en-US" w:eastAsia="zh-CN" w:bidi="ar"/>
              </w:rPr>
              <w:t>2. 接口网关接入层</w:t>
            </w:r>
          </w:p>
          <w:p w14:paraId="6D16EE2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（1）定位：面向内外部系统的安全传输与统一对接枢纽。</w:t>
            </w:r>
            <w:r>
              <w:rPr>
                <w:rFonts w:hint="default" w:eastAsia="宋体" w:cs="宋体" w:asciiTheme="minorAscii" w:hAnsiTheme="minorAscii"/>
                <w:b/>
                <w:bCs/>
                <w:kern w:val="0"/>
                <w:sz w:val="21"/>
                <w:szCs w:val="21"/>
                <w:lang w:val="en-US" w:eastAsia="zh-CN" w:bidi="ar"/>
              </w:rPr>
              <w:t xml:space="preserve"/>
            </w:r>
            <w:r>
              <w:rPr>
                <w:rFonts w:hint="default" w:eastAsia="宋体" w:cs="宋体" w:asciiTheme="minorAscii" w:hAnsiTheme="minorAscii"/>
                <w:kern w:val="0"/>
                <w:sz w:val="21"/>
                <w:szCs w:val="21"/>
                <w:lang w:val="en-US" w:eastAsia="zh-CN" w:bidi="ar"/>
              </w:rPr>
              <w:t/>
            </w:r>
          </w:p>
          <w:p w14:paraId="0CFA650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（2）核心内容：API 网关、消息队列传输服务、跨网安全访问控制，以及认证与权限过滤模块。</w:t>
            </w:r>
            <w:r>
              <w:rPr>
                <w:rFonts w:hint="default" w:eastAsia="宋体" w:cs="宋体" w:asciiTheme="minorAscii" w:hAnsiTheme="minorAscii"/>
                <w:b/>
                <w:bCs/>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0A6BEA1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（3）职责：实现与 APPLIES-2 及其他 ImmD 内部系统的统一互联。支持通过 API、MQ 和 SFTP 进行多协议对接，以实现安全隔离、流量管理和日志透明传输。该层有效隔离外部业务系统与核心 AI 服务，并确保跨网数据交换安全、可控。</w:t>
            </w:r>
            <w:r>
              <w:rPr>
                <w:rFonts w:hint="default" w:eastAsia="宋体" w:cs="宋体" w:asciiTheme="minorAscii" w:hAnsiTheme="minorAscii"/>
                <w:b/>
                <w:bCs/>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62D2EE1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b/>
                <w:bCs/>
                <w:kern w:val="0"/>
                <w:sz w:val="21"/>
                <w:szCs w:val="21"/>
                <w:lang w:val="en-US" w:eastAsia="zh-CN" w:bidi="ar"/>
              </w:rPr>
            </w:pPr>
            <w:r>
              <w:rPr>
                <w:rFonts w:hint="default" w:eastAsia="宋体" w:cs="宋体" w:asciiTheme="minorAscii" w:hAnsiTheme="minorAscii"/>
                <w:b/>
                <w:bCs/>
                <w:kern w:val="0"/>
                <w:sz w:val="21"/>
                <w:szCs w:val="21"/>
                <w:lang w:val="en-US" w:eastAsia="zh-CN" w:bidi="ar"/>
              </w:rPr>
              <w:t>3. AI 应用核心业务流程层</w:t>
            </w:r>
          </w:p>
          <w:p w14:paraId="34A123A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（1）定位：交付三项关键功能的核心业务能力层：自动文件分类、智能数据核验和智能 Minutes 草拟。</w:t>
            </w:r>
            <w:r>
              <w:rPr>
                <w:rFonts w:hint="default" w:eastAsia="宋体" w:cs="宋体" w:asciiTheme="minorAscii" w:hAnsiTheme="minorAscii"/>
                <w:b/>
                <w:bCs/>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156F337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（2）核心内容：自动文件分类模块、智能数据核验模块、智能 Minutes 草拟模块，以及统一工作流调度引擎。</w:t>
            </w:r>
            <w:r>
              <w:rPr>
                <w:rFonts w:hint="default" w:eastAsia="宋体" w:cs="宋体" w:asciiTheme="minorAscii" w:hAnsiTheme="minorAscii"/>
                <w:b/>
                <w:bCs/>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558EAF7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（3）职责：编排并串联三项核心 AI 业务模块，实现任务调度、异常重试和全流程编排。该层输出标准 PDF 报告和结构化元数据，是整体业务逻辑执行的核心枢纽。</w:t>
            </w:r>
            <w:r>
              <w:rPr>
                <w:rFonts w:hint="default" w:eastAsia="宋体" w:cs="宋体" w:asciiTheme="minorAscii" w:hAnsiTheme="minorAscii"/>
                <w:b/>
                <w:bCs/>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5FE03AF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b/>
                <w:bCs/>
                <w:kern w:val="0"/>
                <w:sz w:val="21"/>
                <w:szCs w:val="21"/>
                <w:lang w:val="en-US" w:eastAsia="zh-CN" w:bidi="ar"/>
              </w:rPr>
            </w:pPr>
            <w:r>
              <w:rPr>
                <w:rFonts w:hint="default" w:eastAsia="宋体" w:cs="宋体" w:asciiTheme="minorAscii" w:hAnsiTheme="minorAscii"/>
                <w:b/>
                <w:bCs/>
                <w:kern w:val="0"/>
                <w:sz w:val="21"/>
                <w:szCs w:val="21"/>
                <w:lang w:val="en-US" w:eastAsia="zh-CN" w:bidi="ar"/>
              </w:rPr>
              <w:t>4. AI 模型推理引擎层</w:t>
            </w:r>
          </w:p>
          <w:p w14:paraId="1B52ECE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（1）定位：为上层业务场景提供完整算法支撑的底层 AI 能力基础。</w:t>
            </w:r>
            <w:r>
              <w:rPr>
                <w:rFonts w:hint="default" w:eastAsia="宋体" w:cs="宋体" w:asciiTheme="minorAscii" w:hAnsiTheme="minorAscii"/>
                <w:b/>
                <w:bCs/>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5A9F784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（2）核心内容：OCR 版面分析引擎、多模态 VLM 视觉模型、大语言模型（LLM）、RAG 知识库引擎、业务规则引擎和 PDF 报告生成引擎。</w:t>
            </w:r>
            <w:r>
              <w:rPr>
                <w:rFonts w:hint="default" w:eastAsia="宋体" w:cs="宋体" w:asciiTheme="minorAscii" w:hAnsiTheme="minorAscii"/>
                <w:b/>
                <w:bCs/>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0519C75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（3）职责：提供文本识别、版面解析、图文理解、语义比对、政策检索、规则校验和智能文档生成等基础 AI 原子能力，以支撑上层业务流程高效、稳定运行。</w:t>
            </w:r>
            <w:r>
              <w:rPr>
                <w:rFonts w:hint="default" w:eastAsia="宋体" w:cs="宋体" w:asciiTheme="minorAscii" w:hAnsiTheme="minorAscii"/>
                <w:b/>
                <w:bCs/>
                <w:kern w:val="0"/>
                <w:sz w:val="21"/>
                <w:szCs w:val="21"/>
                <w:lang w:val="en-US" w:eastAsia="zh-CN" w:bidi="ar"/>
              </w:rPr>
              <w:t xml:space="preserve"/>
            </w:r>
            <w:r>
              <w:rPr>
                <w:rFonts w:hint="default" w:eastAsia="宋体" w:cs="宋体" w:asciiTheme="minorAscii" w:hAnsiTheme="minorAscii"/>
                <w:kern w:val="0"/>
                <w:sz w:val="21"/>
                <w:szCs w:val="21"/>
                <w:lang w:val="en-US" w:eastAsia="zh-CN" w:bidi="ar"/>
              </w:rPr>
              <w:t/>
            </w:r>
          </w:p>
          <w:p w14:paraId="1864129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b/>
                <w:bCs/>
                <w:kern w:val="0"/>
                <w:sz w:val="21"/>
                <w:szCs w:val="21"/>
                <w:lang w:val="en-US" w:eastAsia="zh-CN" w:bidi="ar"/>
              </w:rPr>
            </w:pPr>
            <w:r>
              <w:rPr>
                <w:rFonts w:hint="default" w:eastAsia="宋体" w:cs="宋体" w:asciiTheme="minorAscii" w:hAnsiTheme="minorAscii"/>
                <w:b/>
                <w:bCs/>
                <w:kern w:val="0"/>
                <w:sz w:val="21"/>
                <w:szCs w:val="21"/>
                <w:lang w:val="en-US" w:eastAsia="zh-CN" w:bidi="ar"/>
              </w:rPr>
              <w:t>5. 信创计算与存储资源层</w:t>
            </w:r>
          </w:p>
          <w:p w14:paraId="07940CB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（1）计算集群：基于国产信创鲲鹏和昇腾服务器构建，采用 Active-Active 高可用部署。该集群承担全量 AI 推理、模型微调和模型训练任务，并支持池化资源弹性调度，以适应业务量波动。</w:t>
            </w:r>
            <w:r>
              <w:rPr>
                <w:rFonts w:hint="default" w:eastAsia="宋体" w:cs="宋体" w:asciiTheme="minorAscii" w:hAnsiTheme="minorAscii"/>
                <w:b/>
                <w:bCs/>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1D7EA84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（2）分层存储：</w:t>
            </w:r>
            <w:r>
              <w:rPr>
                <w:rFonts w:hint="default" w:eastAsia="宋体" w:cs="宋体" w:asciiTheme="minorAscii" w:hAnsiTheme="minorAscii"/>
                <w:b/>
                <w:bCs/>
                <w:kern w:val="0"/>
                <w:sz w:val="21"/>
                <w:szCs w:val="21"/>
                <w:lang w:val="en-US" w:eastAsia="zh-CN" w:bidi="ar"/>
              </w:rPr>
              <w:t/>
            </w:r>
            <w:r>
              <w:rPr>
                <w:rFonts w:hint="default" w:eastAsia="宋体" w:cs="宋体" w:asciiTheme="minorAscii" w:hAnsiTheme="minorAscii"/>
                <w:kern w:val="0"/>
                <w:sz w:val="21"/>
                <w:szCs w:val="21"/>
                <w:lang w:val="en-US" w:eastAsia="zh-CN" w:bidi="ar"/>
              </w:rPr>
              <w:t/>
            </w:r>
          </w:p>
          <w:p w14:paraId="2DE84EB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color w:val="222222"/>
                <w:sz w:val="21"/>
                <w:szCs w:val="21"/>
              </w:rPr>
              <w:t>• 统一存储：存储数据库数据、模型权重、系统配置文件和完整审计日志。</w:t>
            </w:r>
            <w:r>
              <w:rPr>
                <w:rFonts w:hint="eastAsia" w:eastAsia="宋体"/>
                <w:color w:val="222222"/>
                <w:sz w:val="21"/>
                <w:szCs w:val="21"/>
                <w:lang w:val="en-US" w:eastAsia="zh-CN"/>
              </w:rPr>
              <w:t xml:space="preserve"/>
            </w:r>
            <w:r>
              <w:rPr>
                <w:rFonts w:hint="default" w:eastAsia="宋体" w:cs="宋体" w:asciiTheme="minorAscii" w:hAnsiTheme="minorAscii"/>
                <w:kern w:val="0"/>
                <w:sz w:val="21"/>
                <w:szCs w:val="21"/>
                <w:lang w:val="en-US" w:eastAsia="zh-CN" w:bidi="ar"/>
              </w:rPr>
              <w:t/>
            </w:r>
          </w:p>
          <w:p w14:paraId="48070E3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color w:val="222222"/>
                <w:sz w:val="21"/>
                <w:szCs w:val="21"/>
              </w:rPr>
              <w:t>• 分布式对象存储：归档大量非结构化数据，包括 PDF 文件、扫描图像和各类申请附件。</w:t>
            </w:r>
            <w:r>
              <w:rPr>
                <w:rFonts w:hint="default" w:eastAsia="宋体" w:cs="宋体" w:asciiTheme="minorAscii" w:hAnsiTheme="minorAscii"/>
                <w:kern w:val="0"/>
                <w:sz w:val="21"/>
                <w:szCs w:val="21"/>
                <w:lang w:val="en-US" w:eastAsia="zh-CN" w:bidi="ar"/>
              </w:rPr>
              <w:t xml:space="preserve"/>
            </w:r>
          </w:p>
          <w:p w14:paraId="371E65D1">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color w:val="222222"/>
                <w:sz w:val="21"/>
                <w:szCs w:val="21"/>
              </w:rPr>
              <w:t>• 备份存储设备：支持合规数据留存与灾备，按 ImmD 合规政策要求提供 30 天业务数据备份和 60 天审计日志留存。</w:t>
            </w:r>
            <w:r>
              <w:rPr>
                <w:rFonts w:hint="default" w:eastAsia="宋体" w:cs="宋体" w:asciiTheme="minorAscii" w:hAnsiTheme="minorAscii"/>
                <w:kern w:val="0"/>
                <w:sz w:val="21"/>
                <w:szCs w:val="21"/>
                <w:lang w:val="en-US" w:eastAsia="zh-CN" w:bidi="ar"/>
              </w:rPr>
              <w:t xml:space="preserve"/>
            </w:r>
          </w:p>
        </w:tc>
      </w:tr>
    </w:tbl>
    <w:p w14:paraId="52AD9870"/>
    <w:p w14:paraId="00DEAAF8">
      <w:r>
        <w:br w:type="page"/>
      </w:r>
    </w:p>
    <w:p w14:paraId="456552CF">
      <w:pPr>
        <w:spacing w:before="440" w:after="80"/>
      </w:pPr>
      <w:r>
        <w:rPr>
          <w:b/>
          <w:color w:val="003D7A"/>
          <w:sz w:val="32"/>
        </w:rPr>
        <w:t>2. 自动文件分类（Automated Document Classification）</w:t>
      </w:r>
    </w:p>
    <w:p w14:paraId="709527F4">
      <w:pPr>
        <w:spacing w:after="80"/>
      </w:pPr>
      <w:r>
        <w:rPr>
          <w:i/>
          <w:color w:val="555555"/>
          <w:sz w:val="19"/>
        </w:rPr>
        <w:t>[ Annex I Table 1 — 文件分类 · RFI 4.2.1 ]</w:t>
      </w:r>
    </w:p>
    <w:tbl>
      <w:tblPr>
        <w:tblStyle w:val="32"/>
        <w:tblW w:w="0" w:type="auto"/>
        <w:jc w:val="center"/>
        <w:tblLayout w:type="fixed"/>
        <w:tblCellMar>
          <w:top w:w="0" w:type="dxa"/>
          <w:left w:w="108" w:type="dxa"/>
          <w:bottom w:w="0" w:type="dxa"/>
          <w:right w:w="108" w:type="dxa"/>
        </w:tblCellMar>
      </w:tblPr>
      <w:tblGrid>
        <w:gridCol w:w="10200"/>
      </w:tblGrid>
      <w:tr w14:paraId="186971AF">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51BC17D6">
            <w:pPr>
              <w:spacing w:after="80"/>
            </w:pPr>
            <w:r>
              <w:rPr>
                <w:b/>
                <w:color w:val="003D7A"/>
                <w:sz w:val="18"/>
              </w:rPr>
              <w:t>Annex I Table 1 — 原文（英文）：</w:t>
            </w:r>
          </w:p>
          <w:p w14:paraId="4AB830DF">
            <w:pPr>
              <w:spacing w:after="40"/>
            </w:pPr>
            <w:r>
              <w:rPr>
                <w:i/>
                <w:color w:val="333333"/>
                <w:sz w:val="19"/>
              </w:rPr>
              <w:t>自动文件分类</w:t>
            </w:r>
          </w:p>
          <w:p w14:paraId="067FCCED">
            <w:pPr>
              <w:spacing w:after="40"/>
            </w:pPr>
            <w:r>
              <w:rPr>
                <w:i/>
                <w:color w:val="333333"/>
                <w:sz w:val="19"/>
              </w:rPr>
              <w:t>• 描述用于处理、核验和分类申请相关文件及视觉数据的 AI 技术和算法；</w:t>
            </w:r>
          </w:p>
          <w:p w14:paraId="2FCF4E2E">
            <w:pPr>
              <w:spacing w:after="40"/>
            </w:pPr>
            <w:r>
              <w:rPr>
                <w:i/>
                <w:color w:val="333333"/>
                <w:sz w:val="19"/>
              </w:rPr>
              <w:t>• 描述拟议方案的技术设计，说明从处理、核验、分类到结果交付的端到端流程；</w:t>
            </w:r>
          </w:p>
          <w:p w14:paraId="0A061C55">
            <w:pPr>
              <w:spacing w:after="40"/>
            </w:pPr>
            <w:r>
              <w:rPr>
                <w:i/>
                <w:color w:val="333333"/>
                <w:sz w:val="19"/>
              </w:rPr>
              <w:t>• 描述拟议 AI 方案的准确率，以及准确率的计算 / 判定方法。</w:t>
            </w:r>
          </w:p>
        </w:tc>
      </w:tr>
      <w:tr w14:paraId="7B9E91B4">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7BD904F2">
            <w:pPr>
              <w:spacing w:after="80"/>
            </w:pPr>
            <w:r>
              <w:rPr>
                <w:b/>
                <w:color w:val="3A5A00"/>
                <w:sz w:val="18"/>
              </w:rPr>
              <w:t>中文解释（CMHK 参考）：</w:t>
            </w:r>
          </w:p>
          <w:p w14:paraId="4BDD071E">
            <w:pPr>
              <w:spacing w:after="40"/>
            </w:pPr>
            <w:r>
              <w:rPr>
                <w:i/>
                <w:color w:val="333333"/>
                <w:sz w:val="19"/>
              </w:rPr>
              <w:t>自动文件分类</w:t>
            </w:r>
          </w:p>
          <w:p w14:paraId="682D1973">
            <w:pPr>
              <w:spacing w:after="40"/>
            </w:pPr>
            <w:r>
              <w:rPr>
                <w:i/>
                <w:color w:val="333333"/>
                <w:sz w:val="19"/>
              </w:rPr>
              <w:t>• 描述用于处理、验证、分类申请相关文件与图像资料的 AI 技术与算法</w:t>
            </w:r>
          </w:p>
          <w:p w14:paraId="3291361D">
            <w:pPr>
              <w:spacing w:after="40"/>
            </w:pPr>
            <w:r>
              <w:rPr>
                <w:i/>
                <w:color w:val="333333"/>
                <w:sz w:val="19"/>
              </w:rPr>
              <w:t>• 描述方案技术设计，呈现端到端流程（处理 → 验证 → 分类 → 结果交付）</w:t>
            </w:r>
          </w:p>
          <w:p w14:paraId="3749DDC7">
            <w:pPr>
              <w:spacing w:after="40"/>
            </w:pPr>
            <w:r>
              <w:rPr>
                <w:i/>
                <w:color w:val="333333"/>
                <w:sz w:val="19"/>
              </w:rPr>
              <w:t>• 描述贵方建议的 AI 方案准确率，以及该准确率的计算 / 判定方法</w:t>
            </w:r>
          </w:p>
        </w:tc>
      </w:tr>
    </w:tbl>
    <w:p w14:paraId="37171AC1"/>
    <w:tbl>
      <w:tblPr>
        <w:tblStyle w:val="32"/>
        <w:tblW w:w="0" w:type="auto"/>
        <w:jc w:val="center"/>
        <w:tblLayout w:type="fixed"/>
        <w:tblCellMar>
          <w:top w:w="0" w:type="dxa"/>
          <w:left w:w="108" w:type="dxa"/>
          <w:bottom w:w="0" w:type="dxa"/>
          <w:right w:w="108" w:type="dxa"/>
        </w:tblCellMar>
      </w:tblPr>
      <w:tblGrid>
        <w:gridCol w:w="10200"/>
      </w:tblGrid>
      <w:tr w14:paraId="5855E176">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1ED6CD08">
            <w:pPr>
              <w:spacing w:after="80"/>
            </w:pPr>
            <w:r>
              <w:rPr>
                <w:b/>
                <w:color w:val="003D7A"/>
                <w:sz w:val="18"/>
              </w:rPr>
              <w:t>RFI 4.2.1 — 原文（英文）：</w:t>
            </w:r>
          </w:p>
          <w:p w14:paraId="1EE20FB5">
            <w:pPr>
              <w:spacing w:after="40"/>
            </w:pPr>
            <w:r>
              <w:rPr>
                <w:i/>
                <w:color w:val="333333"/>
                <w:sz w:val="19"/>
              </w:rPr>
              <w:t>4.2.1 自动文件分类</w:t>
            </w:r>
          </w:p>
          <w:p w14:paraId="300042C6">
            <w:pPr>
              <w:spacing w:after="40"/>
            </w:pPr>
            <w:r>
              <w:rPr>
                <w:i/>
                <w:color w:val="333333"/>
                <w:sz w:val="19"/>
              </w:rPr>
              <w:t>4.2.1.1 应能根据业务 / 工作流逻辑，支持对申请文件和图像完整性的核验</w:t>
            </w:r>
          </w:p>
          <w:p w14:paraId="2F89A06E">
            <w:pPr>
              <w:spacing w:after="40"/>
            </w:pPr>
            <w:r>
              <w:rPr>
                <w:i/>
                <w:color w:val="333333"/>
                <w:sz w:val="19"/>
              </w:rPr>
              <w:t>4.2.1.2 应能提供并支持后续分类任务</w:t>
            </w:r>
          </w:p>
          <w:p w14:paraId="08DBB529">
            <w:pPr>
              <w:spacing w:after="40"/>
            </w:pPr>
            <w:r>
              <w:rPr>
                <w:i/>
                <w:color w:val="333333"/>
                <w:sz w:val="19"/>
              </w:rPr>
              <w:t>4.2.1.3 应能检查、处理问题项目并向用户告警。</w:t>
            </w:r>
          </w:p>
          <w:p w14:paraId="150A8F4D">
            <w:pPr>
              <w:spacing w:after="40"/>
            </w:pPr>
            <w:r>
              <w:rPr>
                <w:i/>
                <w:color w:val="333333"/>
                <w:sz w:val="19"/>
              </w:rPr>
              <w:t>4.2.1.4 应生成并导出相关统计数据和报告</w:t>
            </w:r>
          </w:p>
        </w:tc>
      </w:tr>
      <w:tr w14:paraId="66853C62">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215A4BEA">
            <w:pPr>
              <w:spacing w:after="80"/>
            </w:pPr>
            <w:r>
              <w:rPr>
                <w:b/>
                <w:color w:val="3A5A00"/>
                <w:sz w:val="18"/>
              </w:rPr>
              <w:t>中文解释（CMHK 参考）：</w:t>
            </w:r>
          </w:p>
          <w:p w14:paraId="413F5115">
            <w:pPr>
              <w:spacing w:after="40"/>
            </w:pPr>
            <w:r>
              <w:rPr>
                <w:i/>
                <w:color w:val="333333"/>
                <w:sz w:val="19"/>
              </w:rPr>
              <w:t>4.2.1 自动文件分类</w:t>
            </w:r>
          </w:p>
          <w:p w14:paraId="77915AF3">
            <w:pPr>
              <w:spacing w:after="40"/>
            </w:pPr>
            <w:r>
              <w:rPr>
                <w:i/>
                <w:color w:val="333333"/>
                <w:sz w:val="19"/>
              </w:rPr>
              <w:t>4.2.1.1 应根据业务 / 工作流逻辑，验证申请文件与图像之完整性</w:t>
            </w:r>
          </w:p>
          <w:p w14:paraId="095838AC">
            <w:pPr>
              <w:spacing w:after="40"/>
            </w:pPr>
            <w:r>
              <w:rPr>
                <w:i/>
                <w:color w:val="333333"/>
                <w:sz w:val="19"/>
              </w:rPr>
              <w:t>4.2.1.2 应对通过验证的文件提供与支持后续分类任务</w:t>
            </w:r>
          </w:p>
          <w:p w14:paraId="6FE5040E">
            <w:pPr>
              <w:spacing w:after="40"/>
            </w:pPr>
            <w:r>
              <w:rPr>
                <w:i/>
                <w:color w:val="333333"/>
                <w:sz w:val="19"/>
              </w:rPr>
              <w:t>4.2.1.3 应检查、处理问题项目并对使用者告警</w:t>
            </w:r>
          </w:p>
          <w:p w14:paraId="27A0C581">
            <w:pPr>
              <w:spacing w:after="40"/>
            </w:pPr>
            <w:r>
              <w:rPr>
                <w:i/>
                <w:color w:val="333333"/>
                <w:sz w:val="19"/>
              </w:rPr>
              <w:t>4.2.1.4 应生成并导出相关统计资料与报表</w:t>
            </w:r>
          </w:p>
        </w:tc>
      </w:tr>
    </w:tbl>
    <w:p w14:paraId="469E6F78"/>
    <w:p w14:paraId="73554E28">
      <w:pPr>
        <w:spacing w:before="280" w:after="80"/>
      </w:pPr>
      <w:r>
        <w:rPr>
          <w:b/>
          <w:color w:val="003D7A"/>
          <w:sz w:val="26"/>
        </w:rPr>
        <w:t>2.1 AI 技术与算法</w:t>
      </w:r>
    </w:p>
    <w:p w14:paraId="1DE14558">
      <w:pPr>
        <w:spacing w:after="60"/>
        <w:ind w:left="360"/>
      </w:pPr>
      <w:r>
        <w:rPr>
          <w:color w:val="222222"/>
          <w:sz w:val="20"/>
        </w:rPr>
        <w:t>• 描述用于处理、验证、分类文件的 AI 技术 / 算法（FDH 12 附件场景）</w:t>
      </w:r>
    </w:p>
    <w:p w14:paraId="5574E277">
      <w:pPr>
        <w:spacing w:after="60"/>
        <w:ind w:left="360"/>
      </w:pPr>
      <w:r>
        <w:rPr>
          <w:color w:val="222222"/>
          <w:sz w:val="20"/>
        </w:rPr>
        <w:t>• 建议：模型选型（VLM / OCR+NLP 流水线）、few-shot 策略、规则库</w:t>
      </w:r>
    </w:p>
    <w:tbl>
      <w:tblPr>
        <w:tblStyle w:val="32"/>
        <w:tblW w:w="0" w:type="auto"/>
        <w:jc w:val="center"/>
        <w:tblLayout w:type="fixed"/>
        <w:tblCellMar>
          <w:top w:w="0" w:type="dxa"/>
          <w:left w:w="108" w:type="dxa"/>
          <w:bottom w:w="0" w:type="dxa"/>
          <w:right w:w="108" w:type="dxa"/>
        </w:tblCellMar>
      </w:tblPr>
      <w:tblGrid>
        <w:gridCol w:w="10200"/>
      </w:tblGrid>
      <w:tr w14:paraId="1DC6C182">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3DBA5EB3">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方案采用“版面分析 + 多模态大模型（VLM）+ Few-shot 分类 + 规则库引擎”的混合技术栈。</w:t>
            </w:r>
            <w:r>
              <w:rPr>
                <w:rFonts w:hint="eastAsia"/>
                <w:b/>
                <w:bCs/>
                <w:sz w:val="21"/>
                <w:szCs w:val="21"/>
              </w:rPr>
              <w:t xml:space="preserve"/>
            </w:r>
          </w:p>
          <w:p w14:paraId="1F29940D">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eastAsia"/>
                <w:sz w:val="21"/>
                <w:szCs w:val="21"/>
              </w:rPr>
            </w:pPr>
            <w:r>
              <w:rPr>
                <w:color w:val="222222"/>
                <w:sz w:val="21"/>
                <w:szCs w:val="21"/>
              </w:rPr>
              <w:t>• 部署通用文档 OCR 和版面检测模型，以从扫描 PDF/照片文件中识别文本、表格、印章和图像区域。</w:t>
            </w:r>
            <w:r>
              <w:rPr>
                <w:rFonts w:hint="eastAsia"/>
                <w:sz w:val="21"/>
                <w:szCs w:val="21"/>
              </w:rPr>
              <w:t xml:space="preserve"/>
            </w:r>
          </w:p>
          <w:p w14:paraId="40BCD259">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eastAsia"/>
                <w:sz w:val="21"/>
                <w:szCs w:val="21"/>
              </w:rPr>
            </w:pPr>
            <w:r>
              <w:rPr>
                <w:color w:val="222222"/>
                <w:sz w:val="21"/>
                <w:szCs w:val="21"/>
              </w:rPr>
              <w:t>• 应用 Qwen-VL 深度多模态模型，理解文档版面、内容语义和文档类型特征。</w:t>
            </w:r>
            <w:r>
              <w:rPr>
                <w:rFonts w:hint="eastAsia"/>
                <w:sz w:val="21"/>
                <w:szCs w:val="21"/>
              </w:rPr>
              <w:t xml:space="preserve"/>
            </w:r>
          </w:p>
          <w:p w14:paraId="161CD7BA">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eastAsia"/>
                <w:sz w:val="21"/>
                <w:szCs w:val="21"/>
              </w:rPr>
            </w:pPr>
            <w:r>
              <w:rPr>
                <w:color w:val="222222"/>
                <w:sz w:val="21"/>
                <w:szCs w:val="21"/>
              </w:rPr>
              <w:t>• 基于 ImmD 官方文档样本采用 few-shot prompt 学习策略，支持标准官方场景附件的自动分类。</w:t>
            </w:r>
            <w:r>
              <w:rPr>
                <w:rFonts w:hint="eastAsia"/>
                <w:sz w:val="21"/>
                <w:szCs w:val="21"/>
              </w:rPr>
              <w:t xml:space="preserve"/>
            </w:r>
          </w:p>
          <w:p w14:paraId="0ADC032A">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eastAsia"/>
                <w:sz w:val="21"/>
                <w:szCs w:val="21"/>
              </w:rPr>
            </w:pPr>
            <w:r>
              <w:rPr>
                <w:color w:val="222222"/>
                <w:sz w:val="21"/>
                <w:szCs w:val="21"/>
              </w:rPr>
              <w:t>• 结合可配置规则库，验证文档完整性、有效页数、必需附件清单和业务工作流约束。</w:t>
            </w:r>
            <w:r>
              <w:rPr>
                <w:rFonts w:hint="eastAsia"/>
                <w:sz w:val="21"/>
                <w:szCs w:val="21"/>
              </w:rPr>
              <w:t xml:space="preserve"/>
            </w:r>
          </w:p>
          <w:p w14:paraId="7B60B954">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pPr>
            <w:r>
              <w:rPr>
                <w:color w:val="222222"/>
                <w:sz w:val="21"/>
                <w:szCs w:val="21"/>
              </w:rPr>
              <w:t>• 在执行分类任务前，支持批量文件拆分、格式规范化和异常文件过滤。</w:t>
            </w:r>
            <w:r>
              <w:rPr>
                <w:rFonts w:hint="eastAsia"/>
                <w:sz w:val="21"/>
                <w:szCs w:val="21"/>
              </w:rPr>
              <w:t xml:space="preserve"/>
            </w:r>
          </w:p>
        </w:tc>
      </w:tr>
    </w:tbl>
    <w:p w14:paraId="3DE50A76"/>
    <w:p w14:paraId="784914D6">
      <w:pPr>
        <w:spacing w:before="280" w:after="80"/>
      </w:pPr>
      <w:r>
        <w:rPr>
          <w:b/>
          <w:color w:val="003D7A"/>
          <w:sz w:val="26"/>
        </w:rPr>
        <w:t>2.2 端到端技术设计</w:t>
      </w:r>
    </w:p>
    <w:p w14:paraId="73F957B9">
      <w:pPr>
        <w:spacing w:after="60"/>
        <w:ind w:left="360"/>
      </w:pPr>
      <w:r>
        <w:rPr>
          <w:color w:val="222222"/>
          <w:sz w:val="20"/>
        </w:rPr>
        <w:t>• 处理 → 验证 → 分类 → 结果交付（全流程设计）</w:t>
      </w:r>
    </w:p>
    <w:p w14:paraId="4D0EBAFE">
      <w:pPr>
        <w:spacing w:after="60"/>
        <w:ind w:left="360"/>
      </w:pPr>
      <w:r>
        <w:rPr>
          <w:color w:val="222222"/>
          <w:sz w:val="20"/>
        </w:rPr>
        <w:t>• 包含异常 / 问题项目的呈现方式（在 Cross-Check Report PDF 中呈现）</w:t>
      </w:r>
    </w:p>
    <w:tbl>
      <w:tblPr>
        <w:tblStyle w:val="32"/>
        <w:tblW w:w="0" w:type="auto"/>
        <w:jc w:val="center"/>
        <w:tblLayout w:type="fixed"/>
        <w:tblCellMar>
          <w:top w:w="0" w:type="dxa"/>
          <w:left w:w="108" w:type="dxa"/>
          <w:bottom w:w="0" w:type="dxa"/>
          <w:right w:w="108" w:type="dxa"/>
        </w:tblCellMar>
      </w:tblPr>
      <w:tblGrid>
        <w:gridCol w:w="10200"/>
      </w:tblGrid>
      <w:tr w14:paraId="46BE053B">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3424032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全流程工作流：</w:t>
            </w:r>
          </w:p>
          <w:p w14:paraId="14D9B82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heme="minorAscii" w:hAnsiTheme="minorAscii"/>
                <w:sz w:val="21"/>
                <w:szCs w:val="21"/>
              </w:rPr>
            </w:pPr>
            <w:r>
              <w:rPr>
                <w:rStyle w:val="135"/>
                <w:rFonts w:hint="default" w:eastAsia="宋体" w:cs="宋体" w:asciiTheme="minorAscii" w:hAnsiTheme="minorAscii"/>
                <w:kern w:val="0"/>
                <w:sz w:val="21"/>
                <w:szCs w:val="21"/>
                <w:lang w:val="en-US" w:eastAsia="zh-CN" w:bidi="ar"/>
              </w:rPr>
              <w:t>数据接入 → 文件格式规范化与预处理 → OCR 与版面分析 → 文档类型特征提取 → AI 智能分类 → 业务完整性验证 → 异常项目标记与告警 → 生成带高亮的 Cross-Check Report → 统计报表导出 → 结果推送至 APPLIES-2</w:t>
            </w:r>
          </w:p>
          <w:p w14:paraId="33CD4D5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处理过程中，不完整文件、模糊印章、缺失必需页面、无效格式和附件类型不匹配等问题将自动标记，并在原文件上高亮显示。所有异常记录将汇总至 Cross-Check Report PDF，供 case officer 审查；分类结果元数据将通过标准化 API 输出至下游数据核验流程。</w:t>
            </w:r>
          </w:p>
          <w:p w14:paraId="628B5AE3">
            <w:pPr>
              <w:numPr>
                <w:numId w:val="0"/>
              </w:numPr>
              <w:rPr>
                <w:rFonts w:ascii="宋体" w:hAnsi="宋体" w:eastAsia="宋体" w:cs="宋体"/>
                <w:sz w:val="24"/>
                <w:szCs w:val="24"/>
                <w:lang w:val="en-US" w:eastAsia="zh-CN"/>
              </w:rPr>
            </w:pPr>
          </w:p>
          <w:p w14:paraId="29F1B57E"/>
        </w:tc>
      </w:tr>
    </w:tbl>
    <w:p w14:paraId="6BF1FBF1"/>
    <w:p w14:paraId="504A8B49">
      <w:pPr>
        <w:spacing w:before="280" w:after="80"/>
      </w:pPr>
      <w:r>
        <w:rPr>
          <w:b/>
          <w:color w:val="003D7A"/>
          <w:sz w:val="26"/>
        </w:rPr>
        <w:t>2.3 准确率与计算方法（请提出）</w:t>
      </w:r>
    </w:p>
    <w:p w14:paraId="1EC8E1C3">
      <w:pPr>
        <w:spacing w:after="120"/>
      </w:pPr>
      <w:r>
        <w:rPr>
          <w:i/>
          <w:color w:val="222222"/>
          <w:sz w:val="20"/>
        </w:rPr>
        <w:t>请完成：(a) 承诺准确率 % (b) 准确率定义（例如字符 / 单词 / 字段 / 业务级）(c) 测量方法（测试集规模、Precision / Recall / F1 等指标）。请填写：(a) 承诺准确率 % (b) 准确率定义 (c) 测量方法。</w:t>
      </w:r>
    </w:p>
    <w:tbl>
      <w:tblPr>
        <w:tblStyle w:val="32"/>
        <w:tblW w:w="0" w:type="auto"/>
        <w:jc w:val="center"/>
        <w:tblLayout w:type="fixed"/>
        <w:tblCellMar>
          <w:top w:w="0" w:type="dxa"/>
          <w:left w:w="108" w:type="dxa"/>
          <w:bottom w:w="0" w:type="dxa"/>
          <w:right w:w="108" w:type="dxa"/>
        </w:tblCellMar>
      </w:tblPr>
      <w:tblGrid>
        <w:gridCol w:w="2550"/>
        <w:gridCol w:w="2550"/>
        <w:gridCol w:w="2550"/>
        <w:gridCol w:w="2550"/>
      </w:tblGrid>
      <w:tr w14:paraId="40CFD7B2">
        <w:tblPrEx>
          <w:tblCellMar>
            <w:top w:w="0" w:type="dxa"/>
            <w:left w:w="108" w:type="dxa"/>
            <w:bottom w:w="0" w:type="dxa"/>
            <w:right w:w="108" w:type="dxa"/>
          </w:tblCellMar>
        </w:tblPrEx>
        <w:trPr>
          <w:trHeight w:val="576" w:hRule="atLeast"/>
          <w:jc w:val="center"/>
        </w:trPr>
        <w:tc>
          <w:tcPr>
            <w:tcW w:w="2550" w:type="dxa"/>
            <w:shd w:val="clear" w:color="auto" w:fill="003D7A"/>
            <w:vAlign w:val="center"/>
          </w:tcPr>
          <w:p w14:paraId="2DF4814E">
            <w:r>
              <w:rPr>
                <w:b/>
                <w:color w:val="FFFFFF"/>
                <w:sz w:val="20"/>
              </w:rPr>
              <w:t>AI 功能</w:t>
            </w:r>
          </w:p>
        </w:tc>
        <w:tc>
          <w:tcPr>
            <w:tcW w:w="2550" w:type="dxa"/>
            <w:shd w:val="clear" w:color="auto" w:fill="003D7A"/>
            <w:vAlign w:val="center"/>
          </w:tcPr>
          <w:p w14:paraId="578C8DD0">
            <w:r>
              <w:rPr>
                <w:b/>
                <w:color w:val="FFFFFF"/>
                <w:sz w:val="20"/>
              </w:rPr>
              <w:t>承诺准确率（%）</w:t>
            </w:r>
          </w:p>
        </w:tc>
        <w:tc>
          <w:tcPr>
            <w:tcW w:w="2550" w:type="dxa"/>
            <w:shd w:val="clear" w:color="auto" w:fill="003D7A"/>
            <w:vAlign w:val="center"/>
          </w:tcPr>
          <w:p w14:paraId="705B78C2">
            <w:r>
              <w:rPr>
                <w:b/>
                <w:color w:val="FFFFFF"/>
                <w:sz w:val="20"/>
              </w:rPr>
              <w:t>准确率定义</w:t>
            </w:r>
          </w:p>
        </w:tc>
        <w:tc>
          <w:tcPr>
            <w:tcW w:w="2550" w:type="dxa"/>
            <w:shd w:val="clear" w:color="auto" w:fill="003D7A"/>
            <w:vAlign w:val="center"/>
          </w:tcPr>
          <w:p w14:paraId="0AF173E0">
            <w:r>
              <w:rPr>
                <w:b/>
                <w:color w:val="FFFFFF"/>
                <w:sz w:val="20"/>
              </w:rPr>
              <w:t>测量方法</w:t>
            </w:r>
          </w:p>
        </w:tc>
      </w:tr>
      <w:tr w14:paraId="375710D2">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5F79A249">
            <w:r>
              <w:rPr>
                <w:b/>
                <w:color w:val="222222"/>
                <w:sz w:val="20"/>
              </w:rPr>
              <w:t>自动文件分类</w:t>
            </w:r>
          </w:p>
        </w:tc>
        <w:tc>
          <w:tcPr>
            <w:tcW w:w="2550" w:type="dxa"/>
            <w:tcBorders>
              <w:top w:val="single" w:color="888888" w:sz="6" w:space="0"/>
              <w:left w:val="single" w:color="888888" w:sz="6" w:space="0"/>
              <w:bottom w:val="single" w:color="888888" w:sz="6" w:space="0"/>
              <w:right w:val="single" w:color="888888" w:sz="6" w:space="0"/>
            </w:tcBorders>
            <w:vAlign w:val="top"/>
          </w:tcPr>
          <w:p w14:paraId="317ABD85">
            <w:pPr>
              <w:keepNext w:val="0"/>
              <w:keepLines w:val="0"/>
              <w:pageBreakBefore w:val="0"/>
              <w:widowControl/>
              <w:kinsoku/>
              <w:wordWrap/>
              <w:overflowPunct/>
              <w:topLinePunct w:val="0"/>
              <w:autoSpaceDE/>
              <w:autoSpaceDN/>
              <w:bidi w:val="0"/>
              <w:adjustRightInd/>
              <w:snapToGrid/>
              <w:spacing w:line="288" w:lineRule="auto"/>
              <w:textAlignment w:val="auto"/>
            </w:pPr>
            <w:r>
              <w:rPr>
                <w:rFonts w:hint="default" w:eastAsia="宋体" w:cs="宋体" w:asciiTheme="minorAscii" w:hAnsiTheme="minorAscii"/>
                <w:sz w:val="21"/>
                <w:szCs w:val="21"/>
              </w:rPr>
              <w:t>≥95%</w:t>
            </w:r>
          </w:p>
        </w:tc>
        <w:tc>
          <w:tcPr>
            <w:tcW w:w="2550" w:type="dxa"/>
            <w:tcBorders>
              <w:top w:val="single" w:color="888888" w:sz="6" w:space="0"/>
              <w:left w:val="single" w:color="888888" w:sz="6" w:space="0"/>
              <w:bottom w:val="single" w:color="888888" w:sz="6" w:space="0"/>
              <w:right w:val="single" w:color="888888" w:sz="6" w:space="0"/>
            </w:tcBorders>
            <w:vAlign w:val="top"/>
          </w:tcPr>
          <w:p w14:paraId="397825A9">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heme="minorAscii" w:hAnsiTheme="minorAscii"/>
                <w:sz w:val="21"/>
                <w:szCs w:val="21"/>
              </w:rPr>
            </w:pPr>
            <w:r>
              <w:rPr>
                <w:rFonts w:hint="default" w:eastAsia="宋体" w:cs="宋体" w:asciiTheme="minorAscii" w:hAnsiTheme="minorAscii"/>
                <w:sz w:val="21"/>
                <w:szCs w:val="21"/>
              </w:rPr>
              <w:t>业务级准确率：文档类型分类正确 + 完整性通过 / 不通过判断符合 ImmD 业务规则</w:t>
            </w:r>
          </w:p>
        </w:tc>
        <w:tc>
          <w:tcPr>
            <w:tcW w:w="2550" w:type="dxa"/>
            <w:tcBorders>
              <w:top w:val="single" w:color="888888" w:sz="6" w:space="0"/>
              <w:left w:val="single" w:color="888888" w:sz="6" w:space="0"/>
              <w:bottom w:val="single" w:color="888888" w:sz="6" w:space="0"/>
              <w:right w:val="single" w:color="888888" w:sz="6" w:space="0"/>
            </w:tcBorders>
            <w:vAlign w:val="top"/>
          </w:tcPr>
          <w:p w14:paraId="6DAA6B37">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heme="minorAscii" w:hAnsiTheme="minorAscii"/>
                <w:sz w:val="21"/>
                <w:szCs w:val="21"/>
              </w:rPr>
            </w:pPr>
            <w:r>
              <w:rPr>
                <w:rFonts w:hint="default" w:eastAsia="宋体" w:cs="宋体" w:asciiTheme="minorAscii" w:hAnsiTheme="minorAscii"/>
                <w:sz w:val="21"/>
                <w:szCs w:val="21"/>
              </w:rPr>
              <w:t>采用覆盖完整 FDH 附件场景的专用测试集（超过 5,000 个样本 case）；以 Precision、Recall 和 F1-Score 进行评估；计算业务规则合规通过率。</w:t>
            </w:r>
          </w:p>
        </w:tc>
      </w:tr>
    </w:tbl>
    <w:p w14:paraId="0C02A8D8"/>
    <w:p w14:paraId="04D87E48">
      <w:r>
        <w:br w:type="page"/>
      </w:r>
    </w:p>
    <w:p w14:paraId="24E96EDD">
      <w:pPr>
        <w:spacing w:before="440" w:after="80"/>
      </w:pPr>
      <w:r>
        <w:rPr>
          <w:b/>
          <w:color w:val="003D7A"/>
          <w:sz w:val="32"/>
        </w:rPr>
        <w:t>3. 智能数据核验（Intelligent Data Verification）</w:t>
      </w:r>
    </w:p>
    <w:p w14:paraId="7B387A2C">
      <w:pPr>
        <w:spacing w:after="80"/>
      </w:pPr>
      <w:r>
        <w:rPr>
          <w:i/>
          <w:color w:val="555555"/>
          <w:sz w:val="19"/>
        </w:rPr>
        <w:t>[ Annex I Table 1 — 数据核验 · RFI 4.2.2 ]</w:t>
      </w:r>
    </w:p>
    <w:tbl>
      <w:tblPr>
        <w:tblStyle w:val="32"/>
        <w:tblW w:w="0" w:type="auto"/>
        <w:jc w:val="center"/>
        <w:tblLayout w:type="fixed"/>
        <w:tblCellMar>
          <w:top w:w="0" w:type="dxa"/>
          <w:left w:w="108" w:type="dxa"/>
          <w:bottom w:w="0" w:type="dxa"/>
          <w:right w:w="108" w:type="dxa"/>
        </w:tblCellMar>
      </w:tblPr>
      <w:tblGrid>
        <w:gridCol w:w="10200"/>
      </w:tblGrid>
      <w:tr w14:paraId="11887425">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614354AA">
            <w:pPr>
              <w:spacing w:after="80"/>
            </w:pPr>
            <w:r>
              <w:rPr>
                <w:b/>
                <w:color w:val="003D7A"/>
                <w:sz w:val="18"/>
              </w:rPr>
              <w:t>Annex I Table 1 — 原文（英文）：</w:t>
            </w:r>
          </w:p>
          <w:p w14:paraId="7CF37D0F">
            <w:pPr>
              <w:spacing w:after="40"/>
            </w:pPr>
            <w:r>
              <w:rPr>
                <w:i/>
                <w:color w:val="333333"/>
                <w:sz w:val="19"/>
              </w:rPr>
              <w:t>智能数据核验</w:t>
            </w:r>
          </w:p>
          <w:p w14:paraId="4A003BB5">
            <w:pPr>
              <w:spacing w:after="40"/>
            </w:pPr>
            <w:r>
              <w:rPr>
                <w:i/>
                <w:color w:val="333333"/>
                <w:sz w:val="19"/>
              </w:rPr>
              <w:t>• 描述用于从申请相关文件和视觉数据中抽取数据的 AI 技术和算法；</w:t>
            </w:r>
          </w:p>
          <w:p w14:paraId="1F00C47C">
            <w:pPr>
              <w:spacing w:after="40"/>
            </w:pPr>
            <w:r>
              <w:rPr>
                <w:i/>
                <w:color w:val="333333"/>
                <w:sz w:val="19"/>
              </w:rPr>
              <w:t>• 描述用于将申请相关文件和视觉数据中的数据与其他结构化数据进行交叉核验的 AI 技术和算法；</w:t>
            </w:r>
          </w:p>
          <w:p w14:paraId="703D64F7">
            <w:pPr>
              <w:spacing w:after="40"/>
            </w:pPr>
            <w:r>
              <w:rPr>
                <w:i/>
                <w:color w:val="333333"/>
                <w:sz w:val="19"/>
              </w:rPr>
              <w:t>• 描述拟议方案的技术设计，说明从数据抽取、数据比对、核验、异常检测到结果交付的端到端流程；</w:t>
            </w:r>
          </w:p>
          <w:p w14:paraId="7415A009">
            <w:pPr>
              <w:spacing w:after="40"/>
            </w:pPr>
            <w:r>
              <w:rPr>
                <w:i/>
                <w:color w:val="333333"/>
                <w:sz w:val="19"/>
              </w:rPr>
              <w:t>• 描述拟议 AI 方案的准确率，以及准确率的计算 / 判定方法。</w:t>
            </w:r>
          </w:p>
        </w:tc>
      </w:tr>
      <w:tr w14:paraId="5113AA5D">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463A0505">
            <w:pPr>
              <w:spacing w:after="80"/>
            </w:pPr>
            <w:r>
              <w:rPr>
                <w:b/>
                <w:color w:val="3A5A00"/>
                <w:sz w:val="18"/>
              </w:rPr>
              <w:t>中文解释（CMHK 参考）：</w:t>
            </w:r>
          </w:p>
          <w:p w14:paraId="64B21597">
            <w:pPr>
              <w:spacing w:after="40"/>
            </w:pPr>
            <w:r>
              <w:rPr>
                <w:i/>
                <w:color w:val="333333"/>
                <w:sz w:val="19"/>
              </w:rPr>
              <w:t>智能数据核验</w:t>
            </w:r>
          </w:p>
          <w:p w14:paraId="469D1521">
            <w:pPr>
              <w:spacing w:after="40"/>
            </w:pPr>
            <w:r>
              <w:rPr>
                <w:i/>
                <w:color w:val="333333"/>
                <w:sz w:val="19"/>
              </w:rPr>
              <w:t>• 描述用于从申请文件与图像资料抽取资料之 AI 技术与算法</w:t>
            </w:r>
          </w:p>
          <w:p w14:paraId="19182D99">
            <w:pPr>
              <w:spacing w:after="40"/>
            </w:pPr>
            <w:r>
              <w:rPr>
                <w:i/>
                <w:color w:val="333333"/>
                <w:sz w:val="19"/>
              </w:rPr>
              <w:t>• 描述用于将申请文件 / 图像资料与其他结构化资料进行交叉比对之 AI 技术与算法</w:t>
            </w:r>
          </w:p>
          <w:p w14:paraId="491330D8">
            <w:pPr>
              <w:spacing w:after="40"/>
            </w:pPr>
            <w:r>
              <w:rPr>
                <w:i/>
                <w:color w:val="333333"/>
                <w:sz w:val="19"/>
              </w:rPr>
              <w:t>• 描述方案技术设计，呈现端到端流程（抽取 → 比对 → 验证 → 异常侦测 → 结果交付）</w:t>
            </w:r>
          </w:p>
          <w:p w14:paraId="2DB68D5F">
            <w:pPr>
              <w:spacing w:after="40"/>
            </w:pPr>
            <w:r>
              <w:rPr>
                <w:i/>
                <w:color w:val="333333"/>
                <w:sz w:val="19"/>
              </w:rPr>
              <w:t>• 描述贵方建议的 AI 方案准确率及计算 / 判定方法</w:t>
            </w:r>
          </w:p>
        </w:tc>
      </w:tr>
    </w:tbl>
    <w:p w14:paraId="7F80A76F"/>
    <w:tbl>
      <w:tblPr>
        <w:tblStyle w:val="32"/>
        <w:tblW w:w="0" w:type="auto"/>
        <w:jc w:val="center"/>
        <w:tblLayout w:type="fixed"/>
        <w:tblCellMar>
          <w:top w:w="0" w:type="dxa"/>
          <w:left w:w="108" w:type="dxa"/>
          <w:bottom w:w="0" w:type="dxa"/>
          <w:right w:w="108" w:type="dxa"/>
        </w:tblCellMar>
      </w:tblPr>
      <w:tblGrid>
        <w:gridCol w:w="10200"/>
      </w:tblGrid>
      <w:tr w14:paraId="04C56720">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2F422CB7">
            <w:pPr>
              <w:spacing w:after="80"/>
            </w:pPr>
            <w:r>
              <w:rPr>
                <w:b/>
                <w:color w:val="003D7A"/>
                <w:sz w:val="18"/>
              </w:rPr>
              <w:t>RFI 4.2.2 — 原文（英文）：</w:t>
            </w:r>
          </w:p>
          <w:p w14:paraId="6D61B981">
            <w:pPr>
              <w:spacing w:after="40"/>
            </w:pPr>
            <w:r>
              <w:rPr>
                <w:i/>
                <w:color w:val="333333"/>
                <w:sz w:val="19"/>
              </w:rPr>
              <w:t>4.2.2 智能数据核验</w:t>
            </w:r>
          </w:p>
          <w:p w14:paraId="62EEEA27">
            <w:pPr>
              <w:spacing w:after="40"/>
            </w:pPr>
            <w:r>
              <w:rPr>
                <w:i/>
                <w:color w:val="333333"/>
                <w:sz w:val="19"/>
              </w:rPr>
              <w:t>4.2.2.1 应能从文件、图像等非结构化数据中抽取信息，</w:t>
            </w:r>
          </w:p>
          <w:p w14:paraId="1C934B3E">
            <w:pPr>
              <w:spacing w:after="40"/>
            </w:pPr>
            <w:r>
              <w:rPr>
                <w:i/>
                <w:color w:val="333333"/>
                <w:sz w:val="19"/>
              </w:rPr>
              <w:t>4.2.2.2 应能将抽取的信息与申请人提供的其他结构化数据进行交叉引用，并自动识别不一致或不完整数据。</w:t>
            </w:r>
          </w:p>
          <w:p w14:paraId="046CBAA9">
            <w:pPr>
              <w:spacing w:after="40"/>
            </w:pPr>
            <w:r>
              <w:rPr>
                <w:i/>
                <w:color w:val="333333"/>
                <w:sz w:val="19"/>
              </w:rPr>
              <w:t>4.2.2.3 应能根据业务 / 工作流逻辑，检查并识别任何不完整、问题或异常内容，例如不完整信息、模糊印章等</w:t>
            </w:r>
          </w:p>
          <w:p w14:paraId="45A752AE">
            <w:pPr>
              <w:spacing w:after="40"/>
            </w:pPr>
            <w:r>
              <w:rPr>
                <w:i/>
                <w:color w:val="333333"/>
                <w:sz w:val="19"/>
              </w:rPr>
              <w:t>4.2.2.4 应能在原件中裁剪 / 高亮非结构化数据，供用户检查问题或异常内容</w:t>
            </w:r>
          </w:p>
          <w:p w14:paraId="1F1403DE">
            <w:pPr>
              <w:spacing w:after="40"/>
            </w:pPr>
            <w:r>
              <w:rPr>
                <w:i/>
                <w:color w:val="333333"/>
                <w:sz w:val="19"/>
              </w:rPr>
              <w:t>4.2.2.5 应生成并导出相关统计数据和报告</w:t>
            </w:r>
          </w:p>
        </w:tc>
      </w:tr>
      <w:tr w14:paraId="18C85D1D">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5FB6A027">
            <w:pPr>
              <w:spacing w:after="80"/>
            </w:pPr>
            <w:r>
              <w:rPr>
                <w:b/>
                <w:color w:val="3A5A00"/>
                <w:sz w:val="18"/>
              </w:rPr>
              <w:t>中文解释（CMHK 参考）：</w:t>
            </w:r>
          </w:p>
          <w:p w14:paraId="231BE836">
            <w:pPr>
              <w:spacing w:after="40"/>
            </w:pPr>
            <w:r>
              <w:rPr>
                <w:i/>
                <w:color w:val="333333"/>
                <w:sz w:val="19"/>
              </w:rPr>
              <w:t>4.2.2 智能数据核验</w:t>
            </w:r>
          </w:p>
          <w:p w14:paraId="07D79243">
            <w:pPr>
              <w:spacing w:after="40"/>
            </w:pPr>
            <w:r>
              <w:rPr>
                <w:i/>
                <w:color w:val="333333"/>
                <w:sz w:val="19"/>
              </w:rPr>
              <w:t>4.2.2.1 应能从非结构化资料（如文件、图像）抽取信息</w:t>
            </w:r>
          </w:p>
          <w:p w14:paraId="647463FE">
            <w:pPr>
              <w:spacing w:after="40"/>
            </w:pPr>
            <w:r>
              <w:rPr>
                <w:i/>
                <w:color w:val="333333"/>
                <w:sz w:val="19"/>
              </w:rPr>
              <w:t>4.2.2.2 应将抽取信息与申请人提供之其他结构化资料交叉比对，并自动识别不一致或不完整之资料</w:t>
            </w:r>
          </w:p>
          <w:p w14:paraId="309D9091">
            <w:pPr>
              <w:spacing w:after="40"/>
            </w:pPr>
            <w:r>
              <w:rPr>
                <w:i/>
                <w:color w:val="333333"/>
                <w:sz w:val="19"/>
              </w:rPr>
              <w:t>4.2.2.3 应根据业务 / 工作流逻辑，检查并识别不完整、问题或异常内容（如不完整信息、模糊印章等）</w:t>
            </w:r>
          </w:p>
          <w:p w14:paraId="4C5DB07E">
            <w:pPr>
              <w:spacing w:after="40"/>
            </w:pPr>
            <w:r>
              <w:rPr>
                <w:i/>
                <w:color w:val="333333"/>
                <w:sz w:val="19"/>
              </w:rPr>
              <w:t>4.2.2.4 应能在原始文件中对非结构化资料进行 crop / 高亮，供使用者检查问题或异常内容</w:t>
            </w:r>
          </w:p>
          <w:p w14:paraId="11AC87D1">
            <w:pPr>
              <w:spacing w:after="40"/>
            </w:pPr>
            <w:r>
              <w:rPr>
                <w:i/>
                <w:color w:val="333333"/>
                <w:sz w:val="19"/>
              </w:rPr>
              <w:t>4.2.2.5 应生成并导出相关统计资料与报表</w:t>
            </w:r>
          </w:p>
        </w:tc>
      </w:tr>
    </w:tbl>
    <w:p w14:paraId="1B2C58A8"/>
    <w:p w14:paraId="35635126">
      <w:pPr>
        <w:spacing w:before="280" w:after="80"/>
      </w:pPr>
      <w:r>
        <w:rPr>
          <w:b/>
          <w:color w:val="003D7A"/>
          <w:sz w:val="26"/>
        </w:rPr>
        <w:t>3.1 AI 技术 — 数据抽取</w:t>
      </w:r>
    </w:p>
    <w:p w14:paraId="36CCF6B9">
      <w:pPr>
        <w:spacing w:after="60"/>
        <w:ind w:left="360"/>
      </w:pPr>
      <w:r>
        <w:rPr>
          <w:color w:val="222222"/>
          <w:sz w:val="20"/>
        </w:rPr>
        <w:t>• 用于从文档 / 视觉数据中抽取数据的 AI 技术与算法（OCR + 版面 + 字段抽取）</w:t>
      </w:r>
    </w:p>
    <w:tbl>
      <w:tblPr>
        <w:tblStyle w:val="32"/>
        <w:tblW w:w="0" w:type="auto"/>
        <w:jc w:val="center"/>
        <w:tblLayout w:type="fixed"/>
        <w:tblCellMar>
          <w:top w:w="0" w:type="dxa"/>
          <w:left w:w="108" w:type="dxa"/>
          <w:bottom w:w="0" w:type="dxa"/>
          <w:right w:w="108" w:type="dxa"/>
        </w:tblCellMar>
      </w:tblPr>
      <w:tblGrid>
        <w:gridCol w:w="10200"/>
      </w:tblGrid>
      <w:tr w14:paraId="5B035E94">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19F0A2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rFonts w:hint="default" w:eastAsia="宋体" w:cs="宋体" w:asciiTheme="minorAscii" w:hAnsiTheme="minorAscii"/>
                <w:sz w:val="21"/>
                <w:szCs w:val="21"/>
              </w:rPr>
              <w:t>采用版面感知 OCR + 关键字段抽取模型 + 多模态文本定位技术。</w:t>
            </w:r>
          </w:p>
          <w:p w14:paraId="0CEEAF8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color w:val="222222"/>
                <w:sz w:val="21"/>
                <w:szCs w:val="21"/>
              </w:rPr>
              <w:t>• 识别并结构化护照、身份证明表格、雇佣合约、银行结单及其他附件中的非结构化内容。</w:t>
            </w:r>
            <w:r>
              <w:rPr>
                <w:rFonts w:hint="default" w:eastAsia="宋体" w:cs="宋体" w:asciiTheme="minorAscii" w:hAnsiTheme="minorAscii"/>
                <w:sz w:val="21"/>
                <w:szCs w:val="21"/>
              </w:rPr>
              <w:t xml:space="preserve"/>
            </w:r>
          </w:p>
          <w:p w14:paraId="43574AE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color w:val="222222"/>
                <w:sz w:val="21"/>
                <w:szCs w:val="21"/>
              </w:rPr>
              <w:t>• 支持倾斜文档校正、水印去除、印章区域检测和模糊文本增强。</w:t>
            </w:r>
            <w:r>
              <w:rPr>
                <w:rFonts w:hint="default" w:eastAsia="宋体" w:cs="宋体" w:asciiTheme="minorAscii" w:hAnsiTheme="minorAscii"/>
                <w:sz w:val="21"/>
                <w:szCs w:val="21"/>
              </w:rPr>
              <w:t xml:space="preserve"/>
            </w:r>
          </w:p>
          <w:p w14:paraId="7B58C1E5">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color w:val="222222"/>
                <w:sz w:val="21"/>
                <w:szCs w:val="21"/>
              </w:rPr>
              <w:t>• 通过固定字段定位逻辑，抽取姓名、护照号码、薪资金额、合约期限、雇主信息和个人身份等标准关键字段。</w:t>
            </w:r>
            <w:r>
              <w:rPr>
                <w:rFonts w:hint="default" w:eastAsia="宋体" w:cs="宋体" w:asciiTheme="minorAscii" w:hAnsiTheme="minorAscii"/>
                <w:sz w:val="21"/>
                <w:szCs w:val="21"/>
              </w:rPr>
              <w:t xml:space="preserve"/>
            </w:r>
          </w:p>
        </w:tc>
      </w:tr>
    </w:tbl>
    <w:p w14:paraId="4AC21ACF"/>
    <w:p w14:paraId="0D60BDE9">
      <w:pPr>
        <w:spacing w:before="280" w:after="80"/>
      </w:pPr>
      <w:r>
        <w:rPr>
          <w:b/>
          <w:color w:val="003D7A"/>
          <w:sz w:val="26"/>
        </w:rPr>
        <w:t>3.2 AI 技术 — 交叉核验</w:t>
      </w:r>
    </w:p>
    <w:p w14:paraId="668039CC">
      <w:pPr>
        <w:spacing w:after="60"/>
        <w:ind w:left="360"/>
      </w:pPr>
      <w:r>
        <w:rPr>
          <w:color w:val="222222"/>
          <w:sz w:val="20"/>
        </w:rPr>
        <w:t>• 用于将抽取数据与其他结构化数据进行交叉核验的 AI 技术与算法（规则引擎 + LLM）</w:t>
      </w:r>
    </w:p>
    <w:p w14:paraId="7CE36494">
      <w:pPr>
        <w:spacing w:after="60"/>
        <w:ind w:left="360"/>
      </w:pPr>
      <w:r>
        <w:rPr>
          <w:color w:val="222222"/>
          <w:sz w:val="20"/>
        </w:rPr>
        <w:t>• FDH 示例：护照姓名 ↔ ID 988A ↔ 银行结单姓名；薪资 ≥ HKD 4,990；24 个月合约；雇主为个人</w:t>
      </w:r>
    </w:p>
    <w:tbl>
      <w:tblPr>
        <w:tblStyle w:val="32"/>
        <w:tblW w:w="0" w:type="auto"/>
        <w:jc w:val="center"/>
        <w:tblLayout w:type="fixed"/>
        <w:tblCellMar>
          <w:top w:w="0" w:type="dxa"/>
          <w:left w:w="108" w:type="dxa"/>
          <w:bottom w:w="0" w:type="dxa"/>
          <w:right w:w="108" w:type="dxa"/>
        </w:tblCellMar>
      </w:tblPr>
      <w:tblGrid>
        <w:gridCol w:w="10200"/>
      </w:tblGrid>
      <w:tr w14:paraId="06C83CC7">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625D0432">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rFonts w:hint="default" w:eastAsia="宋体" w:cs="宋体" w:asciiTheme="minorAscii" w:hAnsiTheme="minorAscii"/>
                <w:sz w:val="21"/>
                <w:szCs w:val="21"/>
              </w:rPr>
              <w:t>采用规则引擎 + LLM 语义交叉核验 + 业务约束匹配。</w:t>
            </w:r>
          </w:p>
          <w:p w14:paraId="1D9ABA4B">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color w:val="222222"/>
                <w:sz w:val="21"/>
                <w:szCs w:val="21"/>
              </w:rPr>
              <w:t>• 自动将抽取的文档字段与申请人提供的结构化申请表数据进行交叉引用。</w:t>
            </w:r>
            <w:r>
              <w:rPr>
                <w:rFonts w:hint="default" w:eastAsia="宋体" w:cs="宋体" w:asciiTheme="minorAscii" w:hAnsiTheme="minorAscii"/>
                <w:sz w:val="21"/>
                <w:szCs w:val="21"/>
              </w:rPr>
              <w:t xml:space="preserve"/>
            </w:r>
          </w:p>
          <w:p w14:paraId="1EA2634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color w:val="222222"/>
                <w:sz w:val="21"/>
                <w:szCs w:val="21"/>
              </w:rPr>
              <w:t>• 使用 LLM 对姓名、身份信息和地址描述进行语义一致性核验。</w:t>
            </w:r>
            <w:r>
              <w:rPr>
                <w:rFonts w:hint="default" w:eastAsia="宋体" w:cs="宋体" w:asciiTheme="minorAscii" w:hAnsiTheme="minorAscii"/>
                <w:sz w:val="21"/>
                <w:szCs w:val="21"/>
              </w:rPr>
              <w:t xml:space="preserve"/>
            </w:r>
          </w:p>
          <w:p w14:paraId="0DE0E804">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color w:val="222222"/>
                <w:sz w:val="21"/>
                <w:szCs w:val="21"/>
              </w:rPr>
              <w:t>• 内置 ImmD FDH 业务规则：最低薪资、24 个月有效雇佣合约、个人雇主资格检查及其他约束逻辑。</w:t>
            </w:r>
            <w:r>
              <w:rPr>
                <w:rFonts w:hint="default" w:eastAsia="宋体" w:cs="宋体" w:asciiTheme="minorAscii" w:hAnsiTheme="minorAscii"/>
                <w:sz w:val="21"/>
                <w:szCs w:val="21"/>
              </w:rPr>
              <w:t xml:space="preserve"/>
            </w:r>
          </w:p>
          <w:p w14:paraId="731AA217">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color w:val="222222"/>
                <w:sz w:val="21"/>
                <w:szCs w:val="21"/>
              </w:rPr>
              <w:t>• 自动识别数据不一致、字段缺失、逻辑冲突和不合规业务内容。</w:t>
            </w:r>
            <w:r>
              <w:rPr>
                <w:rFonts w:hint="default" w:eastAsia="宋体" w:cs="宋体" w:asciiTheme="minorAscii" w:hAnsiTheme="minorAscii"/>
                <w:sz w:val="21"/>
                <w:szCs w:val="21"/>
              </w:rPr>
              <w:t xml:space="preserve"/>
            </w:r>
          </w:p>
        </w:tc>
      </w:tr>
    </w:tbl>
    <w:p w14:paraId="14B36D13"/>
    <w:p w14:paraId="5E37F7F1">
      <w:pPr>
        <w:spacing w:before="280" w:after="80"/>
      </w:pPr>
      <w:r>
        <w:rPr>
          <w:b/>
          <w:color w:val="003D7A"/>
          <w:sz w:val="26"/>
        </w:rPr>
        <w:t>3.3 端到端技术设计</w:t>
      </w:r>
    </w:p>
    <w:p w14:paraId="77B8EA63">
      <w:pPr>
        <w:spacing w:after="60"/>
        <w:ind w:left="360"/>
      </w:pPr>
      <w:r>
        <w:rPr>
          <w:color w:val="222222"/>
          <w:sz w:val="20"/>
        </w:rPr>
        <w:t>• 抽取 → 比对 → 验证 → 异常检测 → 结果交付</w:t>
      </w:r>
    </w:p>
    <w:p w14:paraId="1579F5EA">
      <w:pPr>
        <w:spacing w:after="60"/>
        <w:ind w:left="360"/>
      </w:pPr>
      <w:r>
        <w:rPr>
          <w:color w:val="222222"/>
          <w:sz w:val="20"/>
        </w:rPr>
        <w:t>• 在 Cross-Check Report PDF 中裁剪 / 高亮问题区域</w:t>
      </w:r>
    </w:p>
    <w:tbl>
      <w:tblPr>
        <w:tblStyle w:val="32"/>
        <w:tblW w:w="0" w:type="auto"/>
        <w:jc w:val="center"/>
        <w:tblLayout w:type="fixed"/>
        <w:tblCellMar>
          <w:top w:w="0" w:type="dxa"/>
          <w:left w:w="108" w:type="dxa"/>
          <w:bottom w:w="0" w:type="dxa"/>
          <w:right w:w="108" w:type="dxa"/>
        </w:tblCellMar>
      </w:tblPr>
      <w:tblGrid>
        <w:gridCol w:w="10200"/>
      </w:tblGrid>
      <w:tr w14:paraId="2CCBBECB">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5A499DB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 xml:space="preserve">全流程工作流：</w:t>
            </w:r>
          </w:p>
          <w:p w14:paraId="3068AFB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heme="minorAscii" w:hAnsiTheme="minorAscii"/>
                <w:sz w:val="21"/>
                <w:szCs w:val="21"/>
              </w:rPr>
            </w:pPr>
            <w:r>
              <w:rPr>
                <w:rStyle w:val="135"/>
                <w:rFonts w:hint="default" w:eastAsia="宋体" w:cs="宋体" w:asciiTheme="minorAscii" w:hAnsiTheme="minorAscii"/>
                <w:kern w:val="0"/>
                <w:sz w:val="21"/>
                <w:szCs w:val="21"/>
                <w:lang w:val="en-US" w:eastAsia="zh-CN" w:bidi="ar"/>
              </w:rPr>
              <w:t>非结构化文件输入 → 预处理与图像增强 → OCR 版面分析 → 关键字段智能抽取 → 与结构化申请数据交叉引用 → 逻辑与业务规则核验 → 异常与不一致检测 → 在原始文档上裁剪并高亮问题区域 → 生成 Cross-Check Report → 导出统计数据 → API 结果交付</w:t>
            </w:r>
          </w:p>
          <w:p w14:paraId="1BECBFD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所有检测到的异常字段和模糊印章区域将在原文件快照中框选并高亮，嵌入输出 PDF 报告供人员目视确认。</w:t>
            </w:r>
          </w:p>
        </w:tc>
      </w:tr>
    </w:tbl>
    <w:p w14:paraId="49BB22A6"/>
    <w:p w14:paraId="68499000">
      <w:pPr>
        <w:spacing w:before="280" w:after="80"/>
      </w:pPr>
      <w:r>
        <w:rPr>
          <w:b/>
          <w:color w:val="003D7A"/>
          <w:sz w:val="26"/>
        </w:rPr>
        <w:t>3.4 准确率与计算方法（请提出）</w:t>
      </w:r>
    </w:p>
    <w:p w14:paraId="0FC6756D">
      <w:pPr>
        <w:spacing w:after="120"/>
      </w:pPr>
      <w:r>
        <w:rPr>
          <w:i/>
          <w:color w:val="222222"/>
          <w:sz w:val="20"/>
        </w:rPr>
        <w:t>请完成：(a) 承诺准确率 % (b) 准确率定义（例如字符 / 单词 / 字段 / 业务级）(c) 测量方法（测试集规模、Precision / Recall / F1 等指标）。请填写：(a) 承诺准确率 % (b) 准确率定义 (c) 测量方法。</w:t>
      </w:r>
    </w:p>
    <w:tbl>
      <w:tblPr>
        <w:tblStyle w:val="32"/>
        <w:tblW w:w="0" w:type="auto"/>
        <w:jc w:val="center"/>
        <w:tblLayout w:type="fixed"/>
        <w:tblCellMar>
          <w:top w:w="0" w:type="dxa"/>
          <w:left w:w="108" w:type="dxa"/>
          <w:bottom w:w="0" w:type="dxa"/>
          <w:right w:w="108" w:type="dxa"/>
        </w:tblCellMar>
      </w:tblPr>
      <w:tblGrid>
        <w:gridCol w:w="2550"/>
        <w:gridCol w:w="2550"/>
        <w:gridCol w:w="2550"/>
        <w:gridCol w:w="2550"/>
      </w:tblGrid>
      <w:tr w14:paraId="216F32C0">
        <w:tblPrEx>
          <w:tblCellMar>
            <w:top w:w="0" w:type="dxa"/>
            <w:left w:w="108" w:type="dxa"/>
            <w:bottom w:w="0" w:type="dxa"/>
            <w:right w:w="108" w:type="dxa"/>
          </w:tblCellMar>
        </w:tblPrEx>
        <w:trPr>
          <w:trHeight w:val="576" w:hRule="atLeast"/>
          <w:jc w:val="center"/>
        </w:trPr>
        <w:tc>
          <w:tcPr>
            <w:tcW w:w="2550" w:type="dxa"/>
            <w:shd w:val="clear" w:color="auto" w:fill="003D7A"/>
            <w:vAlign w:val="center"/>
          </w:tcPr>
          <w:p w14:paraId="52E7A0C6">
            <w:r>
              <w:rPr>
                <w:b/>
                <w:color w:val="FFFFFF"/>
                <w:sz w:val="20"/>
              </w:rPr>
              <w:t>AI 功能</w:t>
            </w:r>
          </w:p>
        </w:tc>
        <w:tc>
          <w:tcPr>
            <w:tcW w:w="2550" w:type="dxa"/>
            <w:shd w:val="clear" w:color="auto" w:fill="003D7A"/>
            <w:vAlign w:val="center"/>
          </w:tcPr>
          <w:p w14:paraId="553CD941">
            <w:r>
              <w:rPr>
                <w:b/>
                <w:color w:val="FFFFFF"/>
                <w:sz w:val="20"/>
              </w:rPr>
              <w:t>承诺准确率（%）</w:t>
            </w:r>
          </w:p>
        </w:tc>
        <w:tc>
          <w:tcPr>
            <w:tcW w:w="2550" w:type="dxa"/>
            <w:shd w:val="clear" w:color="auto" w:fill="003D7A"/>
            <w:vAlign w:val="center"/>
          </w:tcPr>
          <w:p w14:paraId="2E03F4D0">
            <w:r>
              <w:rPr>
                <w:b/>
                <w:color w:val="FFFFFF"/>
                <w:sz w:val="20"/>
              </w:rPr>
              <w:t>准确率定义</w:t>
            </w:r>
          </w:p>
        </w:tc>
        <w:tc>
          <w:tcPr>
            <w:tcW w:w="2550" w:type="dxa"/>
            <w:shd w:val="clear" w:color="auto" w:fill="003D7A"/>
            <w:vAlign w:val="center"/>
          </w:tcPr>
          <w:p w14:paraId="208DA6EE">
            <w:r>
              <w:rPr>
                <w:b/>
                <w:color w:val="FFFFFF"/>
                <w:sz w:val="20"/>
              </w:rPr>
              <w:t>测量方法</w:t>
            </w:r>
          </w:p>
        </w:tc>
      </w:tr>
      <w:tr w14:paraId="02D80D67">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1D66CDD6">
            <w:r>
              <w:rPr>
                <w:b/>
                <w:color w:val="222222"/>
                <w:sz w:val="20"/>
              </w:rPr>
              <w:t>智能数据核验</w:t>
            </w:r>
          </w:p>
        </w:tc>
        <w:tc>
          <w:tcPr>
            <w:tcW w:w="2550" w:type="dxa"/>
            <w:tcBorders>
              <w:top w:val="single" w:color="888888" w:sz="6" w:space="0"/>
              <w:left w:val="single" w:color="888888" w:sz="6" w:space="0"/>
              <w:bottom w:val="single" w:color="888888" w:sz="6" w:space="0"/>
              <w:right w:val="single" w:color="888888" w:sz="6" w:space="0"/>
            </w:tcBorders>
            <w:vAlign w:val="top"/>
          </w:tcPr>
          <w:p w14:paraId="545F30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≥90%</w:t>
            </w:r>
            <w:r>
              <w:rPr>
                <w:rFonts w:hint="eastAsia" w:eastAsia="宋体" w:cs="宋体" w:asciiTheme="minorAscii" w:hAnsiTheme="minorAscii"/>
                <w:kern w:val="0"/>
                <w:sz w:val="21"/>
                <w:szCs w:val="21"/>
                <w:lang w:val="en-US" w:eastAsia="zh-CN" w:bidi="ar"/>
              </w:rPr>
              <w:t/>
            </w:r>
            <w:r>
              <w:rPr>
                <w:rFonts w:hint="default" w:eastAsia="宋体" w:cs="宋体" w:asciiTheme="minorAscii" w:hAnsiTheme="minorAscii"/>
                <w:kern w:val="0"/>
                <w:sz w:val="21"/>
                <w:szCs w:val="21"/>
                <w:lang w:val="en-US" w:eastAsia="zh-CN" w:bidi="ar"/>
              </w:rPr>
              <w:t/>
            </w:r>
          </w:p>
        </w:tc>
        <w:tc>
          <w:tcPr>
            <w:tcW w:w="2550" w:type="dxa"/>
            <w:tcBorders>
              <w:top w:val="single" w:color="888888" w:sz="6" w:space="0"/>
              <w:left w:val="single" w:color="888888" w:sz="6" w:space="0"/>
              <w:bottom w:val="single" w:color="888888" w:sz="6" w:space="0"/>
              <w:right w:val="single" w:color="888888" w:sz="6" w:space="0"/>
            </w:tcBorders>
            <w:vAlign w:val="top"/>
          </w:tcPr>
          <w:p w14:paraId="033124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字段级抽取准确率 + 业务级交叉核验合规准确率</w:t>
            </w:r>
          </w:p>
        </w:tc>
        <w:tc>
          <w:tcPr>
            <w:tcW w:w="2550" w:type="dxa"/>
            <w:tcBorders>
              <w:top w:val="single" w:color="888888" w:sz="6" w:space="0"/>
              <w:left w:val="single" w:color="888888" w:sz="6" w:space="0"/>
              <w:bottom w:val="single" w:color="888888" w:sz="6" w:space="0"/>
              <w:right w:val="single" w:color="888888" w:sz="6" w:space="0"/>
            </w:tcBorders>
            <w:vAlign w:val="top"/>
          </w:tcPr>
          <w:p w14:paraId="0A577D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测试集覆盖全部字段类型和异常样本（超过 5,000 个 case）；指标包括字段抽取准确率、不一致检测召回率和误报率控制。</w:t>
            </w:r>
          </w:p>
        </w:tc>
      </w:tr>
    </w:tbl>
    <w:p w14:paraId="3B01446F"/>
    <w:p w14:paraId="440307CB">
      <w:r>
        <w:br w:type="page"/>
      </w:r>
    </w:p>
    <w:p w14:paraId="4E550B5D">
      <w:pPr>
        <w:spacing w:before="440" w:after="80"/>
      </w:pPr>
      <w:r>
        <w:rPr>
          <w:b/>
          <w:color w:val="003D7A"/>
          <w:sz w:val="32"/>
        </w:rPr>
        <w:t>4. 智能 Minutes 草拟（Intelligent Minutes Drafting）</w:t>
      </w:r>
    </w:p>
    <w:p w14:paraId="0DFCC93E">
      <w:pPr>
        <w:spacing w:after="80"/>
      </w:pPr>
      <w:r>
        <w:rPr>
          <w:i/>
          <w:color w:val="555555"/>
          <w:sz w:val="19"/>
        </w:rPr>
        <w:t>[ Annex I Table 1 — Minutes 草拟 · RFI 4.2.3 ]</w:t>
      </w:r>
    </w:p>
    <w:tbl>
      <w:tblPr>
        <w:tblStyle w:val="32"/>
        <w:tblW w:w="0" w:type="auto"/>
        <w:jc w:val="center"/>
        <w:tblLayout w:type="fixed"/>
        <w:tblCellMar>
          <w:top w:w="0" w:type="dxa"/>
          <w:left w:w="108" w:type="dxa"/>
          <w:bottom w:w="0" w:type="dxa"/>
          <w:right w:w="108" w:type="dxa"/>
        </w:tblCellMar>
      </w:tblPr>
      <w:tblGrid>
        <w:gridCol w:w="10200"/>
      </w:tblGrid>
      <w:tr w14:paraId="36F91DDC">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58EA2D71">
            <w:pPr>
              <w:spacing w:after="80"/>
            </w:pPr>
            <w:r>
              <w:rPr>
                <w:b/>
                <w:color w:val="003D7A"/>
                <w:sz w:val="18"/>
              </w:rPr>
              <w:t>Annex I Table 1 — 原文（英文）：</w:t>
            </w:r>
          </w:p>
          <w:p w14:paraId="6D02323F">
            <w:pPr>
              <w:spacing w:after="40"/>
            </w:pPr>
            <w:r>
              <w:rPr>
                <w:i/>
                <w:color w:val="333333"/>
                <w:sz w:val="19"/>
              </w:rPr>
              <w:t>智能 Minutes 草拟</w:t>
            </w:r>
          </w:p>
          <w:p w14:paraId="6EE6C2B2">
            <w:pPr>
              <w:spacing w:after="40"/>
            </w:pPr>
            <w:r>
              <w:rPr>
                <w:i/>
                <w:color w:val="333333"/>
                <w:sz w:val="19"/>
              </w:rPr>
              <w:t>• 描述根据 case 性质和上下文，协助选择最合适 minutes 模板的 AI 技术和算法；</w:t>
            </w:r>
          </w:p>
          <w:p w14:paraId="3ABCACDE">
            <w:pPr>
              <w:spacing w:after="40"/>
            </w:pPr>
            <w:r>
              <w:rPr>
                <w:i/>
                <w:color w:val="333333"/>
                <w:sz w:val="19"/>
              </w:rPr>
              <w:t>• 描述用于将从结构化数据中抽取的相关信息自动填入所选模板的 AI 技术和算法；</w:t>
            </w:r>
          </w:p>
          <w:p w14:paraId="7A6051BE">
            <w:pPr>
              <w:spacing w:after="40"/>
            </w:pPr>
            <w:r>
              <w:rPr>
                <w:i/>
                <w:color w:val="333333"/>
                <w:sz w:val="19"/>
              </w:rPr>
              <w:t>• 描述拟议方案，说明从模板选择、信息抽取、自动填充到核验的端到端流程，目标是在确保准确性和一致性的同时减少人工工作量。</w:t>
            </w:r>
          </w:p>
        </w:tc>
      </w:tr>
      <w:tr w14:paraId="08A68625">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40A0781A">
            <w:pPr>
              <w:spacing w:after="80"/>
            </w:pPr>
            <w:r>
              <w:rPr>
                <w:b/>
                <w:color w:val="3A5A00"/>
                <w:sz w:val="18"/>
              </w:rPr>
              <w:t>中文解释（CMHK 参考）：</w:t>
            </w:r>
          </w:p>
          <w:p w14:paraId="1C80C6B0">
            <w:pPr>
              <w:spacing w:after="40"/>
            </w:pPr>
            <w:r>
              <w:rPr>
                <w:i/>
                <w:color w:val="333333"/>
                <w:sz w:val="19"/>
              </w:rPr>
              <w:t>智能 Minutes 草拟</w:t>
            </w:r>
          </w:p>
          <w:p w14:paraId="616256A6">
            <w:pPr>
              <w:spacing w:after="40"/>
            </w:pPr>
            <w:r>
              <w:rPr>
                <w:i/>
                <w:color w:val="333333"/>
                <w:sz w:val="19"/>
              </w:rPr>
              <w:t>• 描述根据 case 性质与情境协助选择最适合 Minutes 模板之 AI 技术与算法</w:t>
            </w:r>
          </w:p>
          <w:p w14:paraId="7D7118D5">
            <w:pPr>
              <w:spacing w:after="40"/>
            </w:pPr>
            <w:r>
              <w:rPr>
                <w:i/>
                <w:color w:val="333333"/>
                <w:sz w:val="19"/>
              </w:rPr>
              <w:t>• 描述自动将结构化资料填入所选模板之 AI 技术与算法</w:t>
            </w:r>
          </w:p>
          <w:p w14:paraId="3B88D02E">
            <w:pPr>
              <w:spacing w:after="40"/>
            </w:pPr>
            <w:r>
              <w:rPr>
                <w:i/>
                <w:color w:val="333333"/>
                <w:sz w:val="19"/>
              </w:rPr>
              <w:t>• 描述方案端到端流程（模板选择 → 抽取 → 自动填入 → 验证），目标在减少人工同时确保准确性与一致性</w:t>
            </w:r>
          </w:p>
        </w:tc>
      </w:tr>
    </w:tbl>
    <w:p w14:paraId="588F571F"/>
    <w:tbl>
      <w:tblPr>
        <w:tblStyle w:val="32"/>
        <w:tblW w:w="0" w:type="auto"/>
        <w:jc w:val="center"/>
        <w:tblLayout w:type="fixed"/>
        <w:tblCellMar>
          <w:top w:w="0" w:type="dxa"/>
          <w:left w:w="108" w:type="dxa"/>
          <w:bottom w:w="0" w:type="dxa"/>
          <w:right w:w="108" w:type="dxa"/>
        </w:tblCellMar>
      </w:tblPr>
      <w:tblGrid>
        <w:gridCol w:w="10200"/>
      </w:tblGrid>
      <w:tr w14:paraId="1E2008ED">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21FA89DF">
            <w:pPr>
              <w:spacing w:after="80"/>
            </w:pPr>
            <w:r>
              <w:rPr>
                <w:b/>
                <w:color w:val="003D7A"/>
                <w:sz w:val="18"/>
              </w:rPr>
              <w:t>RFI 4.2.3 — 原文（英文）：</w:t>
            </w:r>
          </w:p>
          <w:p w14:paraId="1AF49521">
            <w:pPr>
              <w:spacing w:after="40"/>
            </w:pPr>
            <w:r>
              <w:rPr>
                <w:i/>
                <w:color w:val="333333"/>
                <w:sz w:val="19"/>
              </w:rPr>
              <w:t>4.2.3 智能 Minutes 草拟</w:t>
            </w:r>
          </w:p>
          <w:p w14:paraId="5FD5B72F">
            <w:pPr>
              <w:spacing w:after="40"/>
            </w:pPr>
            <w:r>
              <w:rPr>
                <w:i/>
                <w:color w:val="333333"/>
                <w:sz w:val="19"/>
              </w:rPr>
              <w:t>4.2.3.1 应能基于 minutes 模板（DOCX 格式）生成 minutes 草稿</w:t>
            </w:r>
          </w:p>
          <w:p w14:paraId="34C01B5E">
            <w:pPr>
              <w:spacing w:after="40"/>
            </w:pPr>
            <w:r>
              <w:rPr>
                <w:i/>
                <w:color w:val="333333"/>
                <w:sz w:val="19"/>
              </w:rPr>
              <w:t>4.2.3.2 应能根据结构化数据、上述 4.2.1 和 4.2.2 功能的结果以及业务 / 工作流逻辑生成 minutes。</w:t>
            </w:r>
          </w:p>
          <w:p w14:paraId="64262557">
            <w:pPr>
              <w:spacing w:after="40"/>
            </w:pPr>
            <w:r>
              <w:rPr>
                <w:i/>
                <w:color w:val="333333"/>
                <w:sz w:val="19"/>
              </w:rPr>
              <w:t>4.2.3.3 应生成并导出相关统计数据和报告</w:t>
            </w:r>
          </w:p>
        </w:tc>
      </w:tr>
      <w:tr w14:paraId="7E65A75E">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26EC7462">
            <w:pPr>
              <w:spacing w:after="80"/>
            </w:pPr>
            <w:r>
              <w:rPr>
                <w:b/>
                <w:color w:val="3A5A00"/>
                <w:sz w:val="18"/>
              </w:rPr>
              <w:t>中文解释（CMHK 参考）：</w:t>
            </w:r>
          </w:p>
          <w:p w14:paraId="0E3382B6">
            <w:pPr>
              <w:spacing w:after="40"/>
            </w:pPr>
            <w:r>
              <w:rPr>
                <w:i/>
                <w:color w:val="333333"/>
                <w:sz w:val="19"/>
              </w:rPr>
              <w:t>4.2.3 智能 Minutes 草拟</w:t>
            </w:r>
          </w:p>
          <w:p w14:paraId="251FCAD8">
            <w:pPr>
              <w:spacing w:after="40"/>
            </w:pPr>
            <w:r>
              <w:rPr>
                <w:i/>
                <w:color w:val="333333"/>
                <w:sz w:val="19"/>
              </w:rPr>
              <w:t>4.2.3.1 应能基于 Minutes 模板（DOCX 格式）生成 Minutes 草稿</w:t>
            </w:r>
          </w:p>
          <w:p w14:paraId="37147E3F">
            <w:pPr>
              <w:spacing w:after="40"/>
            </w:pPr>
            <w:r>
              <w:rPr>
                <w:i/>
                <w:color w:val="333333"/>
                <w:sz w:val="19"/>
              </w:rPr>
              <w:t>4.2.3.2 应能根据结构化资料、4.2.1 与 4.2.2 之结果，以及业务 / 工作流逻辑生成 Minutes</w:t>
            </w:r>
          </w:p>
          <w:p w14:paraId="209CBCE3">
            <w:pPr>
              <w:spacing w:after="40"/>
            </w:pPr>
            <w:r>
              <w:rPr>
                <w:i/>
                <w:color w:val="333333"/>
                <w:sz w:val="19"/>
              </w:rPr>
              <w:t>4.2.3.3 应生成并导出相关统计资料与报表</w:t>
            </w:r>
          </w:p>
        </w:tc>
      </w:tr>
    </w:tbl>
    <w:p w14:paraId="7B39A272"/>
    <w:p w14:paraId="450E7749">
      <w:pPr>
        <w:spacing w:before="280" w:after="80"/>
      </w:pPr>
      <w:r>
        <w:rPr>
          <w:b/>
          <w:color w:val="003D7A"/>
          <w:sz w:val="26"/>
        </w:rPr>
        <w:t>4.1 AI 技术 — 模板选择</w:t>
      </w:r>
    </w:p>
    <w:p w14:paraId="3EF7BCFE">
      <w:pPr>
        <w:spacing w:after="60"/>
        <w:ind w:left="360"/>
      </w:pPr>
      <w:r>
        <w:rPr>
          <w:color w:val="222222"/>
          <w:sz w:val="20"/>
        </w:rPr>
        <w:t>• 根据 case 性质和上下文选择最合适 minutes 模板的 AI 技术</w:t>
      </w:r>
    </w:p>
    <w:tbl>
      <w:tblPr>
        <w:tblStyle w:val="32"/>
        <w:tblW w:w="0" w:type="auto"/>
        <w:jc w:val="center"/>
        <w:tblLayout w:type="fixed"/>
        <w:tblCellMar>
          <w:top w:w="0" w:type="dxa"/>
          <w:left w:w="108" w:type="dxa"/>
          <w:bottom w:w="0" w:type="dxa"/>
          <w:right w:w="108" w:type="dxa"/>
        </w:tblCellMar>
      </w:tblPr>
      <w:tblGrid>
        <w:gridCol w:w="10200"/>
      </w:tblGrid>
      <w:tr w14:paraId="2A51046A">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6DBB3235">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rFonts w:hint="default" w:eastAsia="宋体" w:cs="宋体" w:asciiTheme="minorAscii" w:hAnsiTheme="minorAscii"/>
                <w:sz w:val="21"/>
                <w:szCs w:val="21"/>
              </w:rPr>
              <w:t>采用文本语义向量化 + RAG 匹配 + LLM 场景分类技术。</w:t>
            </w:r>
          </w:p>
          <w:p w14:paraId="4C582D5B">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rPr>
            </w:pPr>
            <w:r>
              <w:rPr>
                <w:color w:val="222222"/>
                <w:sz w:val="21"/>
                <w:szCs w:val="21"/>
              </w:rPr>
              <w:t>• 建立按签证申请类型和 case 场景分类的 DOCX 格式 minutes 模板库。</w:t>
            </w:r>
            <w:r>
              <w:rPr>
                <w:rFonts w:hint="eastAsia" w:eastAsia="宋体"/>
                <w:color w:val="222222"/>
                <w:sz w:val="21"/>
                <w:szCs w:val="21"/>
                <w:lang w:val="en-US" w:eastAsia="zh-CN"/>
              </w:rPr>
              <w:t xml:space="preserve"/>
            </w:r>
            <w:r>
              <w:rPr>
                <w:rFonts w:hint="default" w:eastAsia="宋体" w:cs="宋体" w:asciiTheme="minorAscii" w:hAnsiTheme="minorAscii"/>
                <w:sz w:val="21"/>
                <w:szCs w:val="21"/>
              </w:rPr>
              <w:t/>
            </w:r>
          </w:p>
          <w:p w14:paraId="7689CD5D">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rPr>
            </w:pPr>
            <w:r>
              <w:rPr>
                <w:color w:val="222222"/>
                <w:sz w:val="21"/>
                <w:szCs w:val="21"/>
              </w:rPr>
              <w:t>• 将 case 基本信息、申请类型和核验结果摘要转换为向量 embedding。</w:t>
            </w:r>
            <w:r>
              <w:rPr>
                <w:rFonts w:hint="default" w:eastAsia="宋体" w:cs="宋体" w:asciiTheme="minorAscii" w:hAnsiTheme="minorAscii"/>
                <w:sz w:val="21"/>
                <w:szCs w:val="21"/>
              </w:rPr>
              <w:t xml:space="preserve"/>
            </w:r>
          </w:p>
          <w:p w14:paraId="0F63E1FF">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rPr>
            </w:pPr>
            <w:r>
              <w:rPr>
                <w:color w:val="222222"/>
                <w:sz w:val="21"/>
                <w:szCs w:val="21"/>
              </w:rPr>
              <w:t>• 使用 RAG 语义匹配，根据 case 性质和业务上下文自动选择最匹配的 minutes 模板。</w:t>
            </w:r>
            <w:r>
              <w:rPr>
                <w:rFonts w:hint="default" w:eastAsia="宋体" w:cs="宋体" w:asciiTheme="minorAscii" w:hAnsiTheme="minorAscii"/>
                <w:sz w:val="21"/>
                <w:szCs w:val="21"/>
              </w:rPr>
              <w:t xml:space="preserve"/>
            </w:r>
          </w:p>
          <w:p w14:paraId="15D67E56">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rPr>
                <w:rFonts w:hint="default" w:asciiTheme="minorAscii" w:hAnsiTheme="minorAscii"/>
                <w:sz w:val="21"/>
                <w:szCs w:val="21"/>
              </w:rPr>
            </w:pPr>
            <w:r>
              <w:rPr>
                <w:color w:val="222222"/>
                <w:sz w:val="21"/>
                <w:szCs w:val="21"/>
              </w:rPr>
              <w:t>• 支持 case officer 手动覆盖模板选择，同时默认保留自动选择。</w:t>
            </w:r>
            <w:r>
              <w:rPr>
                <w:rFonts w:hint="default" w:eastAsia="宋体" w:cs="宋体" w:asciiTheme="minorAscii" w:hAnsiTheme="minorAscii"/>
                <w:sz w:val="21"/>
                <w:szCs w:val="21"/>
              </w:rPr>
              <w:t xml:space="preserve"/>
            </w:r>
          </w:p>
        </w:tc>
      </w:tr>
    </w:tbl>
    <w:p w14:paraId="5B914D2F"/>
    <w:p w14:paraId="661EEBC3">
      <w:pPr>
        <w:spacing w:before="280" w:after="80"/>
      </w:pPr>
      <w:r>
        <w:rPr>
          <w:b/>
          <w:color w:val="003D7A"/>
          <w:sz w:val="26"/>
        </w:rPr>
        <w:t>4.2 AI 技术 — 自动填充</w:t>
      </w:r>
    </w:p>
    <w:p w14:paraId="433A28EB">
      <w:pPr>
        <w:spacing w:after="60"/>
        <w:ind w:left="360"/>
      </w:pPr>
      <w:r>
        <w:rPr>
          <w:color w:val="222222"/>
          <w:sz w:val="20"/>
        </w:rPr>
        <w:t>• 用于将抽取的结构化数据自动填充至模板的 AI 技术（LLM + 模板渲染 + RAG）</w:t>
      </w:r>
    </w:p>
    <w:tbl>
      <w:tblPr>
        <w:tblStyle w:val="32"/>
        <w:tblW w:w="0" w:type="auto"/>
        <w:jc w:val="center"/>
        <w:tblLayout w:type="fixed"/>
        <w:tblCellMar>
          <w:top w:w="0" w:type="dxa"/>
          <w:left w:w="108" w:type="dxa"/>
          <w:bottom w:w="0" w:type="dxa"/>
          <w:right w:w="108" w:type="dxa"/>
        </w:tblCellMar>
      </w:tblPr>
      <w:tblGrid>
        <w:gridCol w:w="10200"/>
      </w:tblGrid>
      <w:tr w14:paraId="0790E847">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07BF8F1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rPr>
            </w:pPr>
            <w:r>
              <w:rPr>
                <w:rFonts w:hint="default" w:eastAsia="宋体" w:cs="宋体" w:asciiTheme="minorAscii" w:hAnsiTheme="minorAscii"/>
                <w:sz w:val="21"/>
                <w:szCs w:val="21"/>
              </w:rPr>
              <w:t>采用 LLM 自然语言生成 + 模板渲染引擎 + RAG 知识库补充生成。</w:t>
            </w:r>
          </w:p>
          <w:p w14:paraId="08E5FF2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rPr>
            </w:pPr>
            <w:r>
              <w:rPr>
                <w:rFonts w:hint="default" w:asciiTheme="minorAscii" w:hAnsiTheme="minorAscii"/>
                <w:color w:val="222222"/>
                <w:sz w:val="21"/>
                <w:szCs w:val="21"/>
              </w:rPr>
              <w:t>• 自动将申请人结构化信息、文件分类结果、数据核验结论和业务合规判断填入对应模板字段。</w:t>
            </w:r>
            <w:r>
              <w:rPr>
                <w:rFonts w:hint="default" w:eastAsia="宋体" w:cs="宋体" w:asciiTheme="minorAscii" w:hAnsiTheme="minorAscii"/>
                <w:sz w:val="21"/>
                <w:szCs w:val="21"/>
              </w:rPr>
              <w:t xml:space="preserve"/>
            </w:r>
          </w:p>
          <w:p w14:paraId="3C161A8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rPr>
            </w:pPr>
            <w:r>
              <w:rPr>
                <w:rFonts w:hint="default" w:asciiTheme="minorAscii" w:hAnsiTheme="minorAscii"/>
                <w:color w:val="222222"/>
                <w:sz w:val="21"/>
                <w:szCs w:val="21"/>
              </w:rPr>
              <w:t>• 使用大语言模型按 ImmD 官方写作风格，生成 case 背景、文件检查摘要和合规意见等描述性段落内容。</w:t>
            </w:r>
            <w:r>
              <w:rPr>
                <w:rFonts w:hint="default" w:eastAsia="宋体" w:cs="宋体" w:asciiTheme="minorAscii" w:hAnsiTheme="minorAscii"/>
                <w:sz w:val="21"/>
                <w:szCs w:val="21"/>
              </w:rPr>
              <w:t xml:space="preserve"/>
            </w:r>
          </w:p>
          <w:p w14:paraId="1848D25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lang w:val="en-US" w:eastAsia="zh-CN"/>
              </w:rPr>
            </w:pPr>
            <w:r>
              <w:rPr>
                <w:rFonts w:hint="default" w:asciiTheme="minorAscii" w:hAnsiTheme="minorAscii"/>
                <w:color w:val="222222"/>
                <w:sz w:val="21"/>
                <w:szCs w:val="21"/>
              </w:rPr>
              <w:t>• 通过 RAG 集成 ImmD 政策知识库，确保陈述准确、官方措辞标准化。</w:t>
            </w:r>
            <w:r>
              <w:rPr>
                <w:rFonts w:hint="default" w:eastAsia="宋体" w:cs="宋体" w:asciiTheme="minorAscii" w:hAnsiTheme="minorAscii"/>
                <w:sz w:val="21"/>
                <w:szCs w:val="21"/>
              </w:rPr>
              <w:t xml:space="preserve"/>
            </w:r>
          </w:p>
        </w:tc>
      </w:tr>
    </w:tbl>
    <w:p w14:paraId="7FC69E0A"/>
    <w:p w14:paraId="60867399">
      <w:pPr>
        <w:spacing w:before="280" w:after="80"/>
      </w:pPr>
      <w:r>
        <w:rPr>
          <w:b/>
          <w:color w:val="003D7A"/>
          <w:sz w:val="26"/>
        </w:rPr>
        <w:t>4.3 端到端技术设计</w:t>
      </w:r>
    </w:p>
    <w:p w14:paraId="0707182A">
      <w:pPr>
        <w:spacing w:after="60"/>
        <w:ind w:left="360"/>
      </w:pPr>
      <w:r>
        <w:rPr>
          <w:color w:val="222222"/>
          <w:sz w:val="20"/>
        </w:rPr>
        <w:t>• 模板选择 → 信息抽取 → 自动填充 → 核验</w:t>
      </w:r>
    </w:p>
    <w:tbl>
      <w:tblPr>
        <w:tblStyle w:val="32"/>
        <w:tblW w:w="0" w:type="auto"/>
        <w:jc w:val="center"/>
        <w:tblLayout w:type="fixed"/>
        <w:tblCellMar>
          <w:top w:w="0" w:type="dxa"/>
          <w:left w:w="108" w:type="dxa"/>
          <w:bottom w:w="0" w:type="dxa"/>
          <w:right w:w="108" w:type="dxa"/>
        </w:tblCellMar>
      </w:tblPr>
      <w:tblGrid>
        <w:gridCol w:w="10200"/>
      </w:tblGrid>
      <w:tr w14:paraId="009465E2">
        <w:tblPrEx>
          <w:tblCellMar>
            <w:top w:w="0" w:type="dxa"/>
            <w:left w:w="108" w:type="dxa"/>
            <w:bottom w:w="0" w:type="dxa"/>
            <w:right w:w="108" w:type="dxa"/>
          </w:tblCellMar>
        </w:tblPrEx>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161CEE9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eastAsia="宋体" w:cs="宋体" w:asciiTheme="minorAscii" w:hAnsiTheme="minorAscii"/>
                <w:sz w:val="21"/>
                <w:szCs w:val="21"/>
                <w:lang w:val="en-US" w:eastAsia="zh-CN"/>
              </w:rPr>
            </w:pPr>
          </w:p>
          <w:p w14:paraId="30569A5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eastAsia="宋体"/>
                <w:lang w:val="en-US" w:eastAsia="zh-CN"/>
              </w:rPr>
            </w:pPr>
            <w:r>
              <w:rPr>
                <w:rFonts w:hint="eastAsia" w:eastAsia="宋体" w:cs="宋体" w:asciiTheme="minorAscii" w:hAnsiTheme="minorAscii"/>
                <w:sz w:val="21"/>
                <w:szCs w:val="21"/>
                <w:lang w:val="en-US" w:eastAsia="zh-CN"/>
              </w:rPr>
              <w:t>Case 基本信息与 AI 结果输入 → 场景分析与模板智能选择 → 结构化数据映射与模板预填 → LLM 生成内容补全 → Minutes 逻辑自检 → 生成 DOCX 格式 Draft Minutes → 嵌入输出包 → 推送至 APPLIES-2 系统</w:t>
            </w:r>
          </w:p>
        </w:tc>
      </w:tr>
    </w:tbl>
    <w:p w14:paraId="5459A2E4"/>
    <w:p w14:paraId="03170C1F">
      <w:r>
        <w:br w:type="page"/>
      </w:r>
    </w:p>
    <w:p w14:paraId="234784A0">
      <w:pPr>
        <w:spacing w:before="440" w:after="80"/>
      </w:pPr>
      <w:r>
        <w:rPr>
          <w:b/>
          <w:color w:val="003D7A"/>
          <w:sz w:val="32"/>
        </w:rPr>
        <w:t>5. 整合工作流（Combined Workflow）</w:t>
      </w:r>
    </w:p>
    <w:p w14:paraId="2BE1B429">
      <w:pPr>
        <w:spacing w:after="80"/>
      </w:pPr>
      <w:r>
        <w:rPr>
          <w:i/>
          <w:color w:val="555555"/>
          <w:sz w:val="19"/>
        </w:rPr>
        <w:t>[ Annex I Table 1 — 整合工作流 · RFI 4.2.4 + 4.2.6 ]</w:t>
      </w:r>
    </w:p>
    <w:tbl>
      <w:tblPr>
        <w:tblStyle w:val="32"/>
        <w:tblW w:w="0" w:type="auto"/>
        <w:jc w:val="center"/>
        <w:tblLayout w:type="fixed"/>
        <w:tblCellMar>
          <w:top w:w="0" w:type="dxa"/>
          <w:left w:w="108" w:type="dxa"/>
          <w:bottom w:w="0" w:type="dxa"/>
          <w:right w:w="108" w:type="dxa"/>
        </w:tblCellMar>
      </w:tblPr>
      <w:tblGrid>
        <w:gridCol w:w="10200"/>
      </w:tblGrid>
      <w:tr w14:paraId="26414E67">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7644A7CA">
            <w:pPr>
              <w:spacing w:after="80"/>
            </w:pPr>
            <w:r>
              <w:rPr>
                <w:b/>
                <w:color w:val="003D7A"/>
                <w:sz w:val="18"/>
              </w:rPr>
              <w:t>Annex I Table 1 — 原文（英文）：</w:t>
            </w:r>
          </w:p>
          <w:p w14:paraId="65DC67AE">
            <w:pPr>
              <w:spacing w:after="40"/>
            </w:pPr>
            <w:r>
              <w:rPr>
                <w:i/>
                <w:color w:val="333333"/>
                <w:sz w:val="19"/>
              </w:rPr>
              <w:t>整合工作流</w:t>
            </w:r>
          </w:p>
          <w:p w14:paraId="5EAD278C">
            <w:pPr>
              <w:spacing w:after="40"/>
            </w:pPr>
            <w:r>
              <w:rPr>
                <w:i/>
                <w:color w:val="333333"/>
                <w:sz w:val="19"/>
              </w:rPr>
              <w:t>• 描述端到端整合功能工作流的拟议方案技术设计，即从数据接入到所有主要功能处理，再到结果交付至其他 ImmD 系统。</w:t>
            </w:r>
          </w:p>
          <w:p w14:paraId="559D9344">
            <w:pPr>
              <w:spacing w:after="40"/>
            </w:pPr>
            <w:r>
              <w:rPr>
                <w:i/>
                <w:color w:val="333333"/>
                <w:sz w:val="19"/>
              </w:rPr>
              <w:t>• 描述拟议 AI 方案的准确率，以及准确率的计算 / 判定方法。</w:t>
            </w:r>
          </w:p>
        </w:tc>
      </w:tr>
      <w:tr w14:paraId="154F3701">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233E712D">
            <w:pPr>
              <w:spacing w:after="80"/>
            </w:pPr>
            <w:r>
              <w:rPr>
                <w:b/>
                <w:color w:val="3A5A00"/>
                <w:sz w:val="18"/>
              </w:rPr>
              <w:t>中文解释（CMHK 参考）：</w:t>
            </w:r>
          </w:p>
          <w:p w14:paraId="103357DF">
            <w:pPr>
              <w:spacing w:after="40"/>
            </w:pPr>
            <w:r>
              <w:rPr>
                <w:i/>
                <w:color w:val="333333"/>
                <w:sz w:val="19"/>
              </w:rPr>
              <w:t>整合工作流</w:t>
            </w:r>
          </w:p>
          <w:p w14:paraId="1CED4CAA">
            <w:pPr>
              <w:spacing w:after="40"/>
            </w:pPr>
            <w:r>
              <w:rPr>
                <w:i/>
                <w:color w:val="333333"/>
                <w:sz w:val="19"/>
              </w:rPr>
              <w:t>• 描述端到端整合功能工作流方案技术设计（资料进件 → 主要功能处理 → 结果交付至其他 ImmD 系统）</w:t>
            </w:r>
          </w:p>
          <w:p w14:paraId="6C632704">
            <w:pPr>
              <w:spacing w:after="40"/>
            </w:pPr>
            <w:r>
              <w:rPr>
                <w:i/>
                <w:color w:val="333333"/>
                <w:sz w:val="19"/>
              </w:rPr>
              <w:t>• 描述贵方建议之 AI 方案准确率及计算 / 判定方法</w:t>
            </w:r>
          </w:p>
        </w:tc>
      </w:tr>
    </w:tbl>
    <w:p w14:paraId="43808C8C"/>
    <w:tbl>
      <w:tblPr>
        <w:tblStyle w:val="32"/>
        <w:tblW w:w="0" w:type="auto"/>
        <w:jc w:val="center"/>
        <w:tblLayout w:type="fixed"/>
        <w:tblCellMar>
          <w:top w:w="0" w:type="dxa"/>
          <w:left w:w="108" w:type="dxa"/>
          <w:bottom w:w="0" w:type="dxa"/>
          <w:right w:w="108" w:type="dxa"/>
        </w:tblCellMar>
      </w:tblPr>
      <w:tblGrid>
        <w:gridCol w:w="10200"/>
      </w:tblGrid>
      <w:tr w14:paraId="4230E6F0">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3D4DB26C">
            <w:pPr>
              <w:spacing w:after="80"/>
            </w:pPr>
            <w:r>
              <w:rPr>
                <w:b/>
                <w:color w:val="003D7A"/>
                <w:sz w:val="18"/>
              </w:rPr>
              <w:t>RFI 4.2.4 — 原文（英文）：</w:t>
            </w:r>
          </w:p>
          <w:p w14:paraId="4BF14C1D">
            <w:pPr>
              <w:spacing w:after="40"/>
            </w:pPr>
            <w:r>
              <w:rPr>
                <w:i/>
                <w:color w:val="333333"/>
                <w:sz w:val="19"/>
              </w:rPr>
              <w:t>4.2.4 整合工作流</w:t>
            </w:r>
          </w:p>
          <w:p w14:paraId="41530E26">
            <w:pPr>
              <w:spacing w:after="40"/>
            </w:pPr>
            <w:r>
              <w:rPr>
                <w:i/>
                <w:color w:val="333333"/>
                <w:sz w:val="19"/>
              </w:rPr>
              <w:t>4.2.4.1 应能将上述 4.2.1、4.2.2 和 4.2.3 功能自动整合为一个流畅的工作流。</w:t>
            </w:r>
          </w:p>
          <w:p w14:paraId="2C7842F4">
            <w:pPr>
              <w:spacing w:after="40"/>
            </w:pPr>
            <w:r>
              <w:rPr>
                <w:i/>
                <w:color w:val="333333"/>
                <w:sz w:val="19"/>
              </w:rPr>
              <w:t>4.2.4.2 新 AI 方案应接收来自其他 ImmD 系统的 case 申请数据，例如结构化和非结构化数据，并通过 API 或专用接口将包括数据、图像和报告在内的结果交付至 ImmD 系统</w:t>
            </w:r>
          </w:p>
        </w:tc>
      </w:tr>
      <w:tr w14:paraId="4F964FC9">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72E59F2D">
            <w:pPr>
              <w:spacing w:after="80"/>
            </w:pPr>
            <w:r>
              <w:rPr>
                <w:b/>
                <w:color w:val="3A5A00"/>
                <w:sz w:val="18"/>
              </w:rPr>
              <w:t>中文解释（CMHK 参考）：</w:t>
            </w:r>
          </w:p>
          <w:p w14:paraId="7261FA64">
            <w:pPr>
              <w:spacing w:after="40"/>
            </w:pPr>
            <w:r>
              <w:rPr>
                <w:i/>
                <w:color w:val="333333"/>
                <w:sz w:val="19"/>
              </w:rPr>
              <w:t>4.2.4 整合工作流</w:t>
            </w:r>
          </w:p>
          <w:p w14:paraId="56A5F55D">
            <w:pPr>
              <w:spacing w:after="40"/>
            </w:pPr>
            <w:r>
              <w:rPr>
                <w:i/>
                <w:color w:val="333333"/>
                <w:sz w:val="19"/>
              </w:rPr>
              <w:t>4.2.4.1 应将上述 4.2.1 / 4.2.2 / 4.2.3 功能自动整合为流畅的工作流</w:t>
            </w:r>
          </w:p>
          <w:p w14:paraId="5BA18CD1">
            <w:pPr>
              <w:spacing w:after="40"/>
            </w:pPr>
            <w:r>
              <w:rPr>
                <w:i/>
                <w:color w:val="333333"/>
                <w:sz w:val="19"/>
              </w:rPr>
              <w:t>4.2.4.2 新 AI 方案应从其他 ImmD 系统接收 case 申请资料（结构化及非结构化），并通过 API 或专用接口将结果（资料、图像、报表）交付至 ImmD 系统</w:t>
            </w:r>
          </w:p>
        </w:tc>
      </w:tr>
    </w:tbl>
    <w:p w14:paraId="0180F4F0"/>
    <w:tbl>
      <w:tblPr>
        <w:tblStyle w:val="32"/>
        <w:tblW w:w="0" w:type="auto"/>
        <w:jc w:val="center"/>
        <w:tblLayout w:type="fixed"/>
        <w:tblCellMar>
          <w:top w:w="0" w:type="dxa"/>
          <w:left w:w="108" w:type="dxa"/>
          <w:bottom w:w="0" w:type="dxa"/>
          <w:right w:w="108" w:type="dxa"/>
        </w:tblCellMar>
      </w:tblPr>
      <w:tblGrid>
        <w:gridCol w:w="10200"/>
      </w:tblGrid>
      <w:tr w14:paraId="6C2444EA">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5D205114">
            <w:pPr>
              <w:spacing w:after="80"/>
            </w:pPr>
            <w:r>
              <w:rPr>
                <w:b/>
                <w:color w:val="003D7A"/>
                <w:sz w:val="18"/>
              </w:rPr>
              <w:t>RFI 4.2.6 — 原文（英文）：</w:t>
            </w:r>
          </w:p>
          <w:p w14:paraId="15D91654">
            <w:pPr>
              <w:spacing w:after="40"/>
            </w:pPr>
            <w:r>
              <w:rPr>
                <w:i/>
                <w:color w:val="333333"/>
                <w:sz w:val="19"/>
              </w:rPr>
              <w:t>4.2.6 与 ImmD 系统的接口</w:t>
            </w:r>
          </w:p>
          <w:p w14:paraId="3E563C2E">
            <w:pPr>
              <w:spacing w:after="40"/>
            </w:pPr>
            <w:r>
              <w:rPr>
                <w:i/>
                <w:color w:val="333333"/>
                <w:sz w:val="19"/>
              </w:rPr>
              <w:t>4.2.6.1 应通过接口或 API 与现有 ImmD 工作流系统整合，以支持上述功能；</w:t>
            </w:r>
          </w:p>
          <w:p w14:paraId="0C4A53E7">
            <w:pPr>
              <w:spacing w:after="40"/>
            </w:pPr>
            <w:r>
              <w:rPr>
                <w:i/>
                <w:color w:val="333333"/>
                <w:sz w:val="19"/>
              </w:rPr>
              <w:t>4.2.6.2 应能通过其他内部 ImmD 系统的接口或 API 接收申请信息，包括结构化和非结构化数据，例如文件和图像</w:t>
            </w:r>
          </w:p>
          <w:p w14:paraId="32EF7F36">
            <w:pPr>
              <w:spacing w:after="40"/>
            </w:pPr>
            <w:r>
              <w:rPr>
                <w:i/>
                <w:color w:val="333333"/>
                <w:sz w:val="19"/>
              </w:rPr>
              <w:t>4.2.6.3 应能通过接口或 API 向其他内部 ImmD 系统提供上述主要功能（如第 4.2.1、4.2.2 和 4.2.3 条）的结果</w:t>
            </w:r>
          </w:p>
          <w:p w14:paraId="7BF329B8">
            <w:pPr>
              <w:spacing w:after="40"/>
            </w:pPr>
            <w:r>
              <w:rPr>
                <w:i/>
                <w:color w:val="333333"/>
                <w:sz w:val="19"/>
              </w:rPr>
              <w:t>4.2.6.4 应允许通过 ImmD 提供、位于另一网络区域的其他内部 ImmD 系统接口或 API 进行数据交换与查询。</w:t>
            </w:r>
          </w:p>
          <w:p w14:paraId="14164682">
            <w:pPr>
              <w:spacing w:after="40"/>
            </w:pPr>
            <w:r>
              <w:rPr>
                <w:i/>
                <w:color w:val="333333"/>
                <w:sz w:val="19"/>
              </w:rPr>
              <w:t>4.2.6.5 如果现有已开发接口或 API 不适用于新的 AI 方案，应开发接口或 API。</w:t>
            </w:r>
          </w:p>
        </w:tc>
      </w:tr>
      <w:tr w14:paraId="116CCF6E">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28A79B9A">
            <w:pPr>
              <w:spacing w:after="80"/>
            </w:pPr>
            <w:r>
              <w:rPr>
                <w:b/>
                <w:color w:val="3A5A00"/>
                <w:sz w:val="18"/>
              </w:rPr>
              <w:t>中文解释（CMHK 参考）：</w:t>
            </w:r>
          </w:p>
          <w:p w14:paraId="27554EDD">
            <w:pPr>
              <w:spacing w:after="40"/>
            </w:pPr>
            <w:r>
              <w:rPr>
                <w:i/>
                <w:color w:val="333333"/>
                <w:sz w:val="19"/>
              </w:rPr>
              <w:t>4.2.6 与 ImmD 系统之接口</w:t>
            </w:r>
          </w:p>
          <w:p w14:paraId="670F83A2">
            <w:pPr>
              <w:spacing w:after="40"/>
            </w:pPr>
            <w:r>
              <w:rPr>
                <w:i/>
                <w:color w:val="333333"/>
                <w:sz w:val="19"/>
              </w:rPr>
              <w:t>4.2.6.1 应通过接口或 API 与既有 ImmD 工作流系统整合</w:t>
            </w:r>
          </w:p>
          <w:p w14:paraId="332D2DC6">
            <w:pPr>
              <w:spacing w:after="40"/>
            </w:pPr>
            <w:r>
              <w:rPr>
                <w:i/>
                <w:color w:val="333333"/>
                <w:sz w:val="19"/>
              </w:rPr>
              <w:t>4.2.6.2 应能通过其他内部 ImmD 系统之接口或 API 接收申请资料（结构化与非结构化，如文件、图像）</w:t>
            </w:r>
          </w:p>
          <w:p w14:paraId="30E49170">
            <w:pPr>
              <w:spacing w:after="40"/>
            </w:pPr>
            <w:r>
              <w:rPr>
                <w:i/>
                <w:color w:val="333333"/>
                <w:sz w:val="19"/>
              </w:rPr>
              <w:t>4.2.6.3 应能通过接口或 API 将上述主要功能（4.2.1 / 4.2.2 / 4.2.3）之结果提供至其他内部 ImmD 系统</w:t>
            </w:r>
          </w:p>
          <w:p w14:paraId="20B5366A">
            <w:pPr>
              <w:spacing w:after="40"/>
            </w:pPr>
            <w:r>
              <w:rPr>
                <w:i/>
                <w:color w:val="333333"/>
                <w:sz w:val="19"/>
              </w:rPr>
              <w:t>4.2.6.4 应允许通过位于不同网络区之 ImmD 系统接口或 API 进行资料交换与查询</w:t>
            </w:r>
          </w:p>
          <w:p w14:paraId="5038182A">
            <w:pPr>
              <w:spacing w:after="40"/>
            </w:pPr>
            <w:r>
              <w:rPr>
                <w:i/>
                <w:color w:val="333333"/>
                <w:sz w:val="19"/>
              </w:rPr>
              <w:t>4.2.6.5 若既有接口或 API 不适用于新 AI 方案，应开发新的接口或 API</w:t>
            </w:r>
          </w:p>
        </w:tc>
      </w:tr>
    </w:tbl>
    <w:p w14:paraId="75C40DE6"/>
    <w:p w14:paraId="0FCFBE1F">
      <w:pPr>
        <w:spacing w:before="280" w:after="80"/>
      </w:pPr>
      <w:r>
        <w:rPr>
          <w:b/>
          <w:color w:val="003D7A"/>
          <w:sz w:val="26"/>
        </w:rPr>
        <w:t>5.1 端到端整合工作流</w:t>
      </w:r>
    </w:p>
    <w:p w14:paraId="02D97B8E">
      <w:pPr>
        <w:spacing w:after="60"/>
        <w:ind w:left="360"/>
      </w:pPr>
      <w:r>
        <w:rPr>
          <w:color w:val="222222"/>
          <w:sz w:val="20"/>
        </w:rPr>
        <w:t>• 整合端到端工作流 — 从数据接入到跨三项主要功能的处理与结果交付</w:t>
      </w:r>
    </w:p>
    <w:p w14:paraId="741CE018">
      <w:pPr>
        <w:spacing w:after="60"/>
        <w:ind w:left="360"/>
      </w:pPr>
      <w:r>
        <w:rPr>
          <w:color w:val="222222"/>
          <w:sz w:val="20"/>
        </w:rPr>
        <w:t>• 向 APPLIES-2 主系统交付双 PDF（Cross-Check Report + Minutes Draft）+ JSON 元数据</w:t>
      </w:r>
    </w:p>
    <w:tbl>
      <w:tblPr>
        <w:tblStyle w:val="32"/>
        <w:tblW w:w="0" w:type="auto"/>
        <w:jc w:val="center"/>
        <w:tblLayout w:type="fixed"/>
        <w:tblCellMar>
          <w:top w:w="0" w:type="dxa"/>
          <w:left w:w="108" w:type="dxa"/>
          <w:bottom w:w="0" w:type="dxa"/>
          <w:right w:w="108" w:type="dxa"/>
        </w:tblCellMar>
      </w:tblPr>
      <w:tblGrid>
        <w:gridCol w:w="10200"/>
      </w:tblGrid>
      <w:tr w14:paraId="4A3D15CF">
        <w:tblPrEx>
          <w:tblCellMar>
            <w:top w:w="0" w:type="dxa"/>
            <w:left w:w="108" w:type="dxa"/>
            <w:bottom w:w="0" w:type="dxa"/>
            <w:right w:w="108" w:type="dxa"/>
          </w:tblCellMar>
        </w:tblPrEx>
        <w:trPr>
          <w:trHeight w:val="360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31FF9E5C">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eastAsia="宋体" w:cs="宋体" w:asciiTheme="minorAscii" w:hAnsiTheme="minorAscii"/>
                <w:sz w:val="21"/>
                <w:szCs w:val="21"/>
                <w:lang w:val="en-US" w:eastAsia="zh-CN"/>
              </w:rPr>
            </w:pPr>
            <w:r>
              <w:rPr>
                <w:rFonts w:hint="eastAsia" w:eastAsia="宋体" w:cs="宋体" w:asciiTheme="minorAscii" w:hAnsiTheme="minorAscii"/>
                <w:sz w:val="21"/>
                <w:szCs w:val="21"/>
                <w:lang w:val="en-US" w:eastAsia="zh-CN"/>
              </w:rPr>
              <w:t>方案将文件分类、数据核验和 Minutes 草拟整合为一个流畅的自动化工作流：</w:t>
            </w:r>
          </w:p>
          <w:p w14:paraId="159F86A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eastAsia="宋体" w:cs="宋体" w:asciiTheme="minorAscii" w:hAnsiTheme="minorAscii"/>
                <w:sz w:val="21"/>
                <w:szCs w:val="21"/>
                <w:lang w:val="en-US" w:eastAsia="zh-CN"/>
              </w:rPr>
            </w:pPr>
            <w:r>
              <w:rPr>
                <w:rFonts w:hint="eastAsia" w:eastAsia="宋体" w:cs="宋体" w:asciiTheme="minorAscii" w:hAnsiTheme="minorAscii"/>
                <w:sz w:val="21"/>
                <w:szCs w:val="21"/>
                <w:lang w:val="en-US" w:eastAsia="zh-CN"/>
              </w:rPr>
              <w:t>ImmD APPLIES-2 系统 → API/MQ 数据接入 → 预处理与格式规范化 → 自动文件分类 → 智能数据抽取与交叉核验 → 异常标记与报告生成 → 智能 Minutes 模板选择与自动草拟 → 生成双输出（Cross-Check Report PDF + Minutes Draft PDF）+ JSON 元数据 → API 结果回传至 APPLIES-2 → 日志、统计与审计记录归档</w:t>
            </w:r>
          </w:p>
          <w:p w14:paraId="7FBEAB5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eastAsia="宋体" w:cs="宋体" w:asciiTheme="minorAscii" w:hAnsiTheme="minorAscii"/>
                <w:sz w:val="21"/>
                <w:szCs w:val="21"/>
                <w:lang w:val="en-US" w:eastAsia="zh-CN"/>
              </w:rPr>
            </w:pPr>
            <w:r>
              <w:rPr>
                <w:rFonts w:hint="eastAsia" w:eastAsia="宋体" w:cs="宋体" w:asciiTheme="minorAscii" w:hAnsiTheme="minorAscii"/>
                <w:sz w:val="21"/>
                <w:szCs w:val="21"/>
                <w:lang w:val="en-US" w:eastAsia="zh-CN"/>
              </w:rPr>
              <w:t>整个流水线支持无人值守批量处理、峰值时段并发调度，以及用于异常处理的任务重试机制。所有中间结果和最终输出均标准化且可追溯。</w:t>
            </w:r>
          </w:p>
          <w:p w14:paraId="7137948C"/>
        </w:tc>
      </w:tr>
    </w:tbl>
    <w:p w14:paraId="419D4FF0"/>
    <w:p w14:paraId="38D74F62">
      <w:pPr>
        <w:spacing w:before="280" w:after="80"/>
      </w:pPr>
      <w:r>
        <w:rPr>
          <w:b/>
          <w:color w:val="003D7A"/>
          <w:sz w:val="26"/>
        </w:rPr>
        <w:t>5.2 与其他 ImmD 系统的接口</w:t>
      </w:r>
    </w:p>
    <w:p w14:paraId="20A05D97">
      <w:pPr>
        <w:spacing w:after="60"/>
        <w:ind w:left="360"/>
      </w:pPr>
      <w:r>
        <w:rPr>
          <w:color w:val="222222"/>
          <w:sz w:val="20"/>
        </w:rPr>
        <w:t>• 与 APPLIES-2 及其他 ImmD 系统的接口（API / SFTP / MQ / 跨网络区域）</w:t>
      </w:r>
    </w:p>
    <w:tbl>
      <w:tblPr>
        <w:tblStyle w:val="32"/>
        <w:tblW w:w="0" w:type="auto"/>
        <w:jc w:val="center"/>
        <w:tblLayout w:type="fixed"/>
        <w:tblCellMar>
          <w:top w:w="0" w:type="dxa"/>
          <w:left w:w="108" w:type="dxa"/>
          <w:bottom w:w="0" w:type="dxa"/>
          <w:right w:w="108" w:type="dxa"/>
        </w:tblCellMar>
      </w:tblPr>
      <w:tblGrid>
        <w:gridCol w:w="10200"/>
      </w:tblGrid>
      <w:tr w14:paraId="5B20276D">
        <w:trPr>
          <w:trHeight w:val="288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7B1442F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lang w:val="en-US" w:eastAsia="zh-CN"/>
              </w:rPr>
            </w:pPr>
            <w:r>
              <w:rPr>
                <w:rFonts w:hint="default" w:asciiTheme="minorAscii" w:hAnsiTheme="minorAscii"/>
                <w:color w:val="222222"/>
                <w:sz w:val="21"/>
                <w:szCs w:val="21"/>
              </w:rPr>
              <w:t>• 采用 RESTful API / Message Queue / SFTP 多协议集成模式，与 APPLIES-2 及其他 ImmD 内部系统连接。</w:t>
            </w:r>
            <w:r>
              <w:rPr>
                <w:rFonts w:hint="default" w:eastAsia="宋体" w:cs="宋体" w:asciiTheme="minorAscii" w:hAnsiTheme="minorAscii"/>
                <w:sz w:val="21"/>
                <w:szCs w:val="21"/>
                <w:lang w:val="en-US" w:eastAsia="zh-CN"/>
              </w:rPr>
              <w:t xml:space="preserve"/>
            </w:r>
          </w:p>
          <w:p w14:paraId="1863053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lang w:val="en-US" w:eastAsia="zh-CN"/>
              </w:rPr>
            </w:pPr>
            <w:r>
              <w:rPr>
                <w:rFonts w:hint="default" w:asciiTheme="minorAscii" w:hAnsiTheme="minorAscii"/>
                <w:color w:val="222222"/>
                <w:sz w:val="21"/>
                <w:szCs w:val="21"/>
              </w:rPr>
              <w:t>• 遵循 ImmD 网络安全隔离政策，支持跨网络区域数据交换和服务请求调用。</w:t>
            </w:r>
            <w:r>
              <w:rPr>
                <w:rFonts w:hint="default" w:eastAsia="宋体" w:asciiTheme="minorAscii" w:hAnsiTheme="minorAscii"/>
                <w:color w:val="222222"/>
                <w:sz w:val="21"/>
                <w:szCs w:val="21"/>
                <w:lang w:val="en-US" w:eastAsia="zh-CN"/>
              </w:rPr>
              <w:t xml:space="preserve"/>
            </w:r>
            <w:r>
              <w:rPr>
                <w:rFonts w:hint="default" w:eastAsia="宋体" w:cs="宋体" w:asciiTheme="minorAscii" w:hAnsiTheme="minorAscii"/>
                <w:sz w:val="21"/>
                <w:szCs w:val="21"/>
                <w:lang w:val="en-US" w:eastAsia="zh-CN"/>
              </w:rPr>
              <w:t/>
            </w:r>
          </w:p>
          <w:p w14:paraId="29AF52B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lang w:val="en-US" w:eastAsia="zh-CN"/>
              </w:rPr>
            </w:pPr>
            <w:r>
              <w:rPr>
                <w:rFonts w:hint="default" w:asciiTheme="minorAscii" w:hAnsiTheme="minorAscii"/>
                <w:color w:val="222222"/>
                <w:sz w:val="21"/>
                <w:szCs w:val="21"/>
              </w:rPr>
              <w:t>• 通过专用接口服务器接收结构化申请元数据和非结构化附件文件。</w:t>
            </w:r>
            <w:r>
              <w:rPr>
                <w:rFonts w:hint="default" w:eastAsia="宋体" w:cs="宋体" w:asciiTheme="minorAscii" w:hAnsiTheme="minorAscii"/>
                <w:sz w:val="21"/>
                <w:szCs w:val="21"/>
                <w:lang w:val="en-US" w:eastAsia="zh-CN"/>
              </w:rPr>
              <w:t xml:space="preserve"/>
            </w:r>
          </w:p>
          <w:p w14:paraId="0550B06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default" w:eastAsia="宋体" w:cs="宋体" w:asciiTheme="minorAscii" w:hAnsiTheme="minorAscii"/>
                <w:sz w:val="21"/>
                <w:szCs w:val="21"/>
                <w:lang w:val="en-US" w:eastAsia="zh-CN"/>
              </w:rPr>
            </w:pPr>
            <w:r>
              <w:rPr>
                <w:rFonts w:hint="default" w:asciiTheme="minorAscii" w:hAnsiTheme="minorAscii"/>
                <w:color w:val="222222"/>
                <w:sz w:val="21"/>
                <w:szCs w:val="21"/>
              </w:rPr>
              <w:t>• 通过标准 API 将 PDF 报告、结构化结果数据和统计日志回传至 ImmD 下游系统。</w:t>
            </w:r>
            <w:r>
              <w:rPr>
                <w:rFonts w:hint="default" w:eastAsia="宋体" w:cs="宋体" w:asciiTheme="minorAscii" w:hAnsiTheme="minorAscii"/>
                <w:sz w:val="21"/>
                <w:szCs w:val="21"/>
                <w:lang w:val="en-US" w:eastAsia="zh-CN"/>
              </w:rPr>
              <w:t xml:space="preserve"/>
            </w:r>
          </w:p>
          <w:p w14:paraId="06E09447">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pPr>
            <w:r>
              <w:rPr>
                <w:rFonts w:hint="default" w:asciiTheme="minorAscii" w:hAnsiTheme="minorAscii"/>
                <w:color w:val="222222"/>
                <w:sz w:val="21"/>
                <w:szCs w:val="21"/>
              </w:rPr>
              <w:t>• 如现有 API 规范无法匹配 AI 方案的数据格式，支持定制化接口开发。</w:t>
            </w:r>
            <w:r>
              <w:rPr>
                <w:rFonts w:hint="default" w:eastAsia="宋体" w:cs="宋体" w:asciiTheme="minorAscii" w:hAnsiTheme="minorAscii"/>
                <w:sz w:val="21"/>
                <w:szCs w:val="21"/>
                <w:lang w:val="en-US" w:eastAsia="zh-CN"/>
              </w:rPr>
              <w:t xml:space="preserve"/>
            </w:r>
          </w:p>
        </w:tc>
      </w:tr>
    </w:tbl>
    <w:p w14:paraId="0896DD28"/>
    <w:p w14:paraId="7A80DF0E">
      <w:pPr>
        <w:spacing w:before="280" w:after="80"/>
      </w:pPr>
      <w:r>
        <w:rPr>
          <w:b/>
          <w:color w:val="003D7A"/>
          <w:sz w:val="26"/>
        </w:rPr>
        <w:t>5.3 端到端准确率与计算方法（请提出）</w:t>
      </w:r>
    </w:p>
    <w:p w14:paraId="5A7DA55B">
      <w:pPr>
        <w:spacing w:after="120"/>
      </w:pPr>
      <w:r>
        <w:rPr>
          <w:i/>
          <w:color w:val="222222"/>
          <w:sz w:val="20"/>
        </w:rPr>
        <w:t>请完成：(a) 承诺准确率 % (b) 准确率定义（例如字符 / 单词 / 字段 / 业务级）(c) 测量方法（测试集规模、Precision / Recall / F1 等指标）。请填写：(a) 承诺准确率 % (b) 准确率定义 (c) 测量方法。</w:t>
      </w:r>
    </w:p>
    <w:tbl>
      <w:tblPr>
        <w:tblStyle w:val="32"/>
        <w:tblW w:w="0" w:type="auto"/>
        <w:jc w:val="center"/>
        <w:tblLayout w:type="fixed"/>
        <w:tblCellMar>
          <w:top w:w="0" w:type="dxa"/>
          <w:left w:w="108" w:type="dxa"/>
          <w:bottom w:w="0" w:type="dxa"/>
          <w:right w:w="108" w:type="dxa"/>
        </w:tblCellMar>
      </w:tblPr>
      <w:tblGrid>
        <w:gridCol w:w="2550"/>
        <w:gridCol w:w="2550"/>
        <w:gridCol w:w="2550"/>
        <w:gridCol w:w="2550"/>
      </w:tblGrid>
      <w:tr w14:paraId="32861CBF">
        <w:tblPrEx>
          <w:tblCellMar>
            <w:top w:w="0" w:type="dxa"/>
            <w:left w:w="108" w:type="dxa"/>
            <w:bottom w:w="0" w:type="dxa"/>
            <w:right w:w="108" w:type="dxa"/>
          </w:tblCellMar>
        </w:tblPrEx>
        <w:trPr>
          <w:trHeight w:val="576" w:hRule="atLeast"/>
          <w:jc w:val="center"/>
        </w:trPr>
        <w:tc>
          <w:tcPr>
            <w:tcW w:w="2550" w:type="dxa"/>
            <w:shd w:val="clear" w:color="auto" w:fill="003D7A"/>
            <w:vAlign w:val="center"/>
          </w:tcPr>
          <w:p w14:paraId="2CE91475">
            <w:r>
              <w:rPr>
                <w:b/>
                <w:color w:val="FFFFFF"/>
                <w:sz w:val="20"/>
              </w:rPr>
              <w:t>AI 功能</w:t>
            </w:r>
          </w:p>
        </w:tc>
        <w:tc>
          <w:tcPr>
            <w:tcW w:w="2550" w:type="dxa"/>
            <w:shd w:val="clear" w:color="auto" w:fill="003D7A"/>
            <w:vAlign w:val="center"/>
          </w:tcPr>
          <w:p w14:paraId="26CE26DA">
            <w:r>
              <w:rPr>
                <w:b/>
                <w:color w:val="FFFFFF"/>
                <w:sz w:val="20"/>
              </w:rPr>
              <w:t>承诺准确率（%）</w:t>
            </w:r>
          </w:p>
        </w:tc>
        <w:tc>
          <w:tcPr>
            <w:tcW w:w="2550" w:type="dxa"/>
            <w:shd w:val="clear" w:color="auto" w:fill="003D7A"/>
            <w:vAlign w:val="center"/>
          </w:tcPr>
          <w:p w14:paraId="18157030">
            <w:r>
              <w:rPr>
                <w:b/>
                <w:color w:val="FFFFFF"/>
                <w:sz w:val="20"/>
              </w:rPr>
              <w:t>准确率定义</w:t>
            </w:r>
          </w:p>
        </w:tc>
        <w:tc>
          <w:tcPr>
            <w:tcW w:w="2550" w:type="dxa"/>
            <w:shd w:val="clear" w:color="auto" w:fill="003D7A"/>
            <w:vAlign w:val="center"/>
          </w:tcPr>
          <w:p w14:paraId="7199DB38">
            <w:r>
              <w:rPr>
                <w:b/>
                <w:color w:val="FFFFFF"/>
                <w:sz w:val="20"/>
              </w:rPr>
              <w:t>测量方法</w:t>
            </w:r>
          </w:p>
        </w:tc>
      </w:tr>
      <w:tr w14:paraId="7B093BC1">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14F6D7EE">
            <w:r>
              <w:rPr>
                <w:b/>
                <w:color w:val="222222"/>
                <w:sz w:val="20"/>
              </w:rPr>
              <w:t>整合工作流（端到端）</w:t>
            </w:r>
          </w:p>
        </w:tc>
        <w:tc>
          <w:tcPr>
            <w:tcW w:w="2550" w:type="dxa"/>
            <w:tcBorders>
              <w:top w:val="single" w:color="888888" w:sz="6" w:space="0"/>
              <w:left w:val="single" w:color="888888" w:sz="6" w:space="0"/>
              <w:bottom w:val="single" w:color="888888" w:sz="6" w:space="0"/>
              <w:right w:val="single" w:color="888888" w:sz="6" w:space="0"/>
            </w:tcBorders>
            <w:vAlign w:val="top"/>
          </w:tcPr>
          <w:p w14:paraId="62F20F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360"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≥90%</w:t>
            </w:r>
          </w:p>
        </w:tc>
        <w:tc>
          <w:tcPr>
            <w:tcW w:w="2550" w:type="dxa"/>
            <w:tcBorders>
              <w:top w:val="single" w:color="888888" w:sz="6" w:space="0"/>
              <w:left w:val="single" w:color="888888" w:sz="6" w:space="0"/>
              <w:bottom w:val="single" w:color="888888" w:sz="6" w:space="0"/>
              <w:right w:val="single" w:color="888888" w:sz="6" w:space="0"/>
            </w:tcBorders>
            <w:vAlign w:val="top"/>
          </w:tcPr>
          <w:p w14:paraId="705F2D3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完整 case 处理的端到端业务通过率，覆盖分类、核验和 minutes 生成</w:t>
            </w:r>
          </w:p>
        </w:tc>
        <w:tc>
          <w:tcPr>
            <w:tcW w:w="2550" w:type="dxa"/>
            <w:tcBorders>
              <w:top w:val="single" w:color="888888" w:sz="6" w:space="0"/>
              <w:left w:val="single" w:color="888888" w:sz="6" w:space="0"/>
              <w:bottom w:val="single" w:color="888888" w:sz="6" w:space="0"/>
              <w:right w:val="single" w:color="888888" w:sz="6" w:space="0"/>
            </w:tcBorders>
            <w:vAlign w:val="top"/>
          </w:tcPr>
          <w:p w14:paraId="6F7835B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采用完整生命周期 case 测试集；衡量无人工干预下的整体通过率和平均人工修改工作量。</w:t>
            </w:r>
          </w:p>
        </w:tc>
      </w:tr>
    </w:tbl>
    <w:p w14:paraId="41DFBCD0"/>
    <w:p w14:paraId="318EBDA0">
      <w:r>
        <w:br w:type="page"/>
      </w:r>
    </w:p>
    <w:p w14:paraId="33D8BCC0">
      <w:pPr>
        <w:spacing w:before="440" w:after="80"/>
      </w:pPr>
      <w:r>
        <w:rPr>
          <w:b/>
          <w:color w:val="003D7A"/>
          <w:sz w:val="32"/>
        </w:rPr>
        <w:t>6. AI 要求 — 调优、反馈、准确率（持续优化）</w:t>
      </w:r>
    </w:p>
    <w:p w14:paraId="72B9F4D4">
      <w:pPr>
        <w:spacing w:after="80"/>
      </w:pPr>
      <w:r>
        <w:rPr>
          <w:i/>
          <w:color w:val="555555"/>
          <w:sz w:val="19"/>
        </w:rPr>
        <w:t>[ Annex I Table 1 — 系统准确率 · RFI 4.2.5 ]</w:t>
      </w:r>
    </w:p>
    <w:tbl>
      <w:tblPr>
        <w:tblStyle w:val="32"/>
        <w:tblW w:w="0" w:type="auto"/>
        <w:jc w:val="center"/>
        <w:tblLayout w:type="fixed"/>
        <w:tblCellMar>
          <w:top w:w="0" w:type="dxa"/>
          <w:left w:w="108" w:type="dxa"/>
          <w:bottom w:w="0" w:type="dxa"/>
          <w:right w:w="108" w:type="dxa"/>
        </w:tblCellMar>
      </w:tblPr>
      <w:tblGrid>
        <w:gridCol w:w="10200"/>
      </w:tblGrid>
      <w:tr w14:paraId="66C8B6D2">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4543A5C7">
            <w:pPr>
              <w:spacing w:after="80"/>
            </w:pPr>
            <w:r>
              <w:rPr>
                <w:b/>
                <w:color w:val="003D7A"/>
                <w:sz w:val="18"/>
              </w:rPr>
              <w:t>RFI 4.2.5 — 原文（英文）：</w:t>
            </w:r>
          </w:p>
          <w:p w14:paraId="4A47A6AD">
            <w:pPr>
              <w:spacing w:after="40"/>
            </w:pPr>
            <w:r>
              <w:rPr>
                <w:i/>
                <w:color w:val="333333"/>
                <w:sz w:val="19"/>
              </w:rPr>
              <w:t>4.2.5 AI 要求</w:t>
            </w:r>
          </w:p>
          <w:p w14:paraId="7AB27538">
            <w:pPr>
              <w:spacing w:after="40"/>
            </w:pPr>
            <w:r>
              <w:rPr>
                <w:i/>
                <w:color w:val="333333"/>
                <w:sz w:val="19"/>
              </w:rPr>
              <w:t>4.2.5.1 应采用包括生成式 AI（例如大语言模型 LLM）在内的前沿 OCR 和 AI 技术，以支持功能需求；</w:t>
            </w:r>
          </w:p>
          <w:p w14:paraId="29536C11">
            <w:pPr>
              <w:spacing w:after="40"/>
            </w:pPr>
            <w:r>
              <w:rPr>
                <w:i/>
                <w:color w:val="333333"/>
                <w:sz w:val="19"/>
              </w:rPr>
              <w:t>4.2.5.2 应对所有 AI 流程实施量化评分机制，以验证准确性</w:t>
            </w:r>
          </w:p>
          <w:p w14:paraId="64EA3909">
            <w:pPr>
              <w:spacing w:after="40"/>
            </w:pPr>
            <w:r>
              <w:rPr>
                <w:i/>
                <w:color w:val="333333"/>
                <w:sz w:val="19"/>
              </w:rPr>
              <w:t>4.2.5.3 应提供持续模型调优和训练服务，确保在实施和维护期间持续保持准确率（例如 90%）。</w:t>
            </w:r>
          </w:p>
          <w:p w14:paraId="60DF899D">
            <w:pPr>
              <w:spacing w:after="40"/>
            </w:pPr>
            <w:r>
              <w:rPr>
                <w:i/>
                <w:color w:val="333333"/>
                <w:sz w:val="19"/>
              </w:rPr>
              <w:t>4.2.5.4 应支持多种调优和训练方法，包括但不限于监督式学习、非监督式学习和基于人类反馈的强化学习（RLHF）。</w:t>
            </w:r>
          </w:p>
          <w:p w14:paraId="02026AF8">
            <w:pPr>
              <w:spacing w:after="40"/>
            </w:pPr>
            <w:r>
              <w:rPr>
                <w:i/>
                <w:color w:val="333333"/>
                <w:sz w:val="19"/>
              </w:rPr>
              <w:t>4.2.5.5 应能通过标准化 API 或与内部 ImmD 系统的接口导出 AI 生成的结果、数据、图像和报告</w:t>
            </w:r>
          </w:p>
          <w:p w14:paraId="2E5217A6">
            <w:pPr>
              <w:spacing w:after="40"/>
            </w:pPr>
            <w:r>
              <w:rPr>
                <w:i/>
                <w:color w:val="333333"/>
                <w:sz w:val="19"/>
              </w:rPr>
              <w:t>4.2.5.6 应提供标准化接口或 API，以收集用户对 AI 结果的反馈，从而提升准确率和满意度</w:t>
            </w:r>
          </w:p>
          <w:p w14:paraId="27287F51">
            <w:pPr>
              <w:spacing w:after="40"/>
            </w:pPr>
            <w:r>
              <w:rPr>
                <w:i/>
                <w:color w:val="333333"/>
                <w:sz w:val="19"/>
              </w:rPr>
              <w:t>4.2.5.7 应允许技术人员在系统生态内执行高级模型调优、重新训练、版本管理和部署</w:t>
            </w:r>
          </w:p>
        </w:tc>
      </w:tr>
      <w:tr w14:paraId="0EB35626">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54A38F6F">
            <w:pPr>
              <w:spacing w:after="80"/>
            </w:pPr>
            <w:r>
              <w:rPr>
                <w:b/>
                <w:color w:val="3A5A00"/>
                <w:sz w:val="18"/>
              </w:rPr>
              <w:t>中文解释（CMHK 参考）：</w:t>
            </w:r>
          </w:p>
          <w:p w14:paraId="3B1FCCD6">
            <w:pPr>
              <w:spacing w:after="40"/>
            </w:pPr>
            <w:r>
              <w:rPr>
                <w:i/>
                <w:color w:val="333333"/>
                <w:sz w:val="19"/>
              </w:rPr>
              <w:t>4.2.5 AI 要求</w:t>
            </w:r>
          </w:p>
          <w:p w14:paraId="69124A24">
            <w:pPr>
              <w:spacing w:after="40"/>
            </w:pPr>
            <w:r>
              <w:rPr>
                <w:i/>
                <w:color w:val="333333"/>
                <w:sz w:val="19"/>
              </w:rPr>
              <w:t>4.2.5.1 应采用前沿 OCR 与 AI 技术（含生成式 AI，例如 LLM）以支持功能需求</w:t>
            </w:r>
          </w:p>
          <w:p w14:paraId="221082B0">
            <w:pPr>
              <w:spacing w:after="40"/>
            </w:pPr>
            <w:r>
              <w:rPr>
                <w:i/>
                <w:color w:val="333333"/>
                <w:sz w:val="19"/>
              </w:rPr>
              <w:t>4.2.5.2 应对所有 AI 流程实施量化评分机制以验证准确率</w:t>
            </w:r>
          </w:p>
          <w:p w14:paraId="5C846072">
            <w:pPr>
              <w:spacing w:after="40"/>
            </w:pPr>
            <w:r>
              <w:rPr>
                <w:i/>
                <w:color w:val="333333"/>
                <w:sz w:val="19"/>
              </w:rPr>
              <w:t>4.2.5.3 应提供持续模型微调与训练服务，确保整个实施与维护期准确率维持（如 90%）</w:t>
            </w:r>
          </w:p>
          <w:p w14:paraId="36560964">
            <w:pPr>
              <w:spacing w:after="40"/>
            </w:pPr>
            <w:r>
              <w:rPr>
                <w:i/>
                <w:color w:val="333333"/>
                <w:sz w:val="19"/>
              </w:rPr>
              <w:t>4.2.5.4 应支持多种微调与训练方法，包含但不限于监督式、非监督式及 RLHF</w:t>
            </w:r>
          </w:p>
          <w:p w14:paraId="77A02595">
            <w:pPr>
              <w:spacing w:after="40"/>
            </w:pPr>
            <w:r>
              <w:rPr>
                <w:i/>
                <w:color w:val="333333"/>
                <w:sz w:val="19"/>
              </w:rPr>
              <w:t>4.2.5.5 应能通过标准化 API 或与内部 ImmD 系统之接口，导出 AI 生成之结果、资料、图像、报表</w:t>
            </w:r>
          </w:p>
          <w:p w14:paraId="270FEA03">
            <w:pPr>
              <w:spacing w:after="40"/>
            </w:pPr>
            <w:r>
              <w:rPr>
                <w:i/>
                <w:color w:val="333333"/>
                <w:sz w:val="19"/>
              </w:rPr>
              <w:t>4.2.5.6 应提供标准化接口或 API 收集使用者对 AI 结果之反馈，以提升准确率与满意度</w:t>
            </w:r>
          </w:p>
          <w:p w14:paraId="4633F38B">
            <w:pPr>
              <w:spacing w:after="40"/>
            </w:pPr>
            <w:r>
              <w:rPr>
                <w:i/>
                <w:color w:val="333333"/>
                <w:sz w:val="19"/>
              </w:rPr>
              <w:t>4.2.5.7 应允许技术人员于系统生态内进行进阶模型微调、重训、版本管理与部署</w:t>
            </w:r>
          </w:p>
        </w:tc>
      </w:tr>
    </w:tbl>
    <w:p w14:paraId="09DACA00"/>
    <w:p w14:paraId="0EE3C5FB">
      <w:pPr>
        <w:spacing w:before="280" w:after="80"/>
      </w:pPr>
      <w:r>
        <w:rPr>
          <w:b/>
          <w:color w:val="003D7A"/>
          <w:sz w:val="26"/>
        </w:rPr>
        <w:t>6.1 模型调优与持续优化</w:t>
      </w:r>
    </w:p>
    <w:p w14:paraId="5FCB6891">
      <w:pPr>
        <w:spacing w:after="60"/>
        <w:ind w:left="360"/>
      </w:pPr>
      <w:r>
        <w:rPr>
          <w:color w:val="222222"/>
          <w:sz w:val="20"/>
        </w:rPr>
        <w:t>• 在实施期 + 5 年维护期内维持 ≥90% 准确率的方法（RFI 4.2.5.3）</w:t>
      </w:r>
    </w:p>
    <w:p w14:paraId="0C5CD007">
      <w:pPr>
        <w:spacing w:after="60"/>
        <w:ind w:left="360"/>
      </w:pPr>
      <w:r>
        <w:rPr>
          <w:color w:val="222222"/>
          <w:sz w:val="20"/>
        </w:rPr>
        <w:t>• 支持的调优方法（监督式 / 非监督式 / RLHF — RFI 4.2.5.4）</w:t>
      </w:r>
    </w:p>
    <w:tbl>
      <w:tblPr>
        <w:tblStyle w:val="32"/>
        <w:tblW w:w="0" w:type="auto"/>
        <w:jc w:val="center"/>
        <w:tblLayout w:type="fixed"/>
        <w:tblCellMar>
          <w:top w:w="0" w:type="dxa"/>
          <w:left w:w="108" w:type="dxa"/>
          <w:bottom w:w="0" w:type="dxa"/>
          <w:right w:w="108" w:type="dxa"/>
        </w:tblCellMar>
      </w:tblPr>
      <w:tblGrid>
        <w:gridCol w:w="10200"/>
      </w:tblGrid>
      <w:tr w14:paraId="16390FDA">
        <w:tblPrEx>
          <w:tblCellMar>
            <w:top w:w="0" w:type="dxa"/>
            <w:left w:w="108" w:type="dxa"/>
            <w:bottom w:w="0" w:type="dxa"/>
            <w:right w:w="108" w:type="dxa"/>
          </w:tblCellMar>
        </w:tblPrEx>
        <w:trPr>
          <w:trHeight w:val="600"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7E84F81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rFonts w:hint="default" w:asciiTheme="minorAscii" w:hAnsiTheme="minorAscii"/>
                <w:color w:val="222222"/>
                <w:sz w:val="21"/>
                <w:szCs w:val="21"/>
              </w:rPr>
              <w:t>• 方案在实施和 5 年维护期间严格保持整体 AI 准确率 ≥90%。</w:t>
            </w:r>
            <w:r>
              <w:rPr>
                <w:rFonts w:hint="default" w:eastAsia="宋体" w:cs="宋体" w:asciiTheme="minorAscii" w:hAnsiTheme="minorAscii"/>
                <w:sz w:val="21"/>
                <w:szCs w:val="21"/>
              </w:rPr>
              <w:t xml:space="preserve"/>
            </w:r>
          </w:p>
          <w:p w14:paraId="65C866DA">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rFonts w:hint="default" w:asciiTheme="minorAscii" w:hAnsiTheme="minorAscii"/>
                <w:color w:val="222222"/>
                <w:sz w:val="21"/>
                <w:szCs w:val="21"/>
              </w:rPr>
              <w:t>• 支持多种训练与调优方法：监督学习、非监督学习和基于人类反馈的强化学习（RLHF）。</w:t>
            </w:r>
            <w:r>
              <w:rPr>
                <w:rFonts w:hint="default" w:eastAsia="宋体" w:cs="宋体" w:asciiTheme="minorAscii" w:hAnsiTheme="minorAscii"/>
                <w:sz w:val="21"/>
                <w:szCs w:val="21"/>
              </w:rPr>
              <w:t xml:space="preserve"/>
            </w:r>
          </w:p>
          <w:p w14:paraId="3D912B43">
            <w:pPr>
              <w:keepNext w:val="0"/>
              <w:keepLines w:val="0"/>
              <w:pageBreakBefore w:val="0"/>
              <w:widowControl/>
              <w:kinsoku/>
              <w:wordWrap/>
              <w:overflowPunct/>
              <w:topLinePunct w:val="0"/>
              <w:autoSpaceDE/>
              <w:autoSpaceDN/>
              <w:bidi w:val="0"/>
              <w:adjustRightInd/>
              <w:snapToGrid/>
              <w:spacing w:line="360" w:lineRule="auto"/>
              <w:textAlignment w:val="auto"/>
              <w:rPr>
                <w:rFonts w:hint="default" w:eastAsia="宋体" w:cs="宋体" w:asciiTheme="minorAscii" w:hAnsiTheme="minorAscii"/>
                <w:sz w:val="21"/>
                <w:szCs w:val="21"/>
              </w:rPr>
            </w:pPr>
            <w:r>
              <w:rPr>
                <w:rFonts w:hint="default" w:asciiTheme="minorAscii" w:hAnsiTheme="minorAscii"/>
                <w:color w:val="222222"/>
                <w:sz w:val="21"/>
                <w:szCs w:val="21"/>
              </w:rPr>
              <w:t>• 建立专门迭代机制：收集人员修正记录、异常 case 样本和人工修改内容，定期更新训练语料库，执行模型微调和版本迭代。</w:t>
            </w:r>
            <w:r>
              <w:rPr>
                <w:rFonts w:hint="default" w:eastAsia="宋体" w:cs="宋体" w:asciiTheme="minorAscii" w:hAnsiTheme="minorAscii"/>
                <w:sz w:val="21"/>
                <w:szCs w:val="21"/>
              </w:rPr>
              <w:t xml:space="preserve"/>
            </w:r>
          </w:p>
          <w:p w14:paraId="117EB900">
            <w:pPr>
              <w:keepNext w:val="0"/>
              <w:keepLines w:val="0"/>
              <w:pageBreakBefore w:val="0"/>
              <w:widowControl/>
              <w:kinsoku/>
              <w:wordWrap/>
              <w:overflowPunct/>
              <w:topLinePunct w:val="0"/>
              <w:autoSpaceDE/>
              <w:autoSpaceDN/>
              <w:bidi w:val="0"/>
              <w:adjustRightInd/>
              <w:snapToGrid/>
              <w:spacing w:line="360" w:lineRule="auto"/>
              <w:textAlignment w:val="auto"/>
              <w:rPr>
                <w:rFonts w:ascii="宋体" w:hAnsi="宋体" w:eastAsia="宋体" w:cs="宋体"/>
                <w:sz w:val="24"/>
                <w:szCs w:val="24"/>
              </w:rPr>
            </w:pPr>
            <w:r>
              <w:rPr>
                <w:rFonts w:hint="default" w:asciiTheme="minorAscii" w:hAnsiTheme="minorAscii"/>
                <w:color w:val="222222"/>
                <w:sz w:val="21"/>
                <w:szCs w:val="21"/>
              </w:rPr>
              <w:t>• 支持模型版本管理、A/B 测试、金丝雀部署和回滚机制，确保调优期间服务稳定。</w:t>
            </w:r>
            <w:r>
              <w:rPr>
                <w:rFonts w:hint="default" w:eastAsia="宋体" w:cs="宋体" w:asciiTheme="minorAscii" w:hAnsiTheme="minorAscii"/>
                <w:sz w:val="21"/>
                <w:szCs w:val="21"/>
              </w:rPr>
              <w:t xml:space="preserve"/>
            </w:r>
          </w:p>
        </w:tc>
      </w:tr>
    </w:tbl>
    <w:p w14:paraId="5E7246B4"/>
    <w:p w14:paraId="2E2B30B9">
      <w:pPr>
        <w:spacing w:before="280" w:after="80"/>
      </w:pPr>
      <w:r>
        <w:rPr>
          <w:b/>
          <w:color w:val="003D7A"/>
          <w:sz w:val="26"/>
        </w:rPr>
        <w:t>6.2 用户反馈 API（4.2.5.6）</w:t>
      </w:r>
    </w:p>
    <w:p w14:paraId="7EA92675">
      <w:pPr>
        <w:spacing w:after="60"/>
        <w:ind w:left="360"/>
      </w:pPr>
      <w:r>
        <w:rPr>
          <w:color w:val="222222"/>
          <w:sz w:val="20"/>
        </w:rPr>
        <w:t>• API 设计 — 捕获人员采纳 / 修正数据，并回流至训练语料库</w:t>
      </w:r>
    </w:p>
    <w:tbl>
      <w:tblPr>
        <w:tblStyle w:val="32"/>
        <w:tblW w:w="0" w:type="auto"/>
        <w:jc w:val="center"/>
        <w:tblLayout w:type="fixed"/>
        <w:tblCellMar>
          <w:top w:w="0" w:type="dxa"/>
          <w:left w:w="108" w:type="dxa"/>
          <w:bottom w:w="0" w:type="dxa"/>
          <w:right w:w="108" w:type="dxa"/>
        </w:tblCellMar>
      </w:tblPr>
      <w:tblGrid>
        <w:gridCol w:w="10200"/>
      </w:tblGrid>
      <w:tr w14:paraId="3C584651">
        <w:tblPrEx>
          <w:tblCellMar>
            <w:top w:w="0" w:type="dxa"/>
            <w:left w:w="108" w:type="dxa"/>
            <w:bottom w:w="0" w:type="dxa"/>
            <w:right w:w="108" w:type="dxa"/>
          </w:tblCellMar>
        </w:tblPrEx>
        <w:trPr>
          <w:trHeight w:val="2592" w:hRule="atLeast"/>
          <w:jc w:val="center"/>
        </w:trPr>
        <w:tc>
          <w:tcPr>
            <w:tcW w:w="10200" w:type="dxa"/>
            <w:tcBorders>
              <w:top w:val="single" w:color="888888" w:sz="6" w:space="0"/>
              <w:left w:val="single" w:color="888888" w:sz="6" w:space="0"/>
              <w:bottom w:val="single" w:color="888888" w:sz="6" w:space="0"/>
              <w:right w:val="single" w:color="888888" w:sz="6" w:space="0"/>
            </w:tcBorders>
          </w:tcPr>
          <w:p w14:paraId="38A1ED2F">
            <w:pPr>
              <w:rPr>
                <w:rFonts w:hint="eastAsia"/>
              </w:rPr>
            </w:pPr>
            <w:r>
              <w:rPr>
                <w:rFonts w:hint="eastAsia"/>
              </w:rPr>
              <w:t>提供标准化专用反馈 API，以收集：</w:t>
            </w:r>
          </w:p>
          <w:p w14:paraId="697B32BA">
            <w:pPr>
              <w:rPr>
                <w:rFonts w:hint="eastAsia"/>
              </w:rPr>
            </w:pPr>
            <w:r>
              <w:rPr>
                <w:rFonts w:hint="default" w:asciiTheme="minorAscii" w:hAnsiTheme="minorAscii"/>
                <w:color w:val="222222"/>
                <w:sz w:val="21"/>
                <w:szCs w:val="21"/>
              </w:rPr>
              <w:t>• Case officer 对文件分类结果的人工修正</w:t>
            </w:r>
            <w:r>
              <w:rPr>
                <w:rFonts w:hint="eastAsia"/>
              </w:rPr>
              <w:t xml:space="preserve"/>
            </w:r>
          </w:p>
          <w:p w14:paraId="0CBAF82B">
            <w:pPr>
              <w:rPr>
                <w:rFonts w:hint="eastAsia"/>
              </w:rPr>
            </w:pPr>
            <w:r>
              <w:rPr>
                <w:rFonts w:hint="default" w:asciiTheme="minorAscii" w:hAnsiTheme="minorAscii"/>
                <w:color w:val="222222"/>
                <w:sz w:val="21"/>
                <w:szCs w:val="21"/>
              </w:rPr>
              <w:t>• 对数据核验异常标记的人工调整</w:t>
            </w:r>
            <w:r>
              <w:rPr>
                <w:rFonts w:hint="eastAsia"/>
              </w:rPr>
              <w:t xml:space="preserve"/>
            </w:r>
          </w:p>
          <w:p w14:paraId="168A83DE">
            <w:pPr>
              <w:rPr>
                <w:rFonts w:hint="eastAsia"/>
              </w:rPr>
            </w:pPr>
            <w:r>
              <w:rPr>
                <w:rFonts w:hint="default" w:asciiTheme="minorAscii" w:hAnsiTheme="minorAscii"/>
                <w:color w:val="222222"/>
                <w:sz w:val="21"/>
                <w:szCs w:val="21"/>
              </w:rPr>
              <w:t>• 对自动生成 minutes 草稿的内容修改和措辞调整</w:t>
            </w:r>
            <w:r>
              <w:rPr>
                <w:rFonts w:hint="eastAsia"/>
              </w:rPr>
              <w:t xml:space="preserve"/>
            </w:r>
          </w:p>
          <w:p w14:paraId="68540DF7">
            <w:pPr>
              <w:rPr>
                <w:rFonts w:hint="eastAsia"/>
              </w:rPr>
            </w:pPr>
            <w:r>
              <w:rPr>
                <w:rFonts w:hint="default" w:asciiTheme="minorAscii" w:hAnsiTheme="minorAscii"/>
                <w:color w:val="222222"/>
                <w:sz w:val="21"/>
                <w:szCs w:val="21"/>
              </w:rPr>
              <w:t>• 用户满意度标签和错误反馈标记</w:t>
            </w:r>
            <w:r>
              <w:rPr>
                <w:rFonts w:hint="eastAsia"/>
              </w:rPr>
              <w:t xml:space="preserve"/>
            </w:r>
          </w:p>
          <w:p w14:paraId="685778B5">
            <w:r>
              <w:rPr>
                <w:rFonts w:hint="eastAsia"/>
              </w:rPr>
              <w:t>所有反馈数据将自动结构化并归档至训练数据集，回流至模型微调流水线，以持续提升准确率和服务满意度。</w:t>
            </w:r>
          </w:p>
        </w:tc>
      </w:tr>
    </w:tbl>
    <w:p w14:paraId="0E3E5777"/>
    <w:p w14:paraId="34CBE953">
      <w:pPr>
        <w:spacing w:before="280" w:after="80"/>
      </w:pPr>
      <w:r>
        <w:rPr>
          <w:b/>
          <w:color w:val="003D7A"/>
          <w:sz w:val="26"/>
        </w:rPr>
        <w:t>6.3 汇总准确率表（请按各功能提出）</w:t>
      </w:r>
    </w:p>
    <w:p w14:paraId="75A21BF6">
      <w:pPr>
        <w:spacing w:after="120"/>
      </w:pPr>
      <w:r>
        <w:rPr>
          <w:i/>
          <w:color w:val="222222"/>
          <w:sz w:val="20"/>
        </w:rPr>
        <w:t>请完成：(a) 承诺准确率 % (b) 准确率定义（例如字符 / 单词 / 字段 / 业务级）(c) 测量方法（测试集规模、Precision / Recall / F1 等指标）。请填写：(a) 承诺准确率 % (b) 准确率定义 (c) 测量方法。</w:t>
      </w:r>
    </w:p>
    <w:tbl>
      <w:tblPr>
        <w:tblStyle w:val="32"/>
        <w:tblW w:w="0" w:type="auto"/>
        <w:jc w:val="center"/>
        <w:tblLayout w:type="fixed"/>
        <w:tblCellMar>
          <w:top w:w="0" w:type="dxa"/>
          <w:left w:w="108" w:type="dxa"/>
          <w:bottom w:w="0" w:type="dxa"/>
          <w:right w:w="108" w:type="dxa"/>
        </w:tblCellMar>
      </w:tblPr>
      <w:tblGrid>
        <w:gridCol w:w="2550"/>
        <w:gridCol w:w="2550"/>
        <w:gridCol w:w="2550"/>
        <w:gridCol w:w="2550"/>
      </w:tblGrid>
      <w:tr w14:paraId="18D768DD">
        <w:tblPrEx>
          <w:tblCellMar>
            <w:top w:w="0" w:type="dxa"/>
            <w:left w:w="108" w:type="dxa"/>
            <w:bottom w:w="0" w:type="dxa"/>
            <w:right w:w="108" w:type="dxa"/>
          </w:tblCellMar>
        </w:tblPrEx>
        <w:trPr>
          <w:trHeight w:val="576" w:hRule="atLeast"/>
          <w:jc w:val="center"/>
        </w:trPr>
        <w:tc>
          <w:tcPr>
            <w:tcW w:w="2550" w:type="dxa"/>
            <w:shd w:val="clear" w:color="auto" w:fill="003D7A"/>
            <w:vAlign w:val="center"/>
          </w:tcPr>
          <w:p w14:paraId="506A28A4">
            <w:r>
              <w:rPr>
                <w:b/>
                <w:color w:val="FFFFFF"/>
                <w:sz w:val="20"/>
              </w:rPr>
              <w:t>AI 功能</w:t>
            </w:r>
          </w:p>
        </w:tc>
        <w:tc>
          <w:tcPr>
            <w:tcW w:w="2550" w:type="dxa"/>
            <w:shd w:val="clear" w:color="auto" w:fill="003D7A"/>
            <w:vAlign w:val="center"/>
          </w:tcPr>
          <w:p w14:paraId="04AD4324">
            <w:r>
              <w:rPr>
                <w:b/>
                <w:color w:val="FFFFFF"/>
                <w:sz w:val="20"/>
              </w:rPr>
              <w:t>承诺准确率（%）</w:t>
            </w:r>
          </w:p>
        </w:tc>
        <w:tc>
          <w:tcPr>
            <w:tcW w:w="2550" w:type="dxa"/>
            <w:shd w:val="clear" w:color="auto" w:fill="003D7A"/>
            <w:vAlign w:val="center"/>
          </w:tcPr>
          <w:p w14:paraId="3F5BD07F">
            <w:r>
              <w:rPr>
                <w:b/>
                <w:color w:val="FFFFFF"/>
                <w:sz w:val="20"/>
              </w:rPr>
              <w:t>准确率定义</w:t>
            </w:r>
          </w:p>
        </w:tc>
        <w:tc>
          <w:tcPr>
            <w:tcW w:w="2550" w:type="dxa"/>
            <w:shd w:val="clear" w:color="auto" w:fill="003D7A"/>
            <w:vAlign w:val="center"/>
          </w:tcPr>
          <w:p w14:paraId="57D7182C">
            <w:r>
              <w:rPr>
                <w:b/>
                <w:color w:val="FFFFFF"/>
                <w:sz w:val="20"/>
              </w:rPr>
              <w:t>测量方法</w:t>
            </w:r>
          </w:p>
        </w:tc>
      </w:tr>
      <w:tr w14:paraId="4FE0B79D">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32076D00">
            <w:r>
              <w:rPr>
                <w:b/>
                <w:color w:val="222222"/>
                <w:sz w:val="20"/>
              </w:rPr>
              <w:t>自动文件分类</w:t>
            </w:r>
          </w:p>
        </w:tc>
        <w:tc>
          <w:tcPr>
            <w:tcW w:w="2550" w:type="dxa"/>
            <w:tcBorders>
              <w:top w:val="single" w:color="888888" w:sz="6" w:space="0"/>
              <w:left w:val="single" w:color="888888" w:sz="6" w:space="0"/>
              <w:bottom w:val="single" w:color="888888" w:sz="6" w:space="0"/>
              <w:right w:val="single" w:color="888888" w:sz="6" w:space="0"/>
            </w:tcBorders>
            <w:vAlign w:val="top"/>
          </w:tcPr>
          <w:p w14:paraId="689A4C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≥95%</w:t>
            </w:r>
          </w:p>
        </w:tc>
        <w:tc>
          <w:tcPr>
            <w:tcW w:w="2550" w:type="dxa"/>
            <w:tcBorders>
              <w:top w:val="single" w:color="888888" w:sz="6" w:space="0"/>
              <w:left w:val="single" w:color="888888" w:sz="6" w:space="0"/>
              <w:bottom w:val="single" w:color="888888" w:sz="6" w:space="0"/>
              <w:right w:val="single" w:color="888888" w:sz="6" w:space="0"/>
            </w:tcBorders>
            <w:vAlign w:val="top"/>
          </w:tcPr>
          <w:p w14:paraId="7D360A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业务级文件分类与完整性判断准确率</w:t>
            </w:r>
          </w:p>
        </w:tc>
        <w:tc>
          <w:tcPr>
            <w:tcW w:w="2550" w:type="dxa"/>
            <w:tcBorders>
              <w:top w:val="single" w:color="888888" w:sz="6" w:space="0"/>
              <w:left w:val="single" w:color="888888" w:sz="6" w:space="0"/>
              <w:bottom w:val="single" w:color="888888" w:sz="6" w:space="0"/>
              <w:right w:val="single" w:color="888888" w:sz="6" w:space="0"/>
            </w:tcBorders>
            <w:vAlign w:val="top"/>
          </w:tcPr>
          <w:p w14:paraId="530267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超过 5,000 个测试样本；评估 Precision、Recall、F1-score</w:t>
            </w:r>
          </w:p>
        </w:tc>
      </w:tr>
      <w:tr w14:paraId="396F7BEC">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0C9EF84A">
            <w:r>
              <w:rPr>
                <w:b/>
                <w:color w:val="222222"/>
                <w:sz w:val="20"/>
              </w:rPr>
              <w:t>智能数据核验</w:t>
            </w:r>
          </w:p>
        </w:tc>
        <w:tc>
          <w:tcPr>
            <w:tcW w:w="2550" w:type="dxa"/>
            <w:tcBorders>
              <w:top w:val="single" w:color="888888" w:sz="6" w:space="0"/>
              <w:left w:val="single" w:color="888888" w:sz="6" w:space="0"/>
              <w:bottom w:val="single" w:color="888888" w:sz="6" w:space="0"/>
              <w:right w:val="single" w:color="888888" w:sz="6" w:space="0"/>
            </w:tcBorders>
            <w:vAlign w:val="top"/>
          </w:tcPr>
          <w:p w14:paraId="77F222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≥90%</w:t>
            </w:r>
            <w:r>
              <w:rPr>
                <w:rFonts w:hint="eastAsia" w:eastAsia="宋体" w:cs="宋体" w:asciiTheme="minorAscii" w:hAnsiTheme="minorAscii"/>
                <w:kern w:val="0"/>
                <w:sz w:val="20"/>
                <w:szCs w:val="20"/>
                <w:lang w:val="en-US" w:eastAsia="zh-CN" w:bidi="ar"/>
              </w:rPr>
              <w:t/>
            </w:r>
            <w:r>
              <w:rPr>
                <w:rFonts w:hint="default" w:eastAsia="宋体" w:cs="宋体" w:asciiTheme="minorAscii" w:hAnsiTheme="minorAscii"/>
                <w:kern w:val="0"/>
                <w:sz w:val="20"/>
                <w:szCs w:val="20"/>
                <w:lang w:val="en-US" w:eastAsia="zh-CN" w:bidi="ar"/>
              </w:rPr>
              <w:t/>
            </w:r>
          </w:p>
        </w:tc>
        <w:tc>
          <w:tcPr>
            <w:tcW w:w="2550" w:type="dxa"/>
            <w:tcBorders>
              <w:top w:val="single" w:color="888888" w:sz="6" w:space="0"/>
              <w:left w:val="single" w:color="888888" w:sz="6" w:space="0"/>
              <w:bottom w:val="single" w:color="888888" w:sz="6" w:space="0"/>
              <w:right w:val="single" w:color="888888" w:sz="6" w:space="0"/>
            </w:tcBorders>
            <w:vAlign w:val="top"/>
          </w:tcPr>
          <w:p w14:paraId="4EB541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字段抽取与业务交叉核验合规准确率</w:t>
            </w:r>
          </w:p>
        </w:tc>
        <w:tc>
          <w:tcPr>
            <w:tcW w:w="2550" w:type="dxa"/>
            <w:tcBorders>
              <w:top w:val="single" w:color="888888" w:sz="6" w:space="0"/>
              <w:left w:val="single" w:color="888888" w:sz="6" w:space="0"/>
              <w:bottom w:val="single" w:color="888888" w:sz="6" w:space="0"/>
              <w:right w:val="single" w:color="888888" w:sz="6" w:space="0"/>
            </w:tcBorders>
            <w:vAlign w:val="top"/>
          </w:tcPr>
          <w:p w14:paraId="4B630E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完整场景异常样本集；衡量抽取准确率和不一致检测率</w:t>
            </w:r>
          </w:p>
        </w:tc>
      </w:tr>
      <w:tr w14:paraId="678094BB">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29F92E91">
            <w:r>
              <w:rPr>
                <w:b/>
                <w:color w:val="222222"/>
                <w:sz w:val="20"/>
              </w:rPr>
              <w:t>智能 Minutes 草拟</w:t>
            </w:r>
          </w:p>
        </w:tc>
        <w:tc>
          <w:tcPr>
            <w:tcW w:w="2550" w:type="dxa"/>
            <w:tcBorders>
              <w:top w:val="single" w:color="888888" w:sz="6" w:space="0"/>
              <w:left w:val="single" w:color="888888" w:sz="6" w:space="0"/>
              <w:bottom w:val="single" w:color="888888" w:sz="6" w:space="0"/>
              <w:right w:val="single" w:color="888888" w:sz="6" w:space="0"/>
            </w:tcBorders>
            <w:vAlign w:val="top"/>
          </w:tcPr>
          <w:p w14:paraId="2E84D7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≥90%</w:t>
            </w:r>
          </w:p>
        </w:tc>
        <w:tc>
          <w:tcPr>
            <w:tcW w:w="2550" w:type="dxa"/>
            <w:tcBorders>
              <w:top w:val="single" w:color="888888" w:sz="6" w:space="0"/>
              <w:left w:val="single" w:color="888888" w:sz="6" w:space="0"/>
              <w:bottom w:val="single" w:color="888888" w:sz="6" w:space="0"/>
              <w:right w:val="single" w:color="888888" w:sz="6" w:space="0"/>
            </w:tcBorders>
            <w:vAlign w:val="top"/>
          </w:tcPr>
          <w:p w14:paraId="66EAA3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模板匹配与内容措辞合规准确率</w:t>
            </w:r>
          </w:p>
        </w:tc>
        <w:tc>
          <w:tcPr>
            <w:tcW w:w="2550" w:type="dxa"/>
            <w:tcBorders>
              <w:top w:val="single" w:color="888888" w:sz="6" w:space="0"/>
              <w:left w:val="single" w:color="888888" w:sz="6" w:space="0"/>
              <w:bottom w:val="single" w:color="888888" w:sz="6" w:space="0"/>
              <w:right w:val="single" w:color="888888" w:sz="6" w:space="0"/>
            </w:tcBorders>
            <w:vAlign w:val="top"/>
          </w:tcPr>
          <w:p w14:paraId="1D1F698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基于场景的测试集；评估匹配命中率和人工修改率</w:t>
            </w:r>
          </w:p>
        </w:tc>
      </w:tr>
      <w:tr w14:paraId="47E1ADB4">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2E47465F">
            <w:r>
              <w:rPr>
                <w:b/>
                <w:color w:val="222222"/>
                <w:sz w:val="20"/>
              </w:rPr>
              <w:t>整合工作流（端到端）</w:t>
            </w:r>
          </w:p>
        </w:tc>
        <w:tc>
          <w:tcPr>
            <w:tcW w:w="2550" w:type="dxa"/>
            <w:tcBorders>
              <w:top w:val="single" w:color="888888" w:sz="6" w:space="0"/>
              <w:left w:val="single" w:color="888888" w:sz="6" w:space="0"/>
              <w:bottom w:val="single" w:color="888888" w:sz="6" w:space="0"/>
              <w:right w:val="single" w:color="888888" w:sz="6" w:space="0"/>
            </w:tcBorders>
            <w:vAlign w:val="top"/>
          </w:tcPr>
          <w:p w14:paraId="1FFD06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≥90%</w:t>
            </w:r>
          </w:p>
        </w:tc>
        <w:tc>
          <w:tcPr>
            <w:tcW w:w="2550" w:type="dxa"/>
            <w:tcBorders>
              <w:top w:val="single" w:color="888888" w:sz="6" w:space="0"/>
              <w:left w:val="single" w:color="888888" w:sz="6" w:space="0"/>
              <w:bottom w:val="single" w:color="888888" w:sz="6" w:space="0"/>
              <w:right w:val="single" w:color="888888" w:sz="6" w:space="0"/>
            </w:tcBorders>
            <w:vAlign w:val="top"/>
          </w:tcPr>
          <w:p w14:paraId="0DE0E4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完整 case 端到端业务通过率</w:t>
            </w:r>
          </w:p>
        </w:tc>
        <w:tc>
          <w:tcPr>
            <w:tcW w:w="2550" w:type="dxa"/>
            <w:tcBorders>
              <w:top w:val="single" w:color="888888" w:sz="6" w:space="0"/>
              <w:left w:val="single" w:color="888888" w:sz="6" w:space="0"/>
              <w:bottom w:val="single" w:color="888888" w:sz="6" w:space="0"/>
              <w:right w:val="single" w:color="888888" w:sz="6" w:space="0"/>
            </w:tcBorders>
            <w:vAlign w:val="top"/>
          </w:tcPr>
          <w:p w14:paraId="1E91CE5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rPr>
            </w:pPr>
            <w:r>
              <w:rPr>
                <w:rFonts w:hint="default" w:eastAsia="宋体" w:cs="宋体" w:asciiTheme="minorAscii" w:hAnsiTheme="minorAscii"/>
                <w:kern w:val="0"/>
                <w:sz w:val="20"/>
                <w:szCs w:val="20"/>
                <w:lang w:val="en-US" w:eastAsia="zh-CN" w:bidi="ar"/>
              </w:rPr>
              <w:t>完整生命周期 case 批量测试；衡量整体自动通过率</w:t>
            </w:r>
          </w:p>
        </w:tc>
      </w:tr>
    </w:tbl>
    <w:p w14:paraId="3C137082">
      <w:pPr>
        <w:spacing w:before="440" w:after="80"/>
      </w:pPr>
      <w:r>
        <w:rPr>
          <w:b/>
          <w:color w:val="003D7A"/>
          <w:sz w:val="32"/>
        </w:rPr>
        <w:t>7. 本地容灾与故障切换（应用服务层面）</w:t>
      </w:r>
    </w:p>
    <w:p w14:paraId="0C26698A">
      <w:pPr>
        <w:spacing w:after="80"/>
      </w:pPr>
      <w:r>
        <w:rPr>
          <w:i/>
          <w:color w:val="555555"/>
          <w:sz w:val="19"/>
        </w:rPr>
        <w:t>[ Annex I Table 1 — 本地容灾 · RFI 4.3.9 + 4.3.13 ]</w:t>
      </w:r>
    </w:p>
    <w:tbl>
      <w:tblPr>
        <w:tblStyle w:val="32"/>
        <w:tblW w:w="0" w:type="auto"/>
        <w:jc w:val="center"/>
        <w:tblLayout w:type="fixed"/>
        <w:tblCellMar>
          <w:top w:w="0" w:type="dxa"/>
          <w:left w:w="108" w:type="dxa"/>
          <w:bottom w:w="0" w:type="dxa"/>
          <w:right w:w="108" w:type="dxa"/>
        </w:tblCellMar>
      </w:tblPr>
      <w:tblGrid>
        <w:gridCol w:w="10200"/>
      </w:tblGrid>
      <w:tr w14:paraId="640DD69D">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40FC1B56">
            <w:pPr>
              <w:spacing w:after="80"/>
            </w:pPr>
            <w:r>
              <w:rPr>
                <w:b/>
                <w:color w:val="003D7A"/>
                <w:sz w:val="18"/>
              </w:rPr>
              <w:t>Annex I Table 1 — 原文（英文）：</w:t>
            </w:r>
          </w:p>
          <w:p w14:paraId="12D84DE9">
            <w:pPr>
              <w:spacing w:after="40"/>
            </w:pPr>
            <w:r>
              <w:rPr>
                <w:i/>
                <w:color w:val="333333"/>
                <w:sz w:val="19"/>
              </w:rPr>
              <w:t>本地容灾与故障切换</w:t>
            </w:r>
          </w:p>
          <w:p w14:paraId="2F5EDE31">
            <w:pPr>
              <w:spacing w:after="40"/>
            </w:pPr>
            <w:r>
              <w:rPr>
                <w:i/>
                <w:color w:val="333333"/>
                <w:sz w:val="19"/>
              </w:rPr>
              <w:t>生产环境中的所有服务器均应具备本地容灾和高可用能力，采用 active-active 或 active-standby 方式。请说明在 active-active 和 active-standby 场景下，从主服务器切换至备用服务器的承诺切换时间。</w:t>
            </w:r>
          </w:p>
        </w:tc>
      </w:tr>
      <w:tr w14:paraId="610F807C">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19A9D5E3">
            <w:pPr>
              <w:spacing w:after="80"/>
            </w:pPr>
            <w:r>
              <w:rPr>
                <w:b/>
                <w:color w:val="3A5A00"/>
                <w:sz w:val="18"/>
              </w:rPr>
              <w:t>中文解释（CMHK 参考）：</w:t>
            </w:r>
          </w:p>
          <w:p w14:paraId="5AC49B01">
            <w:pPr>
              <w:spacing w:after="40"/>
            </w:pPr>
            <w:r>
              <w:rPr>
                <w:i/>
                <w:color w:val="333333"/>
                <w:sz w:val="19"/>
              </w:rPr>
              <w:t>本地容灾与故障切换</w:t>
            </w:r>
          </w:p>
          <w:p w14:paraId="6B194FE4">
            <w:pPr>
              <w:spacing w:after="40"/>
            </w:pPr>
            <w:r>
              <w:rPr>
                <w:i/>
                <w:color w:val="333333"/>
                <w:sz w:val="19"/>
              </w:rPr>
              <w:t>生产环境所有 server 须具备本地容灾与高可用配置（active-active 或 active-standby）。请承诺两种配置下，从主机切换至备机的切换时间</w:t>
            </w:r>
          </w:p>
        </w:tc>
      </w:tr>
    </w:tbl>
    <w:p w14:paraId="569CDCF3"/>
    <w:tbl>
      <w:tblPr>
        <w:tblStyle w:val="32"/>
        <w:tblW w:w="0" w:type="auto"/>
        <w:jc w:val="center"/>
        <w:tblLayout w:type="fixed"/>
        <w:tblCellMar>
          <w:top w:w="0" w:type="dxa"/>
          <w:left w:w="108" w:type="dxa"/>
          <w:bottom w:w="0" w:type="dxa"/>
          <w:right w:w="108" w:type="dxa"/>
        </w:tblCellMar>
      </w:tblPr>
      <w:tblGrid>
        <w:gridCol w:w="10200"/>
      </w:tblGrid>
      <w:tr w14:paraId="42569FF7">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3C7F08CE">
            <w:pPr>
              <w:spacing w:after="80"/>
            </w:pPr>
            <w:r>
              <w:rPr>
                <w:b/>
                <w:color w:val="003D7A"/>
                <w:sz w:val="18"/>
              </w:rPr>
              <w:t>RFI 4.3.9 — 原文（英文）：</w:t>
            </w:r>
          </w:p>
          <w:p w14:paraId="7A6FC8AC">
            <w:pPr>
              <w:spacing w:after="40"/>
            </w:pPr>
            <w:r>
              <w:rPr>
                <w:i/>
                <w:color w:val="333333"/>
                <w:sz w:val="19"/>
              </w:rPr>
              <w:t>4.3.9 系统可靠性要求</w:t>
            </w:r>
          </w:p>
          <w:p w14:paraId="023425FD">
            <w:pPr>
              <w:spacing w:after="40"/>
            </w:pPr>
            <w:r>
              <w:rPr>
                <w:i/>
                <w:color w:val="333333"/>
                <w:sz w:val="19"/>
              </w:rPr>
              <w:t>4.3.9.1 应采用最低可服务水平：99.5%</w:t>
            </w:r>
          </w:p>
        </w:tc>
      </w:tr>
      <w:tr w14:paraId="1D2AF9FF">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1D8D8DE1">
            <w:pPr>
              <w:spacing w:after="80"/>
            </w:pPr>
            <w:r>
              <w:rPr>
                <w:b/>
                <w:color w:val="3A5A00"/>
                <w:sz w:val="18"/>
              </w:rPr>
              <w:t>中文解释（CMHK 参考）：</w:t>
            </w:r>
          </w:p>
          <w:p w14:paraId="6D0147F8">
            <w:pPr>
              <w:spacing w:after="40"/>
            </w:pPr>
            <w:r>
              <w:rPr>
                <w:i/>
                <w:color w:val="333333"/>
                <w:sz w:val="19"/>
              </w:rPr>
              <w:t>4.3.9 系统可靠性要求</w:t>
            </w:r>
          </w:p>
          <w:p w14:paraId="4366614A">
            <w:pPr>
              <w:spacing w:after="40"/>
            </w:pPr>
            <w:r>
              <w:rPr>
                <w:i/>
                <w:color w:val="333333"/>
                <w:sz w:val="19"/>
              </w:rPr>
              <w:t>4.3.9.1 应采最低可服务率 99.5%</w:t>
            </w:r>
          </w:p>
        </w:tc>
      </w:tr>
    </w:tbl>
    <w:p w14:paraId="52A80074"/>
    <w:tbl>
      <w:tblPr>
        <w:tblStyle w:val="32"/>
        <w:tblW w:w="0" w:type="auto"/>
        <w:jc w:val="center"/>
        <w:tblLayout w:type="fixed"/>
        <w:tblCellMar>
          <w:top w:w="0" w:type="dxa"/>
          <w:left w:w="108" w:type="dxa"/>
          <w:bottom w:w="0" w:type="dxa"/>
          <w:right w:w="108" w:type="dxa"/>
        </w:tblCellMar>
      </w:tblPr>
      <w:tblGrid>
        <w:gridCol w:w="10200"/>
      </w:tblGrid>
      <w:tr w14:paraId="10B6E5E8">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5C90B879">
            <w:pPr>
              <w:spacing w:after="80"/>
            </w:pPr>
            <w:r>
              <w:rPr>
                <w:b/>
                <w:color w:val="003D7A"/>
                <w:sz w:val="18"/>
              </w:rPr>
              <w:t>RFI 4.3.13 — 原文（英文）：</w:t>
            </w:r>
          </w:p>
          <w:p w14:paraId="1AA18ADD">
            <w:pPr>
              <w:spacing w:after="40"/>
            </w:pPr>
            <w:r>
              <w:rPr>
                <w:i/>
                <w:color w:val="333333"/>
                <w:sz w:val="19"/>
              </w:rPr>
              <w:t>4.3.13 新 AI 方案的高可用要求</w:t>
            </w:r>
          </w:p>
          <w:p w14:paraId="12FC9C59">
            <w:pPr>
              <w:spacing w:after="40"/>
            </w:pPr>
            <w:r>
              <w:rPr>
                <w:i/>
                <w:color w:val="333333"/>
                <w:sz w:val="19"/>
              </w:rPr>
              <w:t>4.3.13.1 应为生产环境中的所有 AI 推理服务器提供 active-active 机制下的本地容灾。</w:t>
            </w:r>
          </w:p>
          <w:p w14:paraId="2452F9C6">
            <w:pPr>
              <w:spacing w:after="40"/>
            </w:pPr>
            <w:r>
              <w:rPr>
                <w:i/>
                <w:color w:val="333333"/>
                <w:sz w:val="19"/>
              </w:rPr>
              <w:t>4.3.13.2 应为生产环境中的所有服务提供 active-standby 或 active-active 方式的本地容灾。</w:t>
            </w:r>
          </w:p>
        </w:tc>
      </w:tr>
      <w:tr w14:paraId="1492FFC1">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3C22CCB2">
            <w:pPr>
              <w:spacing w:after="80"/>
            </w:pPr>
            <w:r>
              <w:rPr>
                <w:b/>
                <w:color w:val="3A5A00"/>
                <w:sz w:val="18"/>
              </w:rPr>
              <w:t>中文解释（CMHK 参考）：</w:t>
            </w:r>
          </w:p>
          <w:p w14:paraId="14449397">
            <w:pPr>
              <w:spacing w:after="40"/>
            </w:pPr>
            <w:r>
              <w:rPr>
                <w:i/>
                <w:color w:val="333333"/>
                <w:sz w:val="19"/>
              </w:rPr>
              <w:t>4.3.13 新 AI 方案之高可用要求</w:t>
            </w:r>
          </w:p>
          <w:p w14:paraId="50ADFDA8">
            <w:pPr>
              <w:spacing w:after="40"/>
            </w:pPr>
            <w:r>
              <w:rPr>
                <w:i/>
                <w:color w:val="333333"/>
                <w:sz w:val="19"/>
              </w:rPr>
              <w:t>4.3.13.1 生产环境之所有 AI Inference servers 应采 active-active 本地容灾</w:t>
            </w:r>
          </w:p>
          <w:p w14:paraId="7AA6C988">
            <w:pPr>
              <w:spacing w:after="40"/>
            </w:pPr>
            <w:r>
              <w:rPr>
                <w:i/>
                <w:color w:val="333333"/>
                <w:sz w:val="19"/>
              </w:rPr>
              <w:t>4.3.13.2 生产环境之所有服务应采 active-standby 或 active-active 本地容灾</w:t>
            </w:r>
          </w:p>
        </w:tc>
      </w:tr>
    </w:tbl>
    <w:p w14:paraId="24151514"/>
    <w:p w14:paraId="794458CF">
      <w:pPr>
        <w:spacing w:after="60"/>
        <w:ind w:left="360"/>
      </w:pPr>
      <w:r>
        <w:rPr>
          <w:color w:val="222222"/>
          <w:sz w:val="20"/>
        </w:rPr>
        <w:t>• AI 应用服务的 HA 配置（OCR / Cross-Check Engine / Minutes LLM / PDF Generator）</w:t>
      </w:r>
    </w:p>
    <w:p w14:paraId="37C6DFA7">
      <w:pPr>
        <w:spacing w:after="60"/>
        <w:ind w:left="360"/>
      </w:pPr>
      <w:r>
        <w:rPr>
          <w:color w:val="222222"/>
          <w:sz w:val="20"/>
        </w:rPr>
        <w:t>• 请在下表承诺切换时间</w:t>
      </w:r>
    </w:p>
    <w:p w14:paraId="3A31F383">
      <w:pPr>
        <w:spacing w:after="120"/>
      </w:pPr>
      <w:r>
        <w:rPr>
          <w:i/>
          <w:color w:val="222222"/>
          <w:sz w:val="20"/>
        </w:rPr>
        <w:t>请承诺每种配置下主机 → 备机的切换时间。请承诺每种 HA 配置的主机→备机切换时间。</w:t>
      </w:r>
    </w:p>
    <w:tbl>
      <w:tblPr>
        <w:tblStyle w:val="32"/>
        <w:tblW w:w="0" w:type="auto"/>
        <w:jc w:val="center"/>
        <w:tblLayout w:type="fixed"/>
        <w:tblCellMar>
          <w:top w:w="0" w:type="dxa"/>
          <w:left w:w="108" w:type="dxa"/>
          <w:bottom w:w="0" w:type="dxa"/>
          <w:right w:w="108" w:type="dxa"/>
        </w:tblCellMar>
      </w:tblPr>
      <w:tblGrid>
        <w:gridCol w:w="3400"/>
        <w:gridCol w:w="3400"/>
        <w:gridCol w:w="3400"/>
      </w:tblGrid>
      <w:tr w14:paraId="6231CAEF">
        <w:tblPrEx>
          <w:tblCellMar>
            <w:top w:w="0" w:type="dxa"/>
            <w:left w:w="108" w:type="dxa"/>
            <w:bottom w:w="0" w:type="dxa"/>
            <w:right w:w="108" w:type="dxa"/>
          </w:tblCellMar>
        </w:tblPrEx>
        <w:trPr>
          <w:trHeight w:val="576" w:hRule="atLeast"/>
          <w:jc w:val="center"/>
        </w:trPr>
        <w:tc>
          <w:tcPr>
            <w:tcW w:w="3400" w:type="dxa"/>
            <w:shd w:val="clear" w:color="auto" w:fill="003D7A"/>
            <w:vAlign w:val="center"/>
          </w:tcPr>
          <w:p w14:paraId="4B40FB79">
            <w:r>
              <w:rPr>
                <w:b/>
                <w:color w:val="FFFFFF"/>
                <w:sz w:val="20"/>
              </w:rPr>
              <w:t>HA 配置</w:t>
            </w:r>
          </w:p>
        </w:tc>
        <w:tc>
          <w:tcPr>
            <w:tcW w:w="3400" w:type="dxa"/>
            <w:shd w:val="clear" w:color="auto" w:fill="003D7A"/>
            <w:vAlign w:val="center"/>
          </w:tcPr>
          <w:p w14:paraId="5DAFAFFD">
            <w:r>
              <w:rPr>
                <w:b/>
                <w:color w:val="FFFFFF"/>
                <w:sz w:val="20"/>
              </w:rPr>
              <w:t>适用范围</w:t>
            </w:r>
          </w:p>
        </w:tc>
        <w:tc>
          <w:tcPr>
            <w:tcW w:w="3400" w:type="dxa"/>
            <w:shd w:val="clear" w:color="auto" w:fill="003D7A"/>
            <w:vAlign w:val="center"/>
          </w:tcPr>
          <w:p w14:paraId="44FE7EAF">
            <w:r>
              <w:rPr>
                <w:b/>
                <w:color w:val="FFFFFF"/>
                <w:sz w:val="20"/>
              </w:rPr>
              <w:t>承诺切换时间</w:t>
            </w:r>
          </w:p>
        </w:tc>
      </w:tr>
      <w:tr w14:paraId="0152BBF7">
        <w:tblPrEx>
          <w:tblCellMar>
            <w:top w:w="0" w:type="dxa"/>
            <w:left w:w="108" w:type="dxa"/>
            <w:bottom w:w="0" w:type="dxa"/>
            <w:right w:w="108" w:type="dxa"/>
          </w:tblCellMar>
        </w:tblPrEx>
        <w:trPr>
          <w:trHeight w:val="864" w:hRule="atLeast"/>
          <w:jc w:val="center"/>
        </w:trPr>
        <w:tc>
          <w:tcPr>
            <w:tcW w:w="3400" w:type="dxa"/>
            <w:tcBorders>
              <w:top w:val="single" w:color="888888" w:sz="6" w:space="0"/>
              <w:left w:val="single" w:color="888888" w:sz="6" w:space="0"/>
              <w:bottom w:val="single" w:color="888888" w:sz="6" w:space="0"/>
              <w:right w:val="single" w:color="888888" w:sz="6" w:space="0"/>
            </w:tcBorders>
            <w:vAlign w:val="top"/>
          </w:tcPr>
          <w:p w14:paraId="5B8B02A0">
            <w:r>
              <w:rPr>
                <w:b/>
                <w:color w:val="222222"/>
                <w:sz w:val="20"/>
              </w:rPr>
              <w:t>Active-Active</w:t>
            </w:r>
          </w:p>
        </w:tc>
        <w:tc>
          <w:tcPr>
            <w:tcW w:w="3400" w:type="dxa"/>
            <w:tcBorders>
              <w:top w:val="single" w:color="888888" w:sz="6" w:space="0"/>
              <w:left w:val="single" w:color="888888" w:sz="6" w:space="0"/>
              <w:bottom w:val="single" w:color="888888" w:sz="6" w:space="0"/>
              <w:right w:val="single" w:color="888888" w:sz="6" w:space="0"/>
            </w:tcBorders>
            <w:vAlign w:val="top"/>
          </w:tcPr>
          <w:p w14:paraId="55A546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AI 推理服务、OCR 引擎、数据抽取引擎、无状态微服务</w:t>
            </w:r>
          </w:p>
        </w:tc>
        <w:tc>
          <w:tcPr>
            <w:tcW w:w="3400" w:type="dxa"/>
            <w:tcBorders>
              <w:top w:val="single" w:color="888888" w:sz="6" w:space="0"/>
              <w:left w:val="single" w:color="888888" w:sz="6" w:space="0"/>
              <w:bottom w:val="single" w:color="888888" w:sz="6" w:space="0"/>
              <w:right w:val="single" w:color="888888" w:sz="6" w:space="0"/>
            </w:tcBorders>
            <w:vAlign w:val="top"/>
          </w:tcPr>
          <w:p w14:paraId="61B34A5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30 秒</w:t>
            </w:r>
          </w:p>
        </w:tc>
      </w:tr>
      <w:tr w14:paraId="05EE8054">
        <w:tblPrEx>
          <w:tblCellMar>
            <w:top w:w="0" w:type="dxa"/>
            <w:left w:w="108" w:type="dxa"/>
            <w:bottom w:w="0" w:type="dxa"/>
            <w:right w:w="108" w:type="dxa"/>
          </w:tblCellMar>
        </w:tblPrEx>
        <w:trPr>
          <w:trHeight w:val="864" w:hRule="atLeast"/>
          <w:jc w:val="center"/>
        </w:trPr>
        <w:tc>
          <w:tcPr>
            <w:tcW w:w="3400" w:type="dxa"/>
            <w:tcBorders>
              <w:top w:val="single" w:color="888888" w:sz="6" w:space="0"/>
              <w:left w:val="single" w:color="888888" w:sz="6" w:space="0"/>
              <w:bottom w:val="single" w:color="888888" w:sz="6" w:space="0"/>
              <w:right w:val="single" w:color="888888" w:sz="6" w:space="0"/>
            </w:tcBorders>
            <w:vAlign w:val="top"/>
          </w:tcPr>
          <w:p w14:paraId="353BD2A9">
            <w:r>
              <w:rPr>
                <w:b/>
                <w:color w:val="222222"/>
                <w:sz w:val="20"/>
              </w:rPr>
              <w:t>Active-Standby</w:t>
            </w:r>
          </w:p>
        </w:tc>
        <w:tc>
          <w:tcPr>
            <w:tcW w:w="3400" w:type="dxa"/>
            <w:tcBorders>
              <w:top w:val="single" w:color="888888" w:sz="6" w:space="0"/>
              <w:left w:val="single" w:color="888888" w:sz="6" w:space="0"/>
              <w:bottom w:val="single" w:color="888888" w:sz="6" w:space="0"/>
              <w:right w:val="single" w:color="888888" w:sz="6" w:space="0"/>
            </w:tcBorders>
            <w:vAlign w:val="top"/>
          </w:tcPr>
          <w:p w14:paraId="67693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工作流引擎、任务调度器、RAG 向量数据库服务</w:t>
            </w:r>
          </w:p>
        </w:tc>
        <w:tc>
          <w:tcPr>
            <w:tcW w:w="3400" w:type="dxa"/>
            <w:tcBorders>
              <w:top w:val="single" w:color="888888" w:sz="6" w:space="0"/>
              <w:left w:val="single" w:color="888888" w:sz="6" w:space="0"/>
              <w:bottom w:val="single" w:color="888888" w:sz="6" w:space="0"/>
              <w:right w:val="single" w:color="888888" w:sz="6" w:space="0"/>
            </w:tcBorders>
            <w:vAlign w:val="top"/>
          </w:tcPr>
          <w:p w14:paraId="69B8C3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60 秒</w:t>
            </w:r>
          </w:p>
        </w:tc>
      </w:tr>
    </w:tbl>
    <w:p w14:paraId="0D3E4BFF"/>
    <w:p w14:paraId="2A3F7F67">
      <w:r>
        <w:br w:type="page"/>
      </w:r>
    </w:p>
    <w:p w14:paraId="4939DB09">
      <w:pPr>
        <w:spacing w:before="440" w:after="80"/>
      </w:pPr>
      <w:r>
        <w:rPr>
          <w:b/>
          <w:color w:val="003D7A"/>
          <w:sz w:val="32"/>
        </w:rPr>
        <w:t>8. 容量与性能（应用层 sizing）</w:t>
      </w:r>
    </w:p>
    <w:p w14:paraId="45751849">
      <w:pPr>
        <w:spacing w:after="80"/>
      </w:pPr>
      <w:r>
        <w:rPr>
          <w:i/>
          <w:color w:val="555555"/>
          <w:sz w:val="19"/>
        </w:rPr>
        <w:t>[ Annex I Table 1 — 容量与性能 · RFI 4.3.6 ]</w:t>
      </w:r>
    </w:p>
    <w:tbl>
      <w:tblPr>
        <w:tblStyle w:val="32"/>
        <w:tblW w:w="0" w:type="auto"/>
        <w:jc w:val="center"/>
        <w:tblLayout w:type="fixed"/>
        <w:tblCellMar>
          <w:top w:w="0" w:type="dxa"/>
          <w:left w:w="108" w:type="dxa"/>
          <w:bottom w:w="0" w:type="dxa"/>
          <w:right w:w="108" w:type="dxa"/>
        </w:tblCellMar>
      </w:tblPr>
      <w:tblGrid>
        <w:gridCol w:w="10200"/>
      </w:tblGrid>
      <w:tr w14:paraId="42C15587">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3AE63249">
            <w:pPr>
              <w:spacing w:after="80"/>
            </w:pPr>
            <w:r>
              <w:rPr>
                <w:b/>
                <w:color w:val="003D7A"/>
                <w:sz w:val="18"/>
              </w:rPr>
              <w:t>Annex I Table 1 — 原文（英文）：</w:t>
            </w:r>
          </w:p>
          <w:p w14:paraId="3CD61664">
            <w:pPr>
              <w:spacing w:after="40"/>
            </w:pPr>
            <w:r>
              <w:rPr>
                <w:i/>
                <w:color w:val="333333"/>
                <w:sz w:val="19"/>
              </w:rPr>
              <w:t>容量与性能</w:t>
            </w:r>
          </w:p>
          <w:p w14:paraId="3EE1A392">
            <w:pPr>
              <w:spacing w:after="40"/>
            </w:pPr>
            <w:r>
              <w:rPr>
                <w:i/>
                <w:color w:val="333333"/>
                <w:sz w:val="19"/>
              </w:rPr>
              <w:t>• 关于容量估算，请根据下表提出建议。</w:t>
            </w:r>
          </w:p>
          <w:p w14:paraId="03E17C25">
            <w:pPr>
              <w:spacing w:after="40"/>
            </w:pPr>
            <w:r>
              <w:rPr>
                <w:i/>
                <w:color w:val="333333"/>
                <w:sz w:val="19"/>
              </w:rPr>
              <w:t>• 关于性能，请根据下表提出建议。</w:t>
            </w:r>
          </w:p>
          <w:p w14:paraId="4FBB85E8">
            <w:pPr>
              <w:spacing w:after="40"/>
            </w:pPr>
            <w:r>
              <w:rPr>
                <w:i/>
                <w:color w:val="333333"/>
                <w:sz w:val="19"/>
              </w:rPr>
              <w:t>• 关于 AI 准确率，请根据下表提出建议。</w:t>
            </w:r>
          </w:p>
          <w:p w14:paraId="75E3ACA2">
            <w:pPr>
              <w:spacing w:after="40"/>
            </w:pPr>
            <w:r>
              <w:rPr>
                <w:i/>
                <w:color w:val="333333"/>
                <w:sz w:val="19"/>
              </w:rPr>
              <w:t>• 容量估算表 — 存储容量需求：请说明整套 AI 方案的建议存储容量。</w:t>
            </w:r>
          </w:p>
          <w:p w14:paraId="0D680D1B">
            <w:pPr>
              <w:spacing w:after="40"/>
            </w:pPr>
            <w:r>
              <w:rPr>
                <w:i/>
                <w:color w:val="333333"/>
                <w:sz w:val="19"/>
              </w:rPr>
              <w:t>• 系统性能表。</w:t>
            </w:r>
          </w:p>
          <w:p w14:paraId="1B1E7502">
            <w:pPr>
              <w:spacing w:after="40"/>
            </w:pPr>
            <w:r>
              <w:rPr>
                <w:i/>
                <w:color w:val="333333"/>
                <w:sz w:val="19"/>
              </w:rPr>
              <w:t>• 系统准确率表。</w:t>
            </w:r>
          </w:p>
        </w:tc>
      </w:tr>
      <w:tr w14:paraId="2C130A15">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54E6583A">
            <w:pPr>
              <w:spacing w:after="80"/>
            </w:pPr>
            <w:r>
              <w:rPr>
                <w:b/>
                <w:color w:val="3A5A00"/>
                <w:sz w:val="18"/>
              </w:rPr>
              <w:t>中文解释（CMHK 参考）：</w:t>
            </w:r>
          </w:p>
          <w:p w14:paraId="5B4193EB">
            <w:pPr>
              <w:spacing w:after="40"/>
            </w:pPr>
            <w:r>
              <w:rPr>
                <w:i/>
                <w:color w:val="333333"/>
                <w:sz w:val="19"/>
              </w:rPr>
              <w:t>系统容量与性能</w:t>
            </w:r>
          </w:p>
          <w:p w14:paraId="5EFFC719">
            <w:pPr>
              <w:spacing w:after="40"/>
            </w:pPr>
            <w:r>
              <w:rPr>
                <w:i/>
                <w:color w:val="333333"/>
                <w:sz w:val="19"/>
              </w:rPr>
              <w:t>• Sizing：请按下表建议</w:t>
            </w:r>
          </w:p>
          <w:p w14:paraId="41A5C040">
            <w:pPr>
              <w:spacing w:after="40"/>
            </w:pPr>
            <w:r>
              <w:rPr>
                <w:i/>
                <w:color w:val="333333"/>
                <w:sz w:val="19"/>
              </w:rPr>
              <w:t>• 性能：请按下表建议</w:t>
            </w:r>
          </w:p>
          <w:p w14:paraId="2685205F">
            <w:pPr>
              <w:spacing w:after="40"/>
            </w:pPr>
            <w:r>
              <w:rPr>
                <w:i/>
                <w:color w:val="333333"/>
                <w:sz w:val="19"/>
              </w:rPr>
              <w:t>• AI 准确率：请按下表建议</w:t>
            </w:r>
          </w:p>
          <w:p w14:paraId="704A54EE">
            <w:pPr>
              <w:spacing w:after="40"/>
            </w:pPr>
            <w:r>
              <w:rPr>
                <w:i/>
                <w:color w:val="333333"/>
                <w:sz w:val="19"/>
              </w:rPr>
              <w:t>• Sizing 估算表 — Storage Size 需求：请列出整套 AI Solutions 之建议储存容量</w:t>
            </w:r>
          </w:p>
          <w:p w14:paraId="72679EB7">
            <w:pPr>
              <w:spacing w:after="40"/>
            </w:pPr>
            <w:r>
              <w:rPr>
                <w:i/>
                <w:color w:val="333333"/>
                <w:sz w:val="19"/>
              </w:rPr>
              <w:t>• 系统性能表</w:t>
            </w:r>
          </w:p>
          <w:p w14:paraId="177885C3">
            <w:pPr>
              <w:spacing w:after="40"/>
            </w:pPr>
            <w:r>
              <w:rPr>
                <w:i/>
                <w:color w:val="333333"/>
                <w:sz w:val="19"/>
              </w:rPr>
              <w:t>• 系统准确率表</w:t>
            </w:r>
          </w:p>
        </w:tc>
      </w:tr>
    </w:tbl>
    <w:p w14:paraId="5FE5FBCC"/>
    <w:p w14:paraId="40E0BF4D">
      <w:pPr>
        <w:spacing w:before="280" w:after="80"/>
      </w:pPr>
      <w:r>
        <w:rPr>
          <w:b/>
          <w:color w:val="003D7A"/>
          <w:sz w:val="26"/>
        </w:rPr>
        <w:t>8.1 AI 应用栈存储容量</w:t>
      </w:r>
    </w:p>
    <w:p w14:paraId="4F4B9E9A">
      <w:pPr>
        <w:spacing w:after="120"/>
      </w:pPr>
      <w:r>
        <w:rPr>
          <w:i/>
          <w:color w:val="222222"/>
          <w:sz w:val="20"/>
        </w:rPr>
        <w:t>请完成存储容量估算表（基础：50 万 case/年 × 12 个附件 × 3 页 × 5 MB × 5 年留存 + 7% 年增长）。请填写储存容量估算表（基于 50 万件 / 年 × 12 附件 × 3 页 × 5 MB × 5 年保存 + 7% 年增长）。</w:t>
      </w:r>
    </w:p>
    <w:tbl>
      <w:tblPr>
        <w:tblStyle w:val="32"/>
        <w:tblW w:w="0" w:type="auto"/>
        <w:jc w:val="center"/>
        <w:tblLayout w:type="fixed"/>
        <w:tblCellMar>
          <w:top w:w="0" w:type="dxa"/>
          <w:left w:w="108" w:type="dxa"/>
          <w:bottom w:w="0" w:type="dxa"/>
          <w:right w:w="108" w:type="dxa"/>
        </w:tblCellMar>
      </w:tblPr>
      <w:tblGrid>
        <w:gridCol w:w="2550"/>
        <w:gridCol w:w="1548"/>
        <w:gridCol w:w="2256"/>
        <w:gridCol w:w="3846"/>
      </w:tblGrid>
      <w:tr w14:paraId="6758391B">
        <w:trPr>
          <w:trHeight w:val="576" w:hRule="atLeast"/>
          <w:jc w:val="center"/>
        </w:trPr>
        <w:tc>
          <w:tcPr>
            <w:tcW w:w="2550" w:type="dxa"/>
            <w:shd w:val="clear" w:color="auto" w:fill="003D7A"/>
            <w:vAlign w:val="center"/>
          </w:tcPr>
          <w:p w14:paraId="330B07F9">
            <w:r>
              <w:rPr>
                <w:b/>
                <w:color w:val="FFFFFF"/>
                <w:sz w:val="20"/>
              </w:rPr>
              <w:t>项目</w:t>
            </w:r>
          </w:p>
        </w:tc>
        <w:tc>
          <w:tcPr>
            <w:tcW w:w="1548" w:type="dxa"/>
            <w:shd w:val="clear" w:color="auto" w:fill="003D7A"/>
            <w:vAlign w:val="center"/>
          </w:tcPr>
          <w:p w14:paraId="59D5CCAA">
            <w:r>
              <w:rPr>
                <w:b/>
                <w:color w:val="FFFFFF"/>
                <w:sz w:val="20"/>
              </w:rPr>
              <w:t>容量（TB）</w:t>
            </w:r>
          </w:p>
        </w:tc>
        <w:tc>
          <w:tcPr>
            <w:tcW w:w="2256" w:type="dxa"/>
            <w:shd w:val="clear" w:color="auto" w:fill="003D7A"/>
            <w:vAlign w:val="center"/>
          </w:tcPr>
          <w:p w14:paraId="62A36B3F">
            <w:r>
              <w:rPr>
                <w:b/>
                <w:color w:val="FFFFFF"/>
                <w:sz w:val="20"/>
              </w:rPr>
              <w:t>增长假设</w:t>
            </w:r>
          </w:p>
        </w:tc>
        <w:tc>
          <w:tcPr>
            <w:tcW w:w="3846" w:type="dxa"/>
            <w:shd w:val="clear" w:color="auto" w:fill="003D7A"/>
            <w:vAlign w:val="center"/>
          </w:tcPr>
          <w:p w14:paraId="501865B1">
            <w:r>
              <w:rPr>
                <w:b/>
                <w:color w:val="FFFFFF"/>
                <w:sz w:val="20"/>
              </w:rPr>
              <w:t>备注 / 计算公式</w:t>
            </w:r>
          </w:p>
        </w:tc>
      </w:tr>
      <w:tr w14:paraId="24645407">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6EBADCAB">
            <w:pPr>
              <w:rPr>
                <w:b/>
                <w:color w:val="222222"/>
                <w:sz w:val="20"/>
              </w:rPr>
            </w:pPr>
            <w:r>
              <w:rPr>
                <w:b/>
                <w:color w:val="222222"/>
                <w:sz w:val="20"/>
              </w:rPr>
              <w:t>AI 应用层存储（模板 / 知识库 / 训练样本 / PDF 缓存）</w:t>
            </w:r>
          </w:p>
          <w:p w14:paraId="122C1FBE">
            <w:pPr>
              <w:rPr>
                <w:b/>
                <w:color w:val="222222"/>
                <w:sz w:val="20"/>
              </w:rPr>
            </w:pPr>
          </w:p>
        </w:tc>
        <w:tc>
          <w:tcPr>
            <w:tcW w:w="1548" w:type="dxa"/>
            <w:tcBorders>
              <w:top w:val="single" w:color="888888" w:sz="6" w:space="0"/>
              <w:left w:val="single" w:color="888888" w:sz="6" w:space="0"/>
              <w:bottom w:val="single" w:color="888888" w:sz="6" w:space="0"/>
              <w:right w:val="single" w:color="888888" w:sz="6" w:space="0"/>
            </w:tcBorders>
            <w:vAlign w:val="top"/>
          </w:tcPr>
          <w:p w14:paraId="5E7C2A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b/>
                <w:bCs/>
                <w:kern w:val="0"/>
                <w:sz w:val="21"/>
                <w:szCs w:val="21"/>
                <w:lang w:val="en-US" w:eastAsia="zh-CN" w:bidi="ar"/>
              </w:rPr>
            </w:pPr>
            <w:r>
              <w:rPr>
                <w:rFonts w:hint="eastAsia" w:eastAsia="宋体" w:cs="宋体" w:asciiTheme="minorAscii" w:hAnsiTheme="minorAscii"/>
                <w:b/>
                <w:bCs/>
                <w:kern w:val="0"/>
                <w:sz w:val="21"/>
                <w:szCs w:val="21"/>
                <w:lang w:val="en-US" w:eastAsia="zh-CN" w:bidi="ar"/>
              </w:rPr>
              <w:t>16TB</w:t>
            </w:r>
          </w:p>
          <w:p w14:paraId="476A2F2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kern w:val="0"/>
                <w:sz w:val="21"/>
                <w:szCs w:val="21"/>
                <w:lang w:val="en-US" w:eastAsia="zh-CN" w:bidi="ar"/>
              </w:rPr>
            </w:pPr>
            <w:r>
              <w:rPr>
                <w:rFonts w:hint="eastAsia" w:eastAsia="宋体" w:cs="宋体" w:asciiTheme="minorAscii" w:hAnsiTheme="minorAscii"/>
                <w:kern w:val="0"/>
                <w:sz w:val="21"/>
                <w:szCs w:val="21"/>
                <w:lang w:val="en-US" w:eastAsia="zh-CN" w:bidi="ar"/>
              </w:rPr>
              <w:t>（短期热数据混合留存方案）</w:t>
            </w:r>
            <w:r>
              <w:rPr>
                <w:rFonts w:hint="default" w:eastAsia="宋体" w:cs="宋体" w:asciiTheme="minorAscii" w:hAnsiTheme="minorAscii"/>
                <w:kern w:val="0"/>
                <w:sz w:val="21"/>
                <w:szCs w:val="21"/>
                <w:lang w:val="en-US" w:eastAsia="zh-CN" w:bidi="ar"/>
              </w:rPr>
              <w:t/>
            </w:r>
            <w:r>
              <w:rPr>
                <w:rFonts w:hint="eastAsia" w:eastAsia="宋体" w:cs="宋体" w:asciiTheme="minorAscii" w:hAnsiTheme="minorAscii"/>
                <w:kern w:val="0"/>
                <w:sz w:val="21"/>
                <w:szCs w:val="21"/>
                <w:lang w:val="en-US" w:eastAsia="zh-CN" w:bidi="ar"/>
              </w:rPr>
              <w:t/>
            </w:r>
          </w:p>
        </w:tc>
        <w:tc>
          <w:tcPr>
            <w:tcW w:w="2256" w:type="dxa"/>
            <w:tcBorders>
              <w:top w:val="single" w:color="888888" w:sz="6" w:space="0"/>
              <w:left w:val="single" w:color="888888" w:sz="6" w:space="0"/>
              <w:bottom w:val="single" w:color="888888" w:sz="6" w:space="0"/>
              <w:right w:val="single" w:color="888888" w:sz="6" w:space="0"/>
            </w:tcBorders>
            <w:vAlign w:val="top"/>
          </w:tcPr>
          <w:p w14:paraId="2270B4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5 年内按 7% 年增长</w:t>
            </w:r>
          </w:p>
          <w:p w14:paraId="658467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kern w:val="0"/>
                <w:sz w:val="21"/>
                <w:szCs w:val="21"/>
                <w:lang w:val="en-US" w:eastAsia="zh-CN" w:bidi="ar"/>
              </w:rPr>
            </w:pPr>
            <w:bookmarkStart w:id="0" w:name="_GoBack"/>
            <w:bookmarkEnd w:id="0"/>
          </w:p>
        </w:tc>
        <w:tc>
          <w:tcPr>
            <w:tcW w:w="3846" w:type="dxa"/>
            <w:tcBorders>
              <w:top w:val="single" w:color="888888" w:sz="6" w:space="0"/>
              <w:left w:val="single" w:color="888888" w:sz="6" w:space="0"/>
              <w:bottom w:val="single" w:color="888888" w:sz="6" w:space="0"/>
              <w:right w:val="single" w:color="888888" w:sz="6" w:space="0"/>
            </w:tcBorders>
            <w:vAlign w:val="top"/>
          </w:tcPr>
          <w:p w14:paraId="42428BE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基于年 50 万份申请、每个 case 12 个附件、每个附件 3 页、每页 5MB，并按 5 年规划期内 7% 年增长计算。采用混合留存政策：原始文档文件保留 7 天，OCR 结构化结果保留 30 天，审计日志保留 60 天。存储范围覆盖系统 OS/数据库/应用、RAG 知识库、AI 模型版本归档、训练样本和 PDF 报告缓存。另增加 30% 用于快照、日志和临时数据开销，并增加 20% 容量余量用于未来业务增长与扩展。</w:t>
            </w:r>
          </w:p>
        </w:tc>
      </w:tr>
      <w:tr w14:paraId="5E547899">
        <w:tblPrEx>
          <w:tblCellMar>
            <w:top w:w="0" w:type="dxa"/>
            <w:left w:w="108" w:type="dxa"/>
            <w:bottom w:w="0" w:type="dxa"/>
            <w:right w:w="108" w:type="dxa"/>
          </w:tblCellMar>
        </w:tblPrEx>
        <w:trPr>
          <w:trHeight w:val="1007"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67038C76">
            <w:pPr>
              <w:rPr>
                <w:b/>
                <w:color w:val="222222"/>
                <w:sz w:val="20"/>
              </w:rPr>
            </w:pPr>
            <w:r>
              <w:rPr>
                <w:b/>
                <w:color w:val="222222"/>
                <w:sz w:val="20"/>
              </w:rPr>
              <w:t>AI 应用层存储（模板 / 知识库 / 训练样本 / PDF 缓存）</w:t>
            </w:r>
          </w:p>
        </w:tc>
        <w:tc>
          <w:tcPr>
            <w:tcW w:w="1548" w:type="dxa"/>
            <w:tcBorders>
              <w:top w:val="single" w:color="888888" w:sz="6" w:space="0"/>
              <w:left w:val="single" w:color="888888" w:sz="6" w:space="0"/>
              <w:bottom w:val="single" w:color="888888" w:sz="6" w:space="0"/>
              <w:right w:val="single" w:color="888888" w:sz="6" w:space="0"/>
            </w:tcBorders>
            <w:vAlign w:val="top"/>
          </w:tcPr>
          <w:p w14:paraId="7A9E0E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b/>
                <w:bCs/>
                <w:kern w:val="0"/>
                <w:sz w:val="21"/>
                <w:szCs w:val="21"/>
                <w:lang w:val="en-US" w:eastAsia="zh-CN" w:bidi="ar"/>
              </w:rPr>
            </w:pPr>
            <w:r>
              <w:rPr>
                <w:rFonts w:hint="eastAsia" w:eastAsia="宋体" w:cs="宋体" w:asciiTheme="minorAscii" w:hAnsiTheme="minorAscii"/>
                <w:b/>
                <w:bCs/>
                <w:kern w:val="0"/>
                <w:sz w:val="21"/>
                <w:szCs w:val="21"/>
                <w:lang w:val="en-US" w:eastAsia="zh-CN" w:bidi="ar"/>
              </w:rPr>
              <w:t>770TB</w:t>
            </w:r>
          </w:p>
          <w:p w14:paraId="0140CE4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eastAsia" w:eastAsia="宋体" w:cs="宋体" w:asciiTheme="minorAscii" w:hAnsiTheme="minorAscii"/>
                <w:kern w:val="0"/>
                <w:sz w:val="21"/>
                <w:szCs w:val="21"/>
                <w:lang w:val="en-US" w:eastAsia="zh-CN" w:bidi="ar"/>
              </w:rPr>
            </w:pPr>
            <w:r>
              <w:rPr>
                <w:rFonts w:hint="eastAsia" w:eastAsia="宋体" w:cs="宋体" w:asciiTheme="minorAscii" w:hAnsiTheme="minorAscii"/>
                <w:kern w:val="0"/>
                <w:sz w:val="21"/>
                <w:szCs w:val="21"/>
                <w:lang w:val="en-US" w:eastAsia="zh-CN" w:bidi="ar"/>
              </w:rPr>
              <w:t>（全量数据 5 年完整留存方案）</w:t>
            </w:r>
            <w:r>
              <w:rPr>
                <w:rFonts w:hint="default" w:eastAsia="宋体" w:cs="宋体" w:asciiTheme="minorAscii" w:hAnsiTheme="minorAscii"/>
                <w:kern w:val="0"/>
                <w:sz w:val="21"/>
                <w:szCs w:val="21"/>
                <w:lang w:val="en-US" w:eastAsia="zh-CN" w:bidi="ar"/>
              </w:rPr>
              <w:t/>
            </w:r>
            <w:r>
              <w:rPr>
                <w:rFonts w:hint="eastAsia" w:eastAsia="宋体" w:cs="宋体" w:asciiTheme="minorAscii" w:hAnsiTheme="minorAscii"/>
                <w:kern w:val="0"/>
                <w:sz w:val="21"/>
                <w:szCs w:val="21"/>
                <w:lang w:val="en-US" w:eastAsia="zh-CN" w:bidi="ar"/>
              </w:rPr>
              <w:t/>
            </w:r>
          </w:p>
        </w:tc>
        <w:tc>
          <w:tcPr>
            <w:tcW w:w="2256" w:type="dxa"/>
            <w:tcBorders>
              <w:top w:val="single" w:color="888888" w:sz="6" w:space="0"/>
              <w:left w:val="single" w:color="888888" w:sz="6" w:space="0"/>
              <w:bottom w:val="single" w:color="888888" w:sz="6" w:space="0"/>
              <w:right w:val="single" w:color="888888" w:sz="6" w:space="0"/>
            </w:tcBorders>
            <w:vAlign w:val="top"/>
          </w:tcPr>
          <w:p w14:paraId="6F6D979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kern w:val="0"/>
                <w:sz w:val="21"/>
                <w:szCs w:val="21"/>
                <w:lang w:val="en-US" w:eastAsia="zh-CN" w:bidi="ar"/>
              </w:rPr>
              <w:t>5 年内按 7% 年增长</w:t>
            </w:r>
          </w:p>
        </w:tc>
        <w:tc>
          <w:tcPr>
            <w:tcW w:w="3846" w:type="dxa"/>
            <w:tcBorders>
              <w:top w:val="single" w:color="888888" w:sz="6" w:space="0"/>
              <w:left w:val="single" w:color="888888" w:sz="6" w:space="0"/>
              <w:bottom w:val="single" w:color="888888" w:sz="6" w:space="0"/>
              <w:right w:val="single" w:color="888888" w:sz="6" w:space="0"/>
            </w:tcBorders>
            <w:vAlign w:val="top"/>
          </w:tcPr>
          <w:p w14:paraId="011AFB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line="288" w:lineRule="auto"/>
              <w:jc w:val="left"/>
              <w:textAlignment w:val="top"/>
              <w:rPr>
                <w:rFonts w:hint="default" w:eastAsia="宋体" w:cs="宋体" w:asciiTheme="minorAscii" w:hAnsiTheme="minorAscii"/>
                <w:kern w:val="0"/>
                <w:sz w:val="21"/>
                <w:szCs w:val="21"/>
                <w:lang w:val="en-US" w:eastAsia="zh-CN" w:bidi="ar"/>
              </w:rPr>
            </w:pPr>
            <w:r>
              <w:rPr>
                <w:rFonts w:hint="default" w:eastAsia="宋体" w:cs="宋体" w:asciiTheme="minorAscii" w:hAnsiTheme="minorAscii"/>
                <w:sz w:val="21"/>
                <w:szCs w:val="21"/>
              </w:rPr>
              <w:t>基于年 50 万份申请、每个 case 12 个附件、每个附件 3 页、每页 5MB，并按 5 年规划期内 7% 年增长计算。采用全量数据留存政策：所有原始文档文件、OCR 结构化结果和审计日志均完整保留 5 年，不进行短期清理。存储范围覆盖系统 OS/数据库/应用、RAG 知识库、AI 模型版本归档、训练样本和 PDF 报告缓存。另增加 30% 用于快照、日志和临时数据开销，并增加 20% 容量余量用于未来业务增长与扩展。</w:t>
            </w:r>
          </w:p>
        </w:tc>
      </w:tr>
    </w:tbl>
    <w:p w14:paraId="0F863B68"/>
    <w:p w14:paraId="70E9943B">
      <w:pPr>
        <w:spacing w:before="280" w:after="80"/>
      </w:pPr>
      <w:r>
        <w:rPr>
          <w:b/>
          <w:color w:val="003D7A"/>
          <w:sz w:val="26"/>
        </w:rPr>
        <w:t>8.2 系统性能</w:t>
      </w:r>
    </w:p>
    <w:p w14:paraId="7CBF3262">
      <w:pPr>
        <w:spacing w:after="120"/>
      </w:pPr>
      <w:r>
        <w:rPr>
          <w:i/>
          <w:color w:val="222222"/>
          <w:sz w:val="20"/>
        </w:rPr>
        <w:t>请承诺系统性能指标。请承诺下列性能指标。</w:t>
      </w:r>
    </w:p>
    <w:tbl>
      <w:tblPr>
        <w:tblStyle w:val="32"/>
        <w:tblW w:w="0" w:type="auto"/>
        <w:jc w:val="center"/>
        <w:tblLayout w:type="fixed"/>
        <w:tblCellMar>
          <w:top w:w="0" w:type="dxa"/>
          <w:left w:w="108" w:type="dxa"/>
          <w:bottom w:w="0" w:type="dxa"/>
          <w:right w:w="108" w:type="dxa"/>
        </w:tblCellMar>
      </w:tblPr>
      <w:tblGrid>
        <w:gridCol w:w="3400"/>
        <w:gridCol w:w="3400"/>
        <w:gridCol w:w="3400"/>
      </w:tblGrid>
      <w:tr w14:paraId="1DEDA3D9">
        <w:tblPrEx>
          <w:tblCellMar>
            <w:top w:w="0" w:type="dxa"/>
            <w:left w:w="108" w:type="dxa"/>
            <w:bottom w:w="0" w:type="dxa"/>
            <w:right w:w="108" w:type="dxa"/>
          </w:tblCellMar>
        </w:tblPrEx>
        <w:trPr>
          <w:trHeight w:val="576" w:hRule="atLeast"/>
          <w:jc w:val="center"/>
        </w:trPr>
        <w:tc>
          <w:tcPr>
            <w:tcW w:w="3400" w:type="dxa"/>
            <w:shd w:val="clear" w:color="auto" w:fill="003D7A"/>
            <w:vAlign w:val="center"/>
          </w:tcPr>
          <w:p w14:paraId="22A5AFC8">
            <w:r>
              <w:rPr>
                <w:b/>
                <w:color w:val="FFFFFF"/>
                <w:sz w:val="20"/>
              </w:rPr>
              <w:t>性能指标</w:t>
            </w:r>
          </w:p>
        </w:tc>
        <w:tc>
          <w:tcPr>
            <w:tcW w:w="3400" w:type="dxa"/>
            <w:shd w:val="clear" w:color="auto" w:fill="003D7A"/>
            <w:vAlign w:val="center"/>
          </w:tcPr>
          <w:p w14:paraId="6113421B">
            <w:r>
              <w:rPr>
                <w:b/>
                <w:color w:val="FFFFFF"/>
                <w:sz w:val="20"/>
              </w:rPr>
              <w:t>承诺值</w:t>
            </w:r>
          </w:p>
        </w:tc>
        <w:tc>
          <w:tcPr>
            <w:tcW w:w="3400" w:type="dxa"/>
            <w:shd w:val="clear" w:color="auto" w:fill="003D7A"/>
            <w:vAlign w:val="center"/>
          </w:tcPr>
          <w:p w14:paraId="4792768D">
            <w:r>
              <w:rPr>
                <w:b/>
                <w:color w:val="FFFFFF"/>
                <w:sz w:val="20"/>
              </w:rPr>
              <w:t>测量方法 / 场景</w:t>
            </w:r>
          </w:p>
        </w:tc>
      </w:tr>
      <w:tr w14:paraId="6E694B66">
        <w:tblPrEx>
          <w:tblCellMar>
            <w:top w:w="0" w:type="dxa"/>
            <w:left w:w="108" w:type="dxa"/>
            <w:bottom w:w="0" w:type="dxa"/>
            <w:right w:w="108" w:type="dxa"/>
          </w:tblCellMar>
        </w:tblPrEx>
        <w:trPr>
          <w:trHeight w:val="864" w:hRule="atLeast"/>
          <w:jc w:val="center"/>
        </w:trPr>
        <w:tc>
          <w:tcPr>
            <w:tcW w:w="3400" w:type="dxa"/>
            <w:tcBorders>
              <w:top w:val="single" w:color="888888" w:sz="6" w:space="0"/>
              <w:left w:val="single" w:color="888888" w:sz="6" w:space="0"/>
              <w:bottom w:val="single" w:color="888888" w:sz="6" w:space="0"/>
              <w:right w:val="single" w:color="888888" w:sz="6" w:space="0"/>
            </w:tcBorders>
            <w:vAlign w:val="top"/>
          </w:tcPr>
          <w:p w14:paraId="3B9A1E2E">
            <w:r>
              <w:rPr>
                <w:b/>
                <w:color w:val="222222"/>
                <w:sz w:val="20"/>
              </w:rPr>
              <w:t>端到端处理时延（每个 case，P95）</w:t>
            </w:r>
          </w:p>
        </w:tc>
        <w:tc>
          <w:tcPr>
            <w:tcW w:w="3400" w:type="dxa"/>
            <w:tcBorders>
              <w:top w:val="single" w:color="888888" w:sz="6" w:space="0"/>
              <w:left w:val="single" w:color="888888" w:sz="6" w:space="0"/>
              <w:bottom w:val="single" w:color="888888" w:sz="6" w:space="0"/>
              <w:right w:val="single" w:color="888888" w:sz="6" w:space="0"/>
            </w:tcBorders>
            <w:vAlign w:val="top"/>
          </w:tcPr>
          <w:p w14:paraId="3FA981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60 秒</w:t>
            </w:r>
          </w:p>
        </w:tc>
        <w:tc>
          <w:tcPr>
            <w:tcW w:w="3400" w:type="dxa"/>
            <w:tcBorders>
              <w:top w:val="single" w:color="888888" w:sz="6" w:space="0"/>
              <w:left w:val="single" w:color="888888" w:sz="6" w:space="0"/>
              <w:bottom w:val="single" w:color="888888" w:sz="6" w:space="0"/>
              <w:right w:val="single" w:color="888888" w:sz="6" w:space="0"/>
            </w:tcBorders>
            <w:vAlign w:val="top"/>
          </w:tcPr>
          <w:p w14:paraId="02CB7F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峰值并发下含 12 个附件的标准 FDH 签证 case</w:t>
            </w:r>
          </w:p>
        </w:tc>
      </w:tr>
      <w:tr w14:paraId="18E371B9">
        <w:tblPrEx>
          <w:tblCellMar>
            <w:top w:w="0" w:type="dxa"/>
            <w:left w:w="108" w:type="dxa"/>
            <w:bottom w:w="0" w:type="dxa"/>
            <w:right w:w="108" w:type="dxa"/>
          </w:tblCellMar>
        </w:tblPrEx>
        <w:trPr>
          <w:trHeight w:val="864" w:hRule="atLeast"/>
          <w:jc w:val="center"/>
        </w:trPr>
        <w:tc>
          <w:tcPr>
            <w:tcW w:w="3400" w:type="dxa"/>
            <w:tcBorders>
              <w:top w:val="single" w:color="888888" w:sz="6" w:space="0"/>
              <w:left w:val="single" w:color="888888" w:sz="6" w:space="0"/>
              <w:bottom w:val="single" w:color="888888" w:sz="6" w:space="0"/>
              <w:right w:val="single" w:color="888888" w:sz="6" w:space="0"/>
            </w:tcBorders>
            <w:vAlign w:val="top"/>
          </w:tcPr>
          <w:p w14:paraId="43E8306B">
            <w:r>
              <w:rPr>
                <w:b/>
                <w:color w:val="222222"/>
                <w:sz w:val="20"/>
              </w:rPr>
              <w:t>并发处理能力（case / 小时）</w:t>
            </w:r>
          </w:p>
        </w:tc>
        <w:tc>
          <w:tcPr>
            <w:tcW w:w="3400" w:type="dxa"/>
            <w:tcBorders>
              <w:top w:val="single" w:color="888888" w:sz="6" w:space="0"/>
              <w:left w:val="single" w:color="888888" w:sz="6" w:space="0"/>
              <w:bottom w:val="single" w:color="888888" w:sz="6" w:space="0"/>
              <w:right w:val="single" w:color="888888" w:sz="6" w:space="0"/>
            </w:tcBorders>
            <w:vAlign w:val="top"/>
          </w:tcPr>
          <w:p w14:paraId="23DD94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700 case/小时</w:t>
            </w:r>
          </w:p>
        </w:tc>
        <w:tc>
          <w:tcPr>
            <w:tcW w:w="3400" w:type="dxa"/>
            <w:tcBorders>
              <w:top w:val="single" w:color="888888" w:sz="6" w:space="0"/>
              <w:left w:val="single" w:color="888888" w:sz="6" w:space="0"/>
              <w:bottom w:val="single" w:color="888888" w:sz="6" w:space="0"/>
              <w:right w:val="single" w:color="888888" w:sz="6" w:space="0"/>
            </w:tcBorders>
            <w:vAlign w:val="top"/>
          </w:tcPr>
          <w:p w14:paraId="2701403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支持第 5 年峰值业务量，并保留 7% 增长余量</w:t>
            </w:r>
          </w:p>
        </w:tc>
      </w:tr>
      <w:tr w14:paraId="3222B6E3">
        <w:tblPrEx>
          <w:tblCellMar>
            <w:top w:w="0" w:type="dxa"/>
            <w:left w:w="108" w:type="dxa"/>
            <w:bottom w:w="0" w:type="dxa"/>
            <w:right w:w="108" w:type="dxa"/>
          </w:tblCellMar>
        </w:tblPrEx>
        <w:trPr>
          <w:trHeight w:val="864" w:hRule="atLeast"/>
          <w:jc w:val="center"/>
        </w:trPr>
        <w:tc>
          <w:tcPr>
            <w:tcW w:w="3400" w:type="dxa"/>
            <w:tcBorders>
              <w:top w:val="single" w:color="888888" w:sz="6" w:space="0"/>
              <w:left w:val="single" w:color="888888" w:sz="6" w:space="0"/>
              <w:bottom w:val="single" w:color="888888" w:sz="6" w:space="0"/>
              <w:right w:val="single" w:color="888888" w:sz="6" w:space="0"/>
            </w:tcBorders>
            <w:vAlign w:val="top"/>
          </w:tcPr>
          <w:p w14:paraId="3E699307">
            <w:r>
              <w:rPr>
                <w:b/>
                <w:color w:val="222222"/>
                <w:sz w:val="20"/>
              </w:rPr>
              <w:t>PDF 生成时延（每个 case，P95）</w:t>
            </w:r>
          </w:p>
        </w:tc>
        <w:tc>
          <w:tcPr>
            <w:tcW w:w="3400" w:type="dxa"/>
            <w:tcBorders>
              <w:top w:val="single" w:color="888888" w:sz="6" w:space="0"/>
              <w:left w:val="single" w:color="888888" w:sz="6" w:space="0"/>
              <w:bottom w:val="single" w:color="888888" w:sz="6" w:space="0"/>
              <w:right w:val="single" w:color="888888" w:sz="6" w:space="0"/>
            </w:tcBorders>
            <w:vAlign w:val="top"/>
          </w:tcPr>
          <w:p w14:paraId="1DD23F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xml:space="preserve">≤ 30 秒</w:t>
            </w:r>
            <w:r>
              <w:rPr>
                <w:rFonts w:hint="eastAsia" w:eastAsia="宋体" w:cs="宋体" w:asciiTheme="minorAscii" w:hAnsiTheme="minorAscii"/>
                <w:kern w:val="0"/>
                <w:sz w:val="21"/>
                <w:szCs w:val="21"/>
                <w:lang w:val="en-US" w:eastAsia="zh-CN" w:bidi="ar"/>
              </w:rPr>
              <w:t/>
            </w:r>
            <w:r>
              <w:rPr>
                <w:rFonts w:hint="default" w:eastAsia="宋体" w:cs="宋体" w:asciiTheme="minorAscii" w:hAnsiTheme="minorAscii"/>
                <w:kern w:val="0"/>
                <w:sz w:val="21"/>
                <w:szCs w:val="21"/>
                <w:lang w:val="en-US" w:eastAsia="zh-CN" w:bidi="ar"/>
              </w:rPr>
              <w:t xml:space="preserve"/>
            </w:r>
          </w:p>
        </w:tc>
        <w:tc>
          <w:tcPr>
            <w:tcW w:w="3400" w:type="dxa"/>
            <w:tcBorders>
              <w:top w:val="single" w:color="888888" w:sz="6" w:space="0"/>
              <w:left w:val="single" w:color="888888" w:sz="6" w:space="0"/>
              <w:bottom w:val="single" w:color="888888" w:sz="6" w:space="0"/>
              <w:right w:val="single" w:color="888888" w:sz="6" w:space="0"/>
            </w:tcBorders>
            <w:vAlign w:val="top"/>
          </w:tcPr>
          <w:p w14:paraId="19B475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单个 case 的双 PDF 报告生成</w:t>
            </w:r>
          </w:p>
        </w:tc>
      </w:tr>
      <w:tr w14:paraId="15E73B00">
        <w:tblPrEx>
          <w:tblCellMar>
            <w:top w:w="0" w:type="dxa"/>
            <w:left w:w="108" w:type="dxa"/>
            <w:bottom w:w="0" w:type="dxa"/>
            <w:right w:w="108" w:type="dxa"/>
          </w:tblCellMar>
        </w:tblPrEx>
        <w:trPr>
          <w:trHeight w:val="864" w:hRule="atLeast"/>
          <w:jc w:val="center"/>
        </w:trPr>
        <w:tc>
          <w:tcPr>
            <w:tcW w:w="3400" w:type="dxa"/>
            <w:tcBorders>
              <w:top w:val="single" w:color="888888" w:sz="6" w:space="0"/>
              <w:left w:val="single" w:color="888888" w:sz="6" w:space="0"/>
              <w:bottom w:val="single" w:color="888888" w:sz="6" w:space="0"/>
              <w:right w:val="single" w:color="888888" w:sz="6" w:space="0"/>
            </w:tcBorders>
            <w:vAlign w:val="top"/>
          </w:tcPr>
          <w:p w14:paraId="07CF0D19">
            <w:r>
              <w:rPr>
                <w:b/>
                <w:color w:val="222222"/>
                <w:sz w:val="20"/>
              </w:rPr>
              <w:t>每页 OCR / 抽取时延（P95）</w:t>
            </w:r>
          </w:p>
        </w:tc>
        <w:tc>
          <w:tcPr>
            <w:tcW w:w="3400" w:type="dxa"/>
            <w:tcBorders>
              <w:top w:val="single" w:color="888888" w:sz="6" w:space="0"/>
              <w:left w:val="single" w:color="888888" w:sz="6" w:space="0"/>
              <w:bottom w:val="single" w:color="888888" w:sz="6" w:space="0"/>
              <w:right w:val="single" w:color="888888" w:sz="6" w:space="0"/>
            </w:tcBorders>
            <w:vAlign w:val="top"/>
          </w:tcPr>
          <w:p w14:paraId="2804ABB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 xml:space="preserve">≤ 10 秒</w:t>
            </w:r>
            <w:r>
              <w:rPr>
                <w:rFonts w:hint="eastAsia" w:eastAsia="宋体" w:cs="宋体" w:asciiTheme="minorAscii" w:hAnsiTheme="minorAscii"/>
                <w:kern w:val="0"/>
                <w:sz w:val="21"/>
                <w:szCs w:val="21"/>
                <w:lang w:val="en-US" w:eastAsia="zh-CN" w:bidi="ar"/>
              </w:rPr>
              <w:t/>
            </w:r>
            <w:r>
              <w:rPr>
                <w:rFonts w:hint="default" w:eastAsia="宋体" w:cs="宋体" w:asciiTheme="minorAscii" w:hAnsiTheme="minorAscii"/>
                <w:kern w:val="0"/>
                <w:sz w:val="21"/>
                <w:szCs w:val="21"/>
                <w:lang w:val="en-US" w:eastAsia="zh-CN" w:bidi="ar"/>
              </w:rPr>
              <w:t xml:space="preserve"/>
            </w:r>
          </w:p>
        </w:tc>
        <w:tc>
          <w:tcPr>
            <w:tcW w:w="3400" w:type="dxa"/>
            <w:tcBorders>
              <w:top w:val="single" w:color="888888" w:sz="6" w:space="0"/>
              <w:left w:val="single" w:color="888888" w:sz="6" w:space="0"/>
              <w:bottom w:val="single" w:color="888888" w:sz="6" w:space="0"/>
              <w:right w:val="single" w:color="888888" w:sz="6" w:space="0"/>
            </w:tcBorders>
            <w:vAlign w:val="top"/>
          </w:tcPr>
          <w:p w14:paraId="64F316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default" w:asciiTheme="minorAscii" w:hAnsiTheme="minorAscii"/>
                <w:sz w:val="21"/>
                <w:szCs w:val="21"/>
              </w:rPr>
            </w:pPr>
            <w:r>
              <w:rPr>
                <w:rFonts w:hint="default" w:eastAsia="宋体" w:cs="宋体" w:asciiTheme="minorAscii" w:hAnsiTheme="minorAscii"/>
                <w:kern w:val="0"/>
                <w:sz w:val="21"/>
                <w:szCs w:val="21"/>
                <w:lang w:val="en-US" w:eastAsia="zh-CN" w:bidi="ar"/>
              </w:rPr>
              <w:t>正常负载下的标准申请附件页面</w:t>
            </w:r>
          </w:p>
        </w:tc>
      </w:tr>
    </w:tbl>
    <w:p w14:paraId="66131E0F"/>
    <w:p w14:paraId="6CDAC95A">
      <w:r>
        <w:br w:type="page"/>
      </w:r>
    </w:p>
    <w:p w14:paraId="654BF9AF">
      <w:pPr>
        <w:spacing w:before="280" w:after="80"/>
      </w:pPr>
      <w:r>
        <w:rPr>
          <w:b/>
          <w:color w:val="003D7A"/>
          <w:sz w:val="26"/>
        </w:rPr>
        <w:t>Annex I Table 9 — 项目计划</w:t>
      </w:r>
    </w:p>
    <w:tbl>
      <w:tblPr>
        <w:tblStyle w:val="32"/>
        <w:tblW w:w="0" w:type="auto"/>
        <w:jc w:val="center"/>
        <w:tblLayout w:type="fixed"/>
        <w:tblCellMar>
          <w:top w:w="0" w:type="dxa"/>
          <w:left w:w="108" w:type="dxa"/>
          <w:bottom w:w="0" w:type="dxa"/>
          <w:right w:w="108" w:type="dxa"/>
        </w:tblCellMar>
      </w:tblPr>
      <w:tblGrid>
        <w:gridCol w:w="10200"/>
      </w:tblGrid>
      <w:tr w14:paraId="35B738D6">
        <w:tblPrEx>
          <w:tblCellMar>
            <w:top w:w="0" w:type="dxa"/>
            <w:left w:w="108" w:type="dxa"/>
            <w:bottom w:w="0" w:type="dxa"/>
            <w:right w:w="108" w:type="dxa"/>
          </w:tblCellMar>
        </w:tblPrEx>
        <w:trPr>
          <w:jc w:val="center"/>
        </w:trPr>
        <w:tc>
          <w:tcPr>
            <w:tcW w:w="10200" w:type="dxa"/>
            <w:tcBorders>
              <w:top w:val="single" w:color="CCCCCC" w:sz="4" w:space="0"/>
              <w:left w:val="single" w:color="003D7A" w:sz="24" w:space="0"/>
              <w:bottom w:val="single" w:color="CCCCCC" w:sz="4" w:space="0"/>
              <w:right w:val="single" w:color="CCCCCC" w:sz="4" w:space="0"/>
            </w:tcBorders>
            <w:shd w:val="clear" w:color="auto" w:fill="F4F7FA"/>
            <w:vAlign w:val="top"/>
          </w:tcPr>
          <w:p w14:paraId="520AB7C1">
            <w:pPr>
              <w:spacing w:after="80"/>
            </w:pPr>
            <w:r>
              <w:rPr>
                <w:b/>
                <w:color w:val="003D7A"/>
                <w:sz w:val="18"/>
              </w:rPr>
              <w:t>Annex I Table 9 — 原文：</w:t>
            </w:r>
          </w:p>
          <w:p w14:paraId="528CE2A8">
            <w:pPr>
              <w:spacing w:after="40"/>
            </w:pPr>
            <w:r>
              <w:rPr>
                <w:i/>
                <w:color w:val="333333"/>
                <w:sz w:val="19"/>
              </w:rPr>
              <w:t>“Table 9 - Proposed Project Schedule” — Month 0 = 合同日期。请为与贵方层级相关的每个阶段提供开始 / 结束月份。</w:t>
            </w:r>
          </w:p>
        </w:tc>
      </w:tr>
      <w:tr w14:paraId="54ED5340">
        <w:tblPrEx>
          <w:tblCellMar>
            <w:top w:w="0" w:type="dxa"/>
            <w:left w:w="108" w:type="dxa"/>
            <w:bottom w:w="0" w:type="dxa"/>
            <w:right w:w="108" w:type="dxa"/>
          </w:tblCellMar>
        </w:tblPrEx>
        <w:trPr>
          <w:jc w:val="center"/>
        </w:trPr>
        <w:tc>
          <w:tcPr>
            <w:tcW w:w="10200" w:type="dxa"/>
            <w:tcBorders>
              <w:top w:val="single" w:color="CCCCCC" w:sz="4" w:space="0"/>
              <w:left w:val="single" w:color="5A8A00" w:sz="24" w:space="0"/>
              <w:bottom w:val="single" w:color="CCCCCC" w:sz="4" w:space="0"/>
              <w:right w:val="single" w:color="CCCCCC" w:sz="4" w:space="0"/>
            </w:tcBorders>
            <w:shd w:val="clear" w:color="auto" w:fill="F4F9EE"/>
            <w:vAlign w:val="top"/>
          </w:tcPr>
          <w:p w14:paraId="60A4D86E">
            <w:pPr>
              <w:spacing w:after="80"/>
            </w:pPr>
            <w:r>
              <w:rPr>
                <w:b/>
                <w:color w:val="3A5A00"/>
                <w:sz w:val="18"/>
              </w:rPr>
              <w:t>中文解释：</w:t>
            </w:r>
          </w:p>
          <w:p w14:paraId="2DA8A45C">
            <w:pPr>
              <w:spacing w:after="40"/>
            </w:pPr>
            <w:r>
              <w:rPr>
                <w:i/>
                <w:color w:val="333333"/>
                <w:sz w:val="19"/>
              </w:rPr>
              <w:t>Annex I Table 9 — Project Schedule（建议项目时程）。以 Contract Date 签约日为 Month 0，请贵司填写负责层之各阶段起止月份。</w:t>
            </w:r>
          </w:p>
        </w:tc>
      </w:tr>
    </w:tbl>
    <w:p w14:paraId="127E8D97"/>
    <w:tbl>
      <w:tblPr>
        <w:tblStyle w:val="32"/>
        <w:tblW w:w="0" w:type="auto"/>
        <w:jc w:val="center"/>
        <w:tblLayout w:type="fixed"/>
        <w:tblCellMar>
          <w:top w:w="0" w:type="dxa"/>
          <w:left w:w="108" w:type="dxa"/>
          <w:bottom w:w="0" w:type="dxa"/>
          <w:right w:w="108" w:type="dxa"/>
        </w:tblCellMar>
      </w:tblPr>
      <w:tblGrid>
        <w:gridCol w:w="2550"/>
        <w:gridCol w:w="2550"/>
        <w:gridCol w:w="2550"/>
        <w:gridCol w:w="2550"/>
      </w:tblGrid>
      <w:tr w14:paraId="4519C247">
        <w:tblPrEx>
          <w:tblCellMar>
            <w:top w:w="0" w:type="dxa"/>
            <w:left w:w="108" w:type="dxa"/>
            <w:bottom w:w="0" w:type="dxa"/>
            <w:right w:w="108" w:type="dxa"/>
          </w:tblCellMar>
        </w:tblPrEx>
        <w:trPr>
          <w:trHeight w:val="503" w:hRule="atLeast"/>
          <w:jc w:val="center"/>
        </w:trPr>
        <w:tc>
          <w:tcPr>
            <w:tcW w:w="2550" w:type="dxa"/>
            <w:shd w:val="clear" w:color="auto" w:fill="003D7A"/>
            <w:vAlign w:val="center"/>
          </w:tcPr>
          <w:p w14:paraId="13C9ED72">
            <w:r>
              <w:rPr>
                <w:b/>
                <w:color w:val="FFFFFF"/>
                <w:sz w:val="20"/>
              </w:rPr>
              <w:t>序号</w:t>
            </w:r>
          </w:p>
        </w:tc>
        <w:tc>
          <w:tcPr>
            <w:tcW w:w="2550" w:type="dxa"/>
            <w:shd w:val="clear" w:color="auto" w:fill="003D7A"/>
            <w:vAlign w:val="center"/>
          </w:tcPr>
          <w:p w14:paraId="3FA13432">
            <w:r>
              <w:rPr>
                <w:b/>
                <w:color w:val="FFFFFF"/>
                <w:sz w:val="20"/>
              </w:rPr>
              <w:t>任务说明</w:t>
            </w:r>
          </w:p>
        </w:tc>
        <w:tc>
          <w:tcPr>
            <w:tcW w:w="2550" w:type="dxa"/>
            <w:shd w:val="clear" w:color="auto" w:fill="003D7A"/>
            <w:vAlign w:val="center"/>
          </w:tcPr>
          <w:p w14:paraId="263310ED">
            <w:r>
              <w:rPr>
                <w:b/>
                <w:color w:val="FFFFFF"/>
                <w:sz w:val="20"/>
              </w:rPr>
              <w:t>开始（月 _）</w:t>
            </w:r>
          </w:p>
        </w:tc>
        <w:tc>
          <w:tcPr>
            <w:tcW w:w="2550" w:type="dxa"/>
            <w:shd w:val="clear" w:color="auto" w:fill="003D7A"/>
            <w:vAlign w:val="center"/>
          </w:tcPr>
          <w:p w14:paraId="2349ABB1">
            <w:r>
              <w:rPr>
                <w:b/>
                <w:color w:val="FFFFFF"/>
                <w:sz w:val="20"/>
              </w:rPr>
              <w:t>结束（月 _）</w:t>
            </w:r>
          </w:p>
        </w:tc>
      </w:tr>
      <w:tr w14:paraId="1866F594">
        <w:tblPrEx>
          <w:tblCellMar>
            <w:top w:w="0" w:type="dxa"/>
            <w:left w:w="108" w:type="dxa"/>
            <w:bottom w:w="0" w:type="dxa"/>
            <w:right w:w="108" w:type="dxa"/>
          </w:tblCellMar>
        </w:tblPrEx>
        <w:trPr>
          <w:trHeight w:val="720"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22BC693C">
            <w:r>
              <w:rPr>
                <w:sz w:val="19"/>
              </w:rPr>
              <w:t>1</w:t>
            </w:r>
          </w:p>
        </w:tc>
        <w:tc>
          <w:tcPr>
            <w:tcW w:w="2550" w:type="dxa"/>
            <w:tcBorders>
              <w:top w:val="single" w:color="888888" w:sz="6" w:space="0"/>
              <w:left w:val="single" w:color="888888" w:sz="6" w:space="0"/>
              <w:bottom w:val="single" w:color="888888" w:sz="6" w:space="0"/>
              <w:right w:val="single" w:color="888888" w:sz="6" w:space="0"/>
            </w:tcBorders>
            <w:vAlign w:val="top"/>
          </w:tcPr>
          <w:p w14:paraId="1B234E33">
            <w:r>
              <w:rPr>
                <w:sz w:val="19"/>
              </w:rPr>
              <w:t>系统分析与设计</w:t>
            </w:r>
          </w:p>
        </w:tc>
        <w:tc>
          <w:tcPr>
            <w:tcW w:w="2550" w:type="dxa"/>
            <w:tcBorders>
              <w:top w:val="single" w:color="888888" w:sz="6" w:space="0"/>
              <w:left w:val="single" w:color="888888" w:sz="6" w:space="0"/>
              <w:bottom w:val="single" w:color="888888" w:sz="6" w:space="0"/>
              <w:right w:val="single" w:color="888888" w:sz="6" w:space="0"/>
            </w:tcBorders>
            <w:vAlign w:val="top"/>
          </w:tcPr>
          <w:p w14:paraId="3E89180A">
            <w:pPr>
              <w:rPr>
                <w:sz w:val="19"/>
              </w:rPr>
            </w:pPr>
            <w:r>
              <w:rPr>
                <w:sz w:val="19"/>
              </w:rPr>
              <w:t>第 1 月</w:t>
            </w:r>
          </w:p>
        </w:tc>
        <w:tc>
          <w:tcPr>
            <w:tcW w:w="2550" w:type="dxa"/>
            <w:tcBorders>
              <w:top w:val="single" w:color="888888" w:sz="6" w:space="0"/>
              <w:left w:val="single" w:color="888888" w:sz="6" w:space="0"/>
              <w:bottom w:val="single" w:color="888888" w:sz="6" w:space="0"/>
              <w:right w:val="single" w:color="888888" w:sz="6" w:space="0"/>
            </w:tcBorders>
            <w:vAlign w:val="top"/>
          </w:tcPr>
          <w:p w14:paraId="0D40FBC1">
            <w:pPr>
              <w:rPr>
                <w:rFonts w:hint="eastAsia"/>
                <w:sz w:val="19"/>
                <w:lang w:eastAsia="zh-CN"/>
              </w:rPr>
            </w:pPr>
            <w:r>
              <w:rPr>
                <w:sz w:val="19"/>
              </w:rPr>
              <w:t xml:space="preserve">第 3 月</w:t>
            </w:r>
            <w:r>
              <w:rPr>
                <w:rFonts w:hint="eastAsia"/>
                <w:sz w:val="19"/>
                <w:lang w:val="en-US" w:eastAsia="zh-CN"/>
              </w:rPr>
              <w:t/>
            </w:r>
          </w:p>
        </w:tc>
      </w:tr>
      <w:tr w14:paraId="6A79E14E">
        <w:tblPrEx>
          <w:tblCellMar>
            <w:top w:w="0" w:type="dxa"/>
            <w:left w:w="108" w:type="dxa"/>
            <w:bottom w:w="0" w:type="dxa"/>
            <w:right w:w="108" w:type="dxa"/>
          </w:tblCellMar>
        </w:tblPrEx>
        <w:trPr>
          <w:trHeight w:val="720"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276183CB">
            <w:r>
              <w:rPr>
                <w:sz w:val="19"/>
              </w:rPr>
              <w:t>2</w:t>
            </w:r>
          </w:p>
        </w:tc>
        <w:tc>
          <w:tcPr>
            <w:tcW w:w="2550" w:type="dxa"/>
            <w:tcBorders>
              <w:top w:val="single" w:color="888888" w:sz="6" w:space="0"/>
              <w:left w:val="single" w:color="888888" w:sz="6" w:space="0"/>
              <w:bottom w:val="single" w:color="888888" w:sz="6" w:space="0"/>
              <w:right w:val="single" w:color="888888" w:sz="6" w:space="0"/>
            </w:tcBorders>
            <w:vAlign w:val="top"/>
          </w:tcPr>
          <w:p w14:paraId="5ACB0B7B">
            <w:r>
              <w:rPr>
                <w:sz w:val="19"/>
              </w:rPr>
              <w:t>系统开发与测试</w:t>
            </w:r>
          </w:p>
        </w:tc>
        <w:tc>
          <w:tcPr>
            <w:tcW w:w="2550" w:type="dxa"/>
            <w:tcBorders>
              <w:top w:val="single" w:color="888888" w:sz="6" w:space="0"/>
              <w:left w:val="single" w:color="888888" w:sz="6" w:space="0"/>
              <w:bottom w:val="single" w:color="888888" w:sz="6" w:space="0"/>
              <w:right w:val="single" w:color="888888" w:sz="6" w:space="0"/>
            </w:tcBorders>
            <w:vAlign w:val="top"/>
          </w:tcPr>
          <w:p w14:paraId="41A7022F">
            <w:pPr>
              <w:rPr>
                <w:rFonts w:hint="eastAsia"/>
                <w:sz w:val="19"/>
                <w:lang w:eastAsia="zh-CN"/>
              </w:rPr>
            </w:pPr>
            <w:r>
              <w:rPr>
                <w:sz w:val="19"/>
              </w:rPr>
              <w:t xml:space="preserve">第 3 月</w:t>
            </w:r>
            <w:r>
              <w:rPr>
                <w:rFonts w:hint="eastAsia"/>
                <w:sz w:val="19"/>
                <w:lang w:val="en-US" w:eastAsia="zh-CN"/>
              </w:rPr>
              <w:t/>
            </w:r>
          </w:p>
        </w:tc>
        <w:tc>
          <w:tcPr>
            <w:tcW w:w="2550" w:type="dxa"/>
            <w:tcBorders>
              <w:top w:val="single" w:color="888888" w:sz="6" w:space="0"/>
              <w:left w:val="single" w:color="888888" w:sz="6" w:space="0"/>
              <w:bottom w:val="single" w:color="888888" w:sz="6" w:space="0"/>
              <w:right w:val="single" w:color="888888" w:sz="6" w:space="0"/>
            </w:tcBorders>
            <w:vAlign w:val="top"/>
          </w:tcPr>
          <w:p w14:paraId="3C27604B">
            <w:pPr>
              <w:rPr>
                <w:rFonts w:hint="eastAsia"/>
                <w:sz w:val="19"/>
                <w:lang w:eastAsia="zh-CN"/>
              </w:rPr>
            </w:pPr>
            <w:r>
              <w:rPr>
                <w:sz w:val="19"/>
              </w:rPr>
              <w:t xml:space="preserve">第 5 月</w:t>
            </w:r>
            <w:r>
              <w:rPr>
                <w:rFonts w:hint="eastAsia"/>
                <w:sz w:val="19"/>
                <w:lang w:val="en-US" w:eastAsia="zh-CN"/>
              </w:rPr>
              <w:t/>
            </w:r>
          </w:p>
        </w:tc>
      </w:tr>
      <w:tr w14:paraId="368D12C6">
        <w:tblPrEx>
          <w:tblCellMar>
            <w:top w:w="0" w:type="dxa"/>
            <w:left w:w="108" w:type="dxa"/>
            <w:bottom w:w="0" w:type="dxa"/>
            <w:right w:w="108" w:type="dxa"/>
          </w:tblCellMar>
        </w:tblPrEx>
        <w:trPr>
          <w:trHeight w:val="720"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05960ADE">
            <w:r>
              <w:rPr>
                <w:sz w:val="19"/>
              </w:rPr>
              <w:t>3</w:t>
            </w:r>
          </w:p>
        </w:tc>
        <w:tc>
          <w:tcPr>
            <w:tcW w:w="2550" w:type="dxa"/>
            <w:tcBorders>
              <w:top w:val="single" w:color="888888" w:sz="6" w:space="0"/>
              <w:left w:val="single" w:color="888888" w:sz="6" w:space="0"/>
              <w:bottom w:val="single" w:color="888888" w:sz="6" w:space="0"/>
              <w:right w:val="single" w:color="888888" w:sz="6" w:space="0"/>
            </w:tcBorders>
            <w:vAlign w:val="top"/>
          </w:tcPr>
          <w:p w14:paraId="5CB6AECC">
            <w:r>
              <w:rPr>
                <w:sz w:val="19"/>
              </w:rPr>
              <w:t>系统与用户验收（SIT / UAT）</w:t>
            </w:r>
          </w:p>
        </w:tc>
        <w:tc>
          <w:tcPr>
            <w:tcW w:w="2550" w:type="dxa"/>
            <w:tcBorders>
              <w:top w:val="single" w:color="888888" w:sz="6" w:space="0"/>
              <w:left w:val="single" w:color="888888" w:sz="6" w:space="0"/>
              <w:bottom w:val="single" w:color="888888" w:sz="6" w:space="0"/>
              <w:right w:val="single" w:color="888888" w:sz="6" w:space="0"/>
            </w:tcBorders>
            <w:vAlign w:val="top"/>
          </w:tcPr>
          <w:p w14:paraId="3623B9C9">
            <w:pPr>
              <w:rPr>
                <w:rFonts w:hint="eastAsia"/>
                <w:sz w:val="19"/>
                <w:lang w:eastAsia="zh-CN"/>
              </w:rPr>
            </w:pPr>
            <w:r>
              <w:rPr>
                <w:sz w:val="19"/>
              </w:rPr>
              <w:t xml:space="preserve">第 5 月</w:t>
            </w:r>
            <w:r>
              <w:rPr>
                <w:rFonts w:hint="eastAsia"/>
                <w:sz w:val="19"/>
                <w:lang w:val="en-US" w:eastAsia="zh-CN"/>
              </w:rPr>
              <w:t/>
            </w:r>
          </w:p>
        </w:tc>
        <w:tc>
          <w:tcPr>
            <w:tcW w:w="2550" w:type="dxa"/>
            <w:tcBorders>
              <w:top w:val="single" w:color="888888" w:sz="6" w:space="0"/>
              <w:left w:val="single" w:color="888888" w:sz="6" w:space="0"/>
              <w:bottom w:val="single" w:color="888888" w:sz="6" w:space="0"/>
              <w:right w:val="single" w:color="888888" w:sz="6" w:space="0"/>
            </w:tcBorders>
            <w:vAlign w:val="top"/>
          </w:tcPr>
          <w:p w14:paraId="0A963884">
            <w:pPr>
              <w:rPr>
                <w:rFonts w:hint="eastAsia"/>
                <w:sz w:val="19"/>
                <w:lang w:eastAsia="zh-CN"/>
              </w:rPr>
            </w:pPr>
            <w:r>
              <w:rPr>
                <w:sz w:val="19"/>
              </w:rPr>
              <w:t xml:space="preserve">第 6 月</w:t>
            </w:r>
            <w:r>
              <w:rPr>
                <w:rFonts w:hint="eastAsia"/>
                <w:sz w:val="19"/>
                <w:lang w:val="en-US" w:eastAsia="zh-CN"/>
              </w:rPr>
              <w:t/>
            </w:r>
          </w:p>
        </w:tc>
      </w:tr>
      <w:tr w14:paraId="0DD05E68">
        <w:tblPrEx>
          <w:tblCellMar>
            <w:top w:w="0" w:type="dxa"/>
            <w:left w:w="108" w:type="dxa"/>
            <w:bottom w:w="0" w:type="dxa"/>
            <w:right w:w="108" w:type="dxa"/>
          </w:tblCellMar>
        </w:tblPrEx>
        <w:trPr>
          <w:trHeight w:val="720"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03ED8A34">
            <w:r>
              <w:rPr>
                <w:sz w:val="19"/>
              </w:rPr>
              <w:t>4</w:t>
            </w:r>
          </w:p>
        </w:tc>
        <w:tc>
          <w:tcPr>
            <w:tcW w:w="2550" w:type="dxa"/>
            <w:tcBorders>
              <w:top w:val="single" w:color="888888" w:sz="6" w:space="0"/>
              <w:left w:val="single" w:color="888888" w:sz="6" w:space="0"/>
              <w:bottom w:val="single" w:color="888888" w:sz="6" w:space="0"/>
              <w:right w:val="single" w:color="888888" w:sz="6" w:space="0"/>
            </w:tcBorders>
            <w:vAlign w:val="top"/>
          </w:tcPr>
          <w:p w14:paraId="7C1CBC52">
            <w:r>
              <w:rPr>
                <w:sz w:val="19"/>
              </w:rPr>
              <w:t>用户培训（按 RFI 4.3.14.3 不少于 10 场）</w:t>
            </w:r>
          </w:p>
        </w:tc>
        <w:tc>
          <w:tcPr>
            <w:tcW w:w="2550" w:type="dxa"/>
            <w:tcBorders>
              <w:top w:val="single" w:color="888888" w:sz="6" w:space="0"/>
              <w:left w:val="single" w:color="888888" w:sz="6" w:space="0"/>
              <w:bottom w:val="single" w:color="888888" w:sz="6" w:space="0"/>
              <w:right w:val="single" w:color="888888" w:sz="6" w:space="0"/>
            </w:tcBorders>
            <w:vAlign w:val="top"/>
          </w:tcPr>
          <w:p w14:paraId="11E906B6">
            <w:pPr>
              <w:rPr>
                <w:rFonts w:hint="eastAsia"/>
                <w:sz w:val="19"/>
                <w:lang w:eastAsia="zh-CN"/>
              </w:rPr>
            </w:pPr>
            <w:r>
              <w:rPr>
                <w:sz w:val="19"/>
              </w:rPr>
              <w:t xml:space="preserve">第 6 月</w:t>
            </w:r>
            <w:r>
              <w:rPr>
                <w:rFonts w:hint="eastAsia"/>
                <w:sz w:val="19"/>
                <w:lang w:val="en-US" w:eastAsia="zh-CN"/>
              </w:rPr>
              <w:t/>
            </w:r>
          </w:p>
        </w:tc>
        <w:tc>
          <w:tcPr>
            <w:tcW w:w="2550" w:type="dxa"/>
            <w:tcBorders>
              <w:top w:val="single" w:color="888888" w:sz="6" w:space="0"/>
              <w:left w:val="single" w:color="888888" w:sz="6" w:space="0"/>
              <w:bottom w:val="single" w:color="888888" w:sz="6" w:space="0"/>
              <w:right w:val="single" w:color="888888" w:sz="6" w:space="0"/>
            </w:tcBorders>
            <w:vAlign w:val="top"/>
          </w:tcPr>
          <w:p w14:paraId="321E394E">
            <w:pPr>
              <w:rPr>
                <w:rFonts w:hint="eastAsia"/>
                <w:sz w:val="19"/>
                <w:lang w:eastAsia="zh-CN"/>
              </w:rPr>
            </w:pPr>
            <w:r>
              <w:rPr>
                <w:sz w:val="19"/>
              </w:rPr>
              <w:t xml:space="preserve">第 7 月</w:t>
            </w:r>
            <w:r>
              <w:rPr>
                <w:rFonts w:hint="eastAsia"/>
                <w:sz w:val="19"/>
                <w:lang w:val="en-US" w:eastAsia="zh-CN"/>
              </w:rPr>
              <w:t/>
            </w:r>
          </w:p>
        </w:tc>
      </w:tr>
      <w:tr w14:paraId="093F1BB1">
        <w:tblPrEx>
          <w:tblCellMar>
            <w:top w:w="0" w:type="dxa"/>
            <w:left w:w="108" w:type="dxa"/>
            <w:bottom w:w="0" w:type="dxa"/>
            <w:right w:w="108" w:type="dxa"/>
          </w:tblCellMar>
        </w:tblPrEx>
        <w:trPr>
          <w:trHeight w:val="720"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544DF390">
            <w:r>
              <w:rPr>
                <w:sz w:val="19"/>
              </w:rPr>
              <w:t>5</w:t>
            </w:r>
          </w:p>
        </w:tc>
        <w:tc>
          <w:tcPr>
            <w:tcW w:w="2550" w:type="dxa"/>
            <w:tcBorders>
              <w:top w:val="single" w:color="888888" w:sz="6" w:space="0"/>
              <w:left w:val="single" w:color="888888" w:sz="6" w:space="0"/>
              <w:bottom w:val="single" w:color="888888" w:sz="6" w:space="0"/>
              <w:right w:val="single" w:color="888888" w:sz="6" w:space="0"/>
            </w:tcBorders>
            <w:vAlign w:val="top"/>
          </w:tcPr>
          <w:p w14:paraId="18B52186">
            <w:r>
              <w:rPr>
                <w:sz w:val="19"/>
              </w:rPr>
              <w:t>系统上线</w:t>
            </w:r>
          </w:p>
        </w:tc>
        <w:tc>
          <w:tcPr>
            <w:tcW w:w="2550" w:type="dxa"/>
            <w:tcBorders>
              <w:top w:val="single" w:color="888888" w:sz="6" w:space="0"/>
              <w:left w:val="single" w:color="888888" w:sz="6" w:space="0"/>
              <w:bottom w:val="single" w:color="888888" w:sz="6" w:space="0"/>
              <w:right w:val="single" w:color="888888" w:sz="6" w:space="0"/>
            </w:tcBorders>
            <w:vAlign w:val="top"/>
          </w:tcPr>
          <w:p w14:paraId="0B7A694B">
            <w:pPr>
              <w:rPr>
                <w:rFonts w:hint="eastAsia"/>
                <w:sz w:val="19"/>
                <w:lang w:eastAsia="zh-CN"/>
              </w:rPr>
            </w:pPr>
            <w:r>
              <w:rPr>
                <w:sz w:val="19"/>
              </w:rPr>
              <w:t xml:space="preserve">第 7 月</w:t>
            </w:r>
            <w:r>
              <w:rPr>
                <w:rFonts w:hint="eastAsia"/>
                <w:sz w:val="19"/>
                <w:lang w:val="en-US" w:eastAsia="zh-CN"/>
              </w:rPr>
              <w:t/>
            </w:r>
          </w:p>
        </w:tc>
        <w:tc>
          <w:tcPr>
            <w:tcW w:w="2550" w:type="dxa"/>
            <w:tcBorders>
              <w:top w:val="single" w:color="888888" w:sz="6" w:space="0"/>
              <w:left w:val="single" w:color="888888" w:sz="6" w:space="0"/>
              <w:bottom w:val="single" w:color="888888" w:sz="6" w:space="0"/>
              <w:right w:val="single" w:color="888888" w:sz="6" w:space="0"/>
            </w:tcBorders>
            <w:vAlign w:val="top"/>
          </w:tcPr>
          <w:p w14:paraId="12C049B4">
            <w:pPr>
              <w:rPr>
                <w:rFonts w:hint="eastAsia"/>
                <w:sz w:val="19"/>
                <w:lang w:eastAsia="zh-CN"/>
              </w:rPr>
            </w:pPr>
            <w:r>
              <w:rPr>
                <w:sz w:val="19"/>
              </w:rPr>
              <w:t xml:space="preserve">第 7 月</w:t>
            </w:r>
            <w:r>
              <w:rPr>
                <w:rFonts w:hint="eastAsia"/>
                <w:sz w:val="19"/>
                <w:lang w:val="en-US" w:eastAsia="zh-CN"/>
              </w:rPr>
              <w:t/>
            </w:r>
          </w:p>
        </w:tc>
      </w:tr>
      <w:tr w14:paraId="6DCE1FF2">
        <w:tblPrEx>
          <w:tblCellMar>
            <w:top w:w="0" w:type="dxa"/>
            <w:left w:w="108" w:type="dxa"/>
            <w:bottom w:w="0" w:type="dxa"/>
            <w:right w:w="108" w:type="dxa"/>
          </w:tblCellMar>
        </w:tblPrEx>
        <w:trPr>
          <w:trHeight w:val="720" w:hRule="atLeast"/>
          <w:jc w:val="center"/>
        </w:trPr>
        <w:tc>
          <w:tcPr>
            <w:tcW w:w="2550" w:type="dxa"/>
            <w:tcBorders>
              <w:top w:val="single" w:color="888888" w:sz="6" w:space="0"/>
              <w:left w:val="single" w:color="888888" w:sz="6" w:space="0"/>
              <w:bottom w:val="single" w:color="888888" w:sz="6" w:space="0"/>
              <w:right w:val="single" w:color="888888" w:sz="6" w:space="0"/>
            </w:tcBorders>
            <w:vAlign w:val="top"/>
          </w:tcPr>
          <w:p w14:paraId="662ECB24">
            <w:r>
              <w:rPr>
                <w:sz w:val="19"/>
              </w:rPr>
              <w:t>6</w:t>
            </w:r>
          </w:p>
        </w:tc>
        <w:tc>
          <w:tcPr>
            <w:tcW w:w="2550" w:type="dxa"/>
            <w:tcBorders>
              <w:top w:val="single" w:color="888888" w:sz="6" w:space="0"/>
              <w:left w:val="single" w:color="888888" w:sz="6" w:space="0"/>
              <w:bottom w:val="single" w:color="888888" w:sz="6" w:space="0"/>
              <w:right w:val="single" w:color="888888" w:sz="6" w:space="0"/>
            </w:tcBorders>
            <w:vAlign w:val="top"/>
          </w:tcPr>
          <w:p w14:paraId="23CBBF04">
            <w:r>
              <w:rPr>
                <w:sz w:val="19"/>
              </w:rPr>
              <w:t>系统护理期（3 个月）</w:t>
            </w:r>
          </w:p>
        </w:tc>
        <w:tc>
          <w:tcPr>
            <w:tcW w:w="2550" w:type="dxa"/>
            <w:tcBorders>
              <w:top w:val="single" w:color="888888" w:sz="6" w:space="0"/>
              <w:left w:val="single" w:color="888888" w:sz="6" w:space="0"/>
              <w:bottom w:val="single" w:color="888888" w:sz="6" w:space="0"/>
              <w:right w:val="single" w:color="888888" w:sz="6" w:space="0"/>
            </w:tcBorders>
            <w:vAlign w:val="top"/>
          </w:tcPr>
          <w:p w14:paraId="559469BE">
            <w:pPr>
              <w:rPr>
                <w:rFonts w:hint="eastAsia"/>
                <w:sz w:val="19"/>
                <w:lang w:val="en-US" w:eastAsia="zh-CN"/>
              </w:rPr>
            </w:pPr>
            <w:r>
              <w:rPr>
                <w:sz w:val="19"/>
              </w:rPr>
              <w:t xml:space="preserve">第 8 月</w:t>
            </w:r>
            <w:r>
              <w:rPr>
                <w:rFonts w:hint="eastAsia"/>
                <w:sz w:val="19"/>
                <w:lang w:val="en-US" w:eastAsia="zh-CN"/>
              </w:rPr>
              <w:t/>
            </w:r>
          </w:p>
        </w:tc>
        <w:tc>
          <w:tcPr>
            <w:tcW w:w="2550" w:type="dxa"/>
            <w:tcBorders>
              <w:top w:val="single" w:color="888888" w:sz="6" w:space="0"/>
              <w:left w:val="single" w:color="888888" w:sz="6" w:space="0"/>
              <w:bottom w:val="single" w:color="888888" w:sz="6" w:space="0"/>
              <w:right w:val="single" w:color="888888" w:sz="6" w:space="0"/>
            </w:tcBorders>
            <w:vAlign w:val="top"/>
          </w:tcPr>
          <w:p w14:paraId="43D7A520">
            <w:pPr>
              <w:rPr>
                <w:rFonts w:hint="default"/>
                <w:sz w:val="19"/>
                <w:lang w:val="en-US" w:eastAsia="zh-CN"/>
              </w:rPr>
            </w:pPr>
            <w:r>
              <w:rPr>
                <w:sz w:val="19"/>
              </w:rPr>
              <w:t xml:space="preserve">第 10 月</w:t>
            </w:r>
            <w:r>
              <w:rPr>
                <w:rFonts w:hint="eastAsia"/>
                <w:sz w:val="19"/>
                <w:lang w:val="en-US" w:eastAsia="zh-CN"/>
              </w:rPr>
              <w:t/>
            </w:r>
          </w:p>
        </w:tc>
      </w:tr>
    </w:tbl>
    <w:p w14:paraId="65E3AE8B"/>
    <w:sectPr>
      <w:pgSz w:w="12240" w:h="15840"/>
      <w:pgMar w:top="1134" w:right="1020" w:bottom="1134"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仓耳玄三M W05">
    <w:altName w:val="Yu Gothic UI Semilight"/>
    <w:panose1 w:val="02020400000000000000"/>
    <w:charset w:val="80"/>
    <w:family w:val="auto"/>
    <w:pitch w:val="default"/>
    <w:sig w:usb0="00000000" w:usb1="00000000" w:usb2="00000012" w:usb3="00000000" w:csb0="0002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Yu Gothic UI Semilight">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86A4E"/>
    <w:rsid w:val="014C4DA3"/>
    <w:rsid w:val="02DA57D5"/>
    <w:rsid w:val="036363D4"/>
    <w:rsid w:val="096A1B6D"/>
    <w:rsid w:val="0E5C2097"/>
    <w:rsid w:val="0F0B6A95"/>
    <w:rsid w:val="107225B6"/>
    <w:rsid w:val="11AF4B82"/>
    <w:rsid w:val="11D54941"/>
    <w:rsid w:val="133866A1"/>
    <w:rsid w:val="146A3560"/>
    <w:rsid w:val="16247A55"/>
    <w:rsid w:val="1B2129A5"/>
    <w:rsid w:val="1FA3666E"/>
    <w:rsid w:val="2BA44FCF"/>
    <w:rsid w:val="2F3426DA"/>
    <w:rsid w:val="30FA360C"/>
    <w:rsid w:val="31F17148"/>
    <w:rsid w:val="40E72B34"/>
    <w:rsid w:val="448874CB"/>
    <w:rsid w:val="46B474E1"/>
    <w:rsid w:val="46F25071"/>
    <w:rsid w:val="495D1B40"/>
    <w:rsid w:val="54171D05"/>
    <w:rsid w:val="55B72899"/>
    <w:rsid w:val="55E3723E"/>
    <w:rsid w:val="562D2A01"/>
    <w:rsid w:val="575C52BB"/>
    <w:rsid w:val="5E895E64"/>
    <w:rsid w:val="62297F79"/>
    <w:rsid w:val="6A2F6B02"/>
    <w:rsid w:val="6E9D5013"/>
    <w:rsid w:val="6EBE6636"/>
    <w:rsid w:val="727E14FC"/>
    <w:rsid w:val="72AE27E1"/>
    <w:rsid w:val="767174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eastAsia="Segoe Print" w:asciiTheme="minorHAnsi" w:hAnsiTheme="minorHAnsi"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unhideWhenUsed/>
    <w:uiPriority w:val="1"/>
  </w:style>
  <w:style w:type="table" w:default="1" w:styleId="32">
    <w:name w:val="Normal Table"/>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Segoe Print"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TML Code"/>
    <w:basedOn w:val="132"/>
    <w:semiHidden/>
    <w:unhideWhenUsed/>
    <w:uiPriority w:val="99"/>
    <w:rPr>
      <w:rFonts w:ascii="Courier New" w:hAnsi="Courier New"/>
      <w:sz w:val="20"/>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customStyle="1" w:styleId="138">
    <w:name w:val="No Spacing"/>
    <w:qFormat/>
    <w:uiPriority w:val="1"/>
    <w:pPr>
      <w:spacing w:after="0" w:line="240" w:lineRule="auto"/>
    </w:pPr>
    <w:rPr>
      <w:rFonts w:eastAsia="Segoe Print" w:asciiTheme="minorHAnsi" w:hAnsiTheme="minorHAnsi"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New" w:hAnsi="Courier New"/>
      <w:sz w:val="20"/>
      <w:szCs w:val="20"/>
    </w:rPr>
  </w:style>
  <w:style w:type="paragraph" w:customStyle="1"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24</Pages>
  <Words>3342</Words>
  <Characters>10315</Characters>
  <Lines>0</Lines>
  <Paragraphs>0</Paragraphs>
  <TotalTime>0</TotalTime>
  <ScaleCrop>false</ScaleCrop>
  <LinksUpToDate>false</LinksUpToDate>
  <CharactersWithSpaces>11983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Echo.Don</cp:lastModifiedBy>
  <dcterms:modified xsi:type="dcterms:W3CDTF">2026-05-27T05:22:21Z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7127341ACE593F0807EB136A209D0910_31</vt:lpwstr>
  </property>
  <property fmtid="{D5CDD505-2E9C-101B-9397-08002B2CF9AE}" pid="3" name="KSOProductBuildVer">
    <vt:lpwstr>2052-12.1.0.26375</vt:lpwstr>
  </property>
  <property fmtid="{D5CDD505-2E9C-101B-9397-08002B2CF9AE}" pid="4" name="KSOTemplateDocerSaveRecord">
    <vt:lpwstr>eyJoZGlkIjoiM2FjMzJkNDE2Y2RmYjMyMWVjZmE4M2FiN2Y0MjhjMTgiLCJ1c2VySWQiOiIxMDQyNDg1MjE1In0=</vt:lpwstr>
  </property>
</Properties>
</file>