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022E9F">
      <w:pPr>
        <w:spacing w:before="1200"/>
      </w:pPr>
      <w:bookmarkStart w:id="0" w:name="_GoBack"/>
      <w:bookmarkEnd w:id="0"/>
      <w:r>
        <w:t xml:space="preserve"> </w:t>
      </w:r>
    </w:p>
    <w:p w14:paraId="750B636D">
      <w:pPr>
        <w:spacing w:after="200"/>
        <w:jc w:val="left"/>
      </w:pPr>
      <w:r>
        <w:rPr>
          <w:rFonts w:ascii="Arial" w:hAnsi="Arial" w:eastAsia="Arial" w:cs="Arial"/>
          <w:b/>
          <w:bCs/>
          <w:color w:val="5A8A00"/>
          <w:sz w:val="22"/>
          <w:szCs w:val="22"/>
        </w:rPr>
        <w:t>● CMHK · CHINA MOBILE HONG KONG</w:t>
      </w:r>
    </w:p>
    <w:p w14:paraId="44F45C87">
      <w:pPr>
        <w:spacing w:after="100"/>
        <w:jc w:val="left"/>
      </w:pPr>
      <w:r>
        <w:rPr>
          <w:rFonts w:ascii="Arial" w:hAnsi="Arial" w:eastAsia="Arial" w:cs="Arial"/>
          <w:b/>
          <w:bCs/>
          <w:color w:val="003D7A"/>
          <w:sz w:val="56"/>
          <w:szCs w:val="56"/>
        </w:rPr>
        <w:t>RFI Specification Extract</w:t>
      </w:r>
    </w:p>
    <w:p w14:paraId="5084EC97">
      <w:pPr>
        <w:spacing w:after="600"/>
        <w:jc w:val="left"/>
      </w:pPr>
      <w:r>
        <w:rPr>
          <w:rFonts w:ascii="Arial" w:hAnsi="Arial" w:eastAsia="Arial" w:cs="Arial"/>
          <w:color w:val="005FB8"/>
          <w:sz w:val="36"/>
          <w:szCs w:val="36"/>
        </w:rPr>
        <w:t>Software Partner Reference</w:t>
      </w:r>
    </w:p>
    <w:p w14:paraId="1A1C7F24">
      <w:pPr>
        <w:spacing w:after="1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Project: </w:t>
      </w:r>
      <w:r>
        <w:rPr>
          <w:rFonts w:ascii="Arial" w:hAnsi="Arial" w:eastAsia="Arial" w:cs="Arial"/>
          <w:sz w:val="24"/>
          <w:szCs w:val="24"/>
        </w:rPr>
        <w:t>ImmD APPLIES-2 AI Total Solutions</w:t>
      </w:r>
    </w:p>
    <w:p w14:paraId="60529BE0">
      <w:pPr>
        <w:spacing w:after="1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Reference: </w:t>
      </w:r>
      <w:r>
        <w:rPr>
          <w:rFonts w:ascii="Arial" w:hAnsi="Arial" w:eastAsia="Arial" w:cs="Arial"/>
          <w:sz w:val="24"/>
          <w:szCs w:val="24"/>
        </w:rPr>
        <w:t>RFI for Artificial Intelligence Total Solutions for APPLIES-2 of Immigration Department, April 2026</w:t>
      </w:r>
    </w:p>
    <w:p w14:paraId="16F7FC50">
      <w:pPr>
        <w:spacing w:after="6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Version: </w:t>
      </w:r>
      <w:r>
        <w:rPr>
          <w:rFonts w:ascii="Arial" w:hAnsi="Arial" w:eastAsia="Arial" w:cs="Arial"/>
          <w:sz w:val="24"/>
          <w:szCs w:val="24"/>
        </w:rPr>
        <w:t>1.0 — May 2026 — for RFQ purposes only</w:t>
      </w:r>
    </w:p>
    <w:p w14:paraId="2B60D395">
      <w:pPr>
        <w:pBdr>
          <w:left w:val="single" w:color="005FB8" w:sz="24" w:space="4"/>
        </w:pBdr>
        <w:shd w:val="clear" w:color="auto" w:fill="E8F1FB"/>
        <w:spacing w:after="300"/>
        <w:ind w:left="240" w:right="240"/>
        <w:jc w:val="both"/>
      </w:pPr>
      <w:r>
        <w:rPr>
          <w:rFonts w:ascii="Arial" w:hAnsi="Arial" w:eastAsia="Arial" w:cs="Arial"/>
          <w:i/>
          <w:iCs/>
          <w:color w:val="5D6D80"/>
          <w:sz w:val="22"/>
          <w:szCs w:val="22"/>
        </w:rPr>
        <w:t>本文件為 ImmD APPLIES-2 AI Total Solutions RFI 中與軟件相關章節的摘錄整理，供合作夥伴參考並用於 RFQ 報價。本文件並非 RFI 完整內容，亦不代表 ImmD 之正式發佈。</w:t>
      </w:r>
    </w:p>
    <w:p w14:paraId="20386F45">
      <w:pPr>
        <w:spacing w:before="400" w:after="100"/>
      </w:pPr>
      <w:r>
        <w:rPr>
          <w:rFonts w:ascii="Arial" w:hAnsi="Arial" w:eastAsia="Arial" w:cs="Arial"/>
          <w:b/>
          <w:bCs/>
          <w:color w:val="003D7A"/>
          <w:sz w:val="22"/>
          <w:szCs w:val="22"/>
        </w:rPr>
        <w:t>保密提醒 / Confidentiality Notice</w:t>
      </w:r>
    </w:p>
    <w:p w14:paraId="68147A45">
      <w:pPr>
        <w:spacing w:after="400"/>
        <w:jc w:val="both"/>
      </w:pPr>
      <w:r>
        <w:rPr>
          <w:rFonts w:ascii="Arial" w:hAnsi="Arial" w:eastAsia="Arial" w:cs="Arial"/>
          <w:i/>
          <w:iCs/>
          <w:color w:val="5D6D80"/>
          <w:sz w:val="20"/>
          <w:szCs w:val="20"/>
        </w:rPr>
        <w:t>本文件內容屬機密資料，僅限指定收件人於本次 RFQ 報價用途。請勿向任何第三方披露、複製或傳閱。如有任何 RFI 相關技術疑問，請聯絡 CMHK Key Account 對接窗口，請勿直接接觸 ImmD 或其任何聯絡人。</w:t>
      </w:r>
    </w:p>
    <w:p w14:paraId="10B86FC5">
      <w:pPr>
        <w:pageBreakBefore/>
      </w:pPr>
      <w:r>
        <w:br w:type="textWrapping"/>
      </w:r>
    </w:p>
    <w:p w14:paraId="75DB7EDD">
      <w:pPr>
        <w:pBdr>
          <w:bottom w:val="single" w:color="005FB8" w:sz="12" w:space="4"/>
        </w:pBdr>
        <w:spacing w:before="360" w:after="200"/>
      </w:pPr>
      <w:r>
        <w:rPr>
          <w:rFonts w:ascii="Arial" w:hAnsi="Arial" w:eastAsia="Arial" w:cs="Arial"/>
          <w:b/>
          <w:bCs/>
          <w:color w:val="003D7A"/>
          <w:sz w:val="28"/>
          <w:szCs w:val="28"/>
        </w:rPr>
        <w:t>1.  業務需求 / Business Requirements</w:t>
      </w:r>
    </w:p>
    <w:p w14:paraId="294B73B1">
      <w:pPr>
        <w:spacing w:before="280" w:after="160"/>
      </w:pPr>
      <w:r>
        <w:rPr>
          <w:rFonts w:ascii="Arial" w:hAnsi="Arial" w:eastAsia="Arial" w:cs="Arial"/>
          <w:b/>
          <w:bCs/>
          <w:color w:val="005FB8"/>
          <w:sz w:val="24"/>
          <w:szCs w:val="24"/>
        </w:rPr>
        <w:t>1.1  項目背景</w:t>
      </w:r>
    </w:p>
    <w:p w14:paraId="43A148D4">
      <w:pPr>
        <w:spacing w:before="80" w:after="80"/>
        <w:jc w:val="both"/>
      </w:pPr>
      <w:r>
        <w:rPr>
          <w:rFonts w:ascii="Times New Roman" w:hAnsi="Times New Roman" w:eastAsia="Times New Roman" w:cs="Times New Roman"/>
          <w:sz w:val="22"/>
          <w:szCs w:val="22"/>
        </w:rPr>
        <w:t>Hong Kong Immigration Department (ImmD) 計劃透過 Next Generation Application and Investigation Easy Systems (APPLIES-2) 引入 AI 協助處理簽證/入境許可申請。主要功能包括：自動文件分類、智能數據驗證、智能 Minutes 草擬。試行/試點目標為 2026 年內啟動。</w:t>
      </w:r>
    </w:p>
    <w:p w14:paraId="280FDF0D">
      <w:pPr>
        <w:spacing w:before="280" w:after="160"/>
      </w:pPr>
      <w:r>
        <w:rPr>
          <w:rFonts w:ascii="Arial" w:hAnsi="Arial" w:eastAsia="Arial" w:cs="Arial"/>
          <w:b/>
          <w:bCs/>
          <w:color w:val="005FB8"/>
          <w:sz w:val="24"/>
          <w:szCs w:val="24"/>
        </w:rPr>
        <w:t>1.2  申請場景</w:t>
      </w:r>
    </w:p>
    <w:p w14:paraId="42FF76E2">
      <w:pPr>
        <w:spacing w:before="80" w:after="80"/>
        <w:jc w:val="both"/>
      </w:pPr>
      <w:r>
        <w:rPr>
          <w:rFonts w:ascii="Times New Roman" w:hAnsi="Times New Roman" w:eastAsia="Times New Roman" w:cs="Times New Roman"/>
          <w:sz w:val="22"/>
          <w:szCs w:val="22"/>
        </w:rPr>
        <w:t>申請者可透過線上服務遞交簽證/入境許可申請，亦可實體遞交紙本表格至 ImmD（系統將紙本表格掃描為電子文件後處理）。所有申請進入 case assessment 流程。</w:t>
      </w:r>
    </w:p>
    <w:p w14:paraId="4AB37F83">
      <w:pPr>
        <w:spacing w:before="280" w:after="160"/>
      </w:pPr>
      <w:r>
        <w:rPr>
          <w:rFonts w:ascii="Arial" w:hAnsi="Arial" w:eastAsia="Arial" w:cs="Arial"/>
          <w:b/>
          <w:bCs/>
          <w:color w:val="005FB8"/>
          <w:sz w:val="24"/>
          <w:szCs w:val="24"/>
        </w:rPr>
        <w:t>1.3  工作量估算 / Workload Estimation</w:t>
      </w:r>
    </w:p>
    <w:p w14:paraId="466D3AE4">
      <w:pPr>
        <w:spacing w:before="200" w:after="100"/>
      </w:pPr>
      <w:r>
        <w:rPr>
          <w:rFonts w:ascii="Arial" w:hAnsi="Arial" w:eastAsia="Arial" w:cs="Arial"/>
          <w:b/>
          <w:bCs/>
          <w:sz w:val="22"/>
          <w:szCs w:val="22"/>
        </w:rPr>
        <w:t>表 1：估算申請量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5"/>
        <w:gridCol w:w="1195"/>
        <w:gridCol w:w="1086"/>
        <w:gridCol w:w="5890"/>
      </w:tblGrid>
      <w:tr w14:paraId="3F5E90E8">
        <w:tc>
          <w:tcPr>
            <w:shd w:val="clear" w:color="auto" w:fill="003D7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F80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申請類型 / Type</w:t>
            </w:r>
          </w:p>
        </w:tc>
        <w:tc>
          <w:tcPr>
            <w:shd w:val="clear" w:color="auto" w:fill="003D7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4EC5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年申請量</w:t>
            </w:r>
          </w:p>
        </w:tc>
        <w:tc>
          <w:tcPr>
            <w:shd w:val="clear" w:color="auto" w:fill="003D7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DC45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時申請量</w:t>
            </w:r>
          </w:p>
        </w:tc>
        <w:tc>
          <w:tcPr>
            <w:shd w:val="clear" w:color="auto" w:fill="003D7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7448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文件 / 圖片格式</w:t>
            </w:r>
          </w:p>
        </w:tc>
      </w:tr>
      <w:tr w14:paraId="774EA179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43BAD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簽證 / 入境許可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516B9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約 500,000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19548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約 500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EC73F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JPEG, PDF, GIF, PNG, TIF (RAW, LZW, JPEG, CCITT-G4) 等</w:t>
            </w:r>
          </w:p>
        </w:tc>
      </w:tr>
    </w:tbl>
    <w:p w14:paraId="6155244C">
      <w:pPr>
        <w:spacing w:before="300" w:after="100"/>
      </w:pPr>
      <w:r>
        <w:rPr>
          <w:rFonts w:ascii="Arial" w:hAnsi="Arial" w:eastAsia="Arial" w:cs="Arial"/>
          <w:b/>
          <w:bCs/>
          <w:sz w:val="22"/>
          <w:szCs w:val="22"/>
        </w:rPr>
        <w:t>表 2：估算文件大小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36"/>
        <w:gridCol w:w="2403"/>
        <w:gridCol w:w="2052"/>
        <w:gridCol w:w="2755"/>
      </w:tblGrid>
      <w:tr w14:paraId="40E7B766">
        <w:tc>
          <w:tcPr>
            <w:shd w:val="clear" w:color="auto" w:fill="003D7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B624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申請類型</w:t>
            </w:r>
          </w:p>
        </w:tc>
        <w:tc>
          <w:tcPr>
            <w:shd w:val="clear" w:color="auto" w:fill="003D7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66D2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附件數 / 申請</w:t>
            </w:r>
          </w:p>
        </w:tc>
        <w:tc>
          <w:tcPr>
            <w:shd w:val="clear" w:color="auto" w:fill="003D7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B15E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頁數 / 附件</w:t>
            </w:r>
          </w:p>
        </w:tc>
        <w:tc>
          <w:tcPr>
            <w:shd w:val="clear" w:color="auto" w:fill="003D7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E06D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平均大小 / 附件</w:t>
            </w:r>
          </w:p>
        </w:tc>
      </w:tr>
      <w:tr w14:paraId="2FE2EA67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2AEC6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簽證 / 入境許可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1E88E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約 12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A923F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約 3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A3EEA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5 MB</w:t>
            </w:r>
          </w:p>
        </w:tc>
      </w:tr>
    </w:tbl>
    <w:p w14:paraId="5F8AB401">
      <w:pPr>
        <w:pBdr>
          <w:left w:val="single" w:color="005FB8" w:sz="24" w:space="4"/>
        </w:pBdr>
        <w:shd w:val="clear" w:color="auto" w:fill="E8F1FB"/>
        <w:spacing w:before="120" w:after="200"/>
        <w:ind w:left="240"/>
      </w:pPr>
      <w:r>
        <w:rPr>
          <w:rFonts w:ascii="Arial" w:hAnsi="Arial" w:eastAsia="Arial" w:cs="Arial"/>
          <w:i/>
          <w:iCs/>
          <w:color w:val="5D6D80"/>
          <w:sz w:val="20"/>
          <w:szCs w:val="20"/>
        </w:rPr>
        <w:t>備註：估算年增長率為 7%，計算 5 年。</w:t>
      </w:r>
    </w:p>
    <w:p w14:paraId="62CD00CC">
      <w:pPr>
        <w:pBdr>
          <w:bottom w:val="single" w:color="005FB8" w:sz="12" w:space="4"/>
        </w:pBdr>
        <w:spacing w:before="360" w:after="200"/>
      </w:pPr>
      <w:r>
        <w:rPr>
          <w:rFonts w:ascii="Arial" w:hAnsi="Arial" w:eastAsia="Arial" w:cs="Arial"/>
          <w:b/>
          <w:bCs/>
          <w:color w:val="003D7A"/>
          <w:sz w:val="28"/>
          <w:szCs w:val="28"/>
        </w:rPr>
        <w:t>2.  AI 功能需求 / AI Functions Requirements</w:t>
      </w:r>
    </w:p>
    <w:p w14:paraId="41A4EE95">
      <w:pPr>
        <w:spacing w:before="280" w:after="160"/>
      </w:pPr>
      <w:r>
        <w:rPr>
          <w:rFonts w:ascii="Arial" w:hAnsi="Arial" w:eastAsia="Arial" w:cs="Arial"/>
          <w:b/>
          <w:bCs/>
          <w:color w:val="005FB8"/>
          <w:sz w:val="24"/>
          <w:szCs w:val="24"/>
        </w:rPr>
        <w:t>2.1  Automated Document Classification (自動文件分類)</w:t>
      </w:r>
    </w:p>
    <w:p w14:paraId="7476807B">
      <w:pPr>
        <w:spacing w:before="80" w:after="80"/>
        <w:jc w:val="both"/>
      </w:pPr>
      <w:r>
        <w:rPr>
          <w:rFonts w:ascii="Times New Roman" w:hAnsi="Times New Roman" w:eastAsia="Times New Roman" w:cs="Times New Roman"/>
          <w:sz w:val="22"/>
          <w:szCs w:val="22"/>
        </w:rPr>
        <w:t>RFI 4.2.1：方案須支援以下功能：</w:t>
      </w:r>
    </w:p>
    <w:p w14:paraId="1B7F5DD4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依業務 / 工作流邏輯驗證申請文件與圖片的完整性</w:t>
      </w:r>
    </w:p>
    <w:p w14:paraId="7C579725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提供與支援後續分類任務</w:t>
      </w:r>
    </w:p>
    <w:p w14:paraId="0B10B4F2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檢查、處理並提示 user 異常項目</w:t>
      </w:r>
    </w:p>
    <w:p w14:paraId="6F20ED3F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產生並導出相關統計資料與報表</w:t>
      </w:r>
    </w:p>
    <w:p w14:paraId="1533003A">
      <w:pPr>
        <w:spacing w:before="280" w:after="160"/>
      </w:pPr>
      <w:r>
        <w:rPr>
          <w:rFonts w:ascii="Arial" w:hAnsi="Arial" w:eastAsia="Arial" w:cs="Arial"/>
          <w:b/>
          <w:bCs/>
          <w:color w:val="005FB8"/>
          <w:sz w:val="24"/>
          <w:szCs w:val="24"/>
        </w:rPr>
        <w:t>2.2  Intelligent Data Verification (智能數據驗證)</w:t>
      </w:r>
    </w:p>
    <w:p w14:paraId="209B279C">
      <w:pPr>
        <w:spacing w:before="80" w:after="80"/>
        <w:jc w:val="both"/>
      </w:pPr>
      <w:r>
        <w:rPr>
          <w:rFonts w:ascii="Times New Roman" w:hAnsi="Times New Roman" w:eastAsia="Times New Roman" w:cs="Times New Roman"/>
          <w:sz w:val="22"/>
          <w:szCs w:val="22"/>
        </w:rPr>
        <w:t>RFI 4.2.2：方案須支援以下功能：</w:t>
      </w:r>
    </w:p>
    <w:p w14:paraId="422FB96C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從非結構化資料（文件、圖片）抽取資訊</w:t>
      </w:r>
    </w:p>
    <w:p w14:paraId="3F87DE99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與申請者提供之其他結構化資料 cross-reference，自動識別不一致或不完整資料</w:t>
      </w:r>
    </w:p>
    <w:p w14:paraId="19D2EFE1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依業務 / 工作流邏輯檢查與識別不完整、有問題或不規則內容（如不完整資訊、不清晰圖章等）</w:t>
      </w:r>
    </w:p>
    <w:p w14:paraId="1EE93204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在原稿上 crop / highlight 非結構化資料的問題位置，供 user 檢視</w:t>
      </w:r>
    </w:p>
    <w:p w14:paraId="6EF8783E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產生並導出相關統計資料與報表</w:t>
      </w:r>
    </w:p>
    <w:p w14:paraId="185CA30B">
      <w:pPr>
        <w:spacing w:before="280" w:after="160"/>
      </w:pPr>
      <w:r>
        <w:rPr>
          <w:rFonts w:ascii="Arial" w:hAnsi="Arial" w:eastAsia="Arial" w:cs="Arial"/>
          <w:b/>
          <w:bCs/>
          <w:color w:val="005FB8"/>
          <w:sz w:val="24"/>
          <w:szCs w:val="24"/>
        </w:rPr>
        <w:t>2.3  Intelligent Minutes Drafting (智能 Minutes 草擬)</w:t>
      </w:r>
    </w:p>
    <w:p w14:paraId="4F0B0AEE">
      <w:pPr>
        <w:spacing w:before="80" w:after="80"/>
        <w:jc w:val="both"/>
      </w:pPr>
      <w:r>
        <w:rPr>
          <w:rFonts w:ascii="Times New Roman" w:hAnsi="Times New Roman" w:eastAsia="Times New Roman" w:cs="Times New Roman"/>
          <w:sz w:val="22"/>
          <w:szCs w:val="22"/>
        </w:rPr>
        <w:t>RFI 4.2.3：方案須支援以下功能：</w:t>
      </w:r>
    </w:p>
    <w:p w14:paraId="0AE44773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基於 minutes template (DOCX 格式) 生成草稿</w:t>
      </w:r>
    </w:p>
    <w:p w14:paraId="199C8983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根據結構化資料、上述 2.1/2.2 結果、業務工作流邏輯生成 minutes</w:t>
      </w:r>
    </w:p>
    <w:p w14:paraId="79C235C4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產生並導出相關統計資料與報表</w:t>
      </w:r>
    </w:p>
    <w:p w14:paraId="47493BAF">
      <w:pPr>
        <w:spacing w:before="280" w:after="160"/>
      </w:pPr>
      <w:r>
        <w:rPr>
          <w:rFonts w:ascii="Arial" w:hAnsi="Arial" w:eastAsia="Arial" w:cs="Arial"/>
          <w:b/>
          <w:bCs/>
          <w:color w:val="005FB8"/>
          <w:sz w:val="24"/>
          <w:szCs w:val="24"/>
        </w:rPr>
        <w:t>2.4  Combined Workflow (整合流程)</w:t>
      </w:r>
    </w:p>
    <w:p w14:paraId="2DF07499">
      <w:pPr>
        <w:spacing w:before="80" w:after="80"/>
        <w:jc w:val="both"/>
      </w:pPr>
      <w:r>
        <w:rPr>
          <w:rFonts w:ascii="Times New Roman" w:hAnsi="Times New Roman" w:eastAsia="Times New Roman" w:cs="Times New Roman"/>
          <w:sz w:val="22"/>
          <w:szCs w:val="22"/>
        </w:rPr>
        <w:t>RFI 4.2.4：方案須支援以下功能：</w:t>
      </w:r>
    </w:p>
    <w:p w14:paraId="43E4199A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自動將 2.1、2.2、2.3 整合為 streamline workflow</w:t>
      </w:r>
    </w:p>
    <w:p w14:paraId="7264341A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透過 API 或專屬介面接收 case application data（結構化與非結構化）</w:t>
      </w:r>
    </w:p>
    <w:p w14:paraId="428F9A74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透過 API 或專屬介面交付結果（資料、圖片、報表）至 ImmD 系統</w:t>
      </w:r>
    </w:p>
    <w:p w14:paraId="2D0E4A8A">
      <w:pPr>
        <w:spacing w:before="280" w:after="160"/>
      </w:pPr>
      <w:r>
        <w:rPr>
          <w:rFonts w:ascii="Arial" w:hAnsi="Arial" w:eastAsia="Arial" w:cs="Arial"/>
          <w:b/>
          <w:bCs/>
          <w:color w:val="005FB8"/>
          <w:sz w:val="24"/>
          <w:szCs w:val="24"/>
        </w:rPr>
        <w:t>2.5  AI 技術需求</w:t>
      </w:r>
    </w:p>
    <w:p w14:paraId="4F3BDEF8">
      <w:pPr>
        <w:spacing w:before="80" w:after="80"/>
        <w:jc w:val="both"/>
      </w:pPr>
      <w:r>
        <w:rPr>
          <w:rFonts w:ascii="Times New Roman" w:hAnsi="Times New Roman" w:eastAsia="Times New Roman" w:cs="Times New Roman"/>
          <w:sz w:val="22"/>
          <w:szCs w:val="22"/>
        </w:rPr>
        <w:t>RFI 4.2.5：</w:t>
      </w:r>
    </w:p>
    <w:p w14:paraId="65A3E10C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採用前沿 OCR 與 AI 技術，包括 Generative AI / LLM</w:t>
      </w:r>
    </w:p>
    <w:p w14:paraId="021BD309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實作 quantitative scoring 機制以驗證所有 AI process 的準確率</w:t>
      </w:r>
    </w:p>
    <w:p w14:paraId="5ABD2B2D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提供持續模型調優與訓練服務，確保整個實施與維護期間 accuracy 維持（例如 ≥ 90%）</w:t>
      </w:r>
    </w:p>
    <w:p w14:paraId="47852F6B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支援多種訓練方法，包括但不限於：supervised、unsupervised、Reinforcement Learning from Human Feedback (RLHF)</w:t>
      </w:r>
    </w:p>
    <w:p w14:paraId="7EF00D5E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透過標準化 API 或介面導出 AI 生成結果（資料、圖片、報表）</w:t>
      </w:r>
    </w:p>
    <w:p w14:paraId="2DB68BE6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提供標準化介面 / API 接收 user feedback 以推動 accuracy 與滿意度提升</w:t>
      </w:r>
    </w:p>
    <w:p w14:paraId="1070DE6B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允許技術人員執行進階模型調優、再訓練、版本管理、跨系統部署</w:t>
      </w:r>
    </w:p>
    <w:p w14:paraId="1BA0599D">
      <w:pPr>
        <w:spacing w:before="280" w:after="160"/>
      </w:pPr>
      <w:r>
        <w:rPr>
          <w:rFonts w:ascii="Arial" w:hAnsi="Arial" w:eastAsia="Arial" w:cs="Arial"/>
          <w:b/>
          <w:bCs/>
          <w:color w:val="005FB8"/>
          <w:sz w:val="24"/>
          <w:szCs w:val="24"/>
        </w:rPr>
        <w:t>2.6  與 ImmD 既有系統介接</w:t>
      </w:r>
    </w:p>
    <w:p w14:paraId="398B1FB6">
      <w:pPr>
        <w:spacing w:before="80" w:after="80"/>
        <w:jc w:val="both"/>
      </w:pPr>
      <w:r>
        <w:rPr>
          <w:rFonts w:ascii="Times New Roman" w:hAnsi="Times New Roman" w:eastAsia="Times New Roman" w:cs="Times New Roman"/>
          <w:sz w:val="22"/>
          <w:szCs w:val="22"/>
        </w:rPr>
        <w:t>RFI 4.2.6：</w:t>
      </w:r>
    </w:p>
    <w:p w14:paraId="6DC94E6C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須與 ImmD 既有工作流系統透過 API / 介面整合</w:t>
      </w:r>
    </w:p>
    <w:p w14:paraId="6F17DB42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能透過 API / 介面接收申請資訊（結構化 + 非結構化資料）</w:t>
      </w:r>
    </w:p>
    <w:p w14:paraId="71A6804B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能透過 API / 介面提供結果至其他 ImmD 系統</w:t>
      </w:r>
    </w:p>
    <w:p w14:paraId="5F5D93B2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允許跨網絡區之資料交換 / 查詢</w:t>
      </w:r>
    </w:p>
    <w:p w14:paraId="1F825BA9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如既有 API 不適用，須開發新介面</w:t>
      </w:r>
    </w:p>
    <w:p w14:paraId="6FC2984C">
      <w:pPr>
        <w:pBdr>
          <w:bottom w:val="single" w:color="005FB8" w:sz="12" w:space="4"/>
        </w:pBdr>
        <w:spacing w:before="360" w:after="200"/>
      </w:pPr>
      <w:r>
        <w:rPr>
          <w:rFonts w:ascii="Arial" w:hAnsi="Arial" w:eastAsia="Arial" w:cs="Arial"/>
          <w:b/>
          <w:bCs/>
          <w:color w:val="003D7A"/>
          <w:sz w:val="28"/>
          <w:szCs w:val="28"/>
        </w:rPr>
        <w:t>3.  數據抽取與預處理 / Data Extraction &amp; Pre-processing</w:t>
      </w:r>
    </w:p>
    <w:p w14:paraId="0CA45FF1">
      <w:pPr>
        <w:spacing w:before="80" w:after="80"/>
        <w:jc w:val="both"/>
      </w:pPr>
      <w:r>
        <w:rPr>
          <w:rFonts w:ascii="Times New Roman" w:hAnsi="Times New Roman" w:eastAsia="Times New Roman" w:cs="Times New Roman"/>
          <w:sz w:val="22"/>
          <w:szCs w:val="22"/>
        </w:rPr>
        <w:t>RFI 4.3.4：</w:t>
      </w:r>
    </w:p>
    <w:p w14:paraId="128C9367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執行 ImmD 既有系統之 ETL（抽取、轉換、清洗、載入）操作；資料須準備供 AI 模型（特別是調優與訓練用途）</w:t>
      </w:r>
    </w:p>
    <w:p w14:paraId="0570A9D7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提供必要基建（硬件、軟件、網絡架構、WAN 連接）以支援 ETL 與預處理</w:t>
      </w:r>
    </w:p>
    <w:p w14:paraId="1B56B269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實施完成後，提供之臨時設備須退役並歸還承包商</w:t>
      </w:r>
    </w:p>
    <w:p w14:paraId="79890BF3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退還前，承包商須對所有儲存媒介與硬碟執行 degaussing 處理，確保敏感資料永久銷毀</w:t>
      </w:r>
    </w:p>
    <w:p w14:paraId="28E2D680">
      <w:pPr>
        <w:pBdr>
          <w:bottom w:val="single" w:color="005FB8" w:sz="12" w:space="4"/>
        </w:pBdr>
        <w:spacing w:before="360" w:after="200"/>
      </w:pPr>
      <w:r>
        <w:rPr>
          <w:rFonts w:ascii="Arial" w:hAnsi="Arial" w:eastAsia="Arial" w:cs="Arial"/>
          <w:b/>
          <w:bCs/>
          <w:color w:val="003D7A"/>
          <w:sz w:val="28"/>
          <w:szCs w:val="28"/>
        </w:rPr>
        <w:t>4.  系統介面 / System Interface</w:t>
      </w:r>
    </w:p>
    <w:p w14:paraId="13C10255">
      <w:pPr>
        <w:spacing w:before="80" w:after="80"/>
        <w:jc w:val="both"/>
      </w:pPr>
      <w:r>
        <w:rPr>
          <w:rFonts w:ascii="Times New Roman" w:hAnsi="Times New Roman" w:eastAsia="Times New Roman" w:cs="Times New Roman"/>
          <w:sz w:val="22"/>
          <w:szCs w:val="22"/>
        </w:rPr>
        <w:t>RFI 4.3.2：</w:t>
      </w:r>
    </w:p>
    <w:p w14:paraId="64136F7E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須建立 system interface server 與 ImmD 內部系統（包括 APPLIES-2 等）通訊</w:t>
      </w:r>
    </w:p>
    <w:p w14:paraId="704922BB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採用開放介面標準如 SFTP、API、Message Queue 等</w:t>
      </w:r>
    </w:p>
    <w:p w14:paraId="07B52CA8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ImmD 內部系統儲存資料不允許被新方案直接讀取；應由內部系統主動向 interface server 提出 service request</w:t>
      </w:r>
    </w:p>
    <w:p w14:paraId="5DD2EDDB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Other ImmD Systems 之資料於結果生成後（或 ImmD 同意之其他時間）須拆解清除</w:t>
      </w:r>
    </w:p>
    <w:p w14:paraId="5497AAE3">
      <w:pPr>
        <w:pBdr>
          <w:bottom w:val="single" w:color="005FB8" w:sz="12" w:space="4"/>
        </w:pBdr>
        <w:spacing w:before="360" w:after="200"/>
      </w:pPr>
      <w:r>
        <w:rPr>
          <w:rFonts w:ascii="Arial" w:hAnsi="Arial" w:eastAsia="Arial" w:cs="Arial"/>
          <w:b/>
          <w:bCs/>
          <w:color w:val="003D7A"/>
          <w:sz w:val="28"/>
          <w:szCs w:val="28"/>
        </w:rPr>
        <w:t>5.  政府指引與合規 / Government Guidelines &amp; Compliance</w:t>
      </w:r>
    </w:p>
    <w:p w14:paraId="31BC3ABB">
      <w:pPr>
        <w:pBdr>
          <w:left w:val="single" w:color="005FB8" w:sz="24" w:space="4"/>
        </w:pBdr>
        <w:shd w:val="clear" w:color="auto" w:fill="E8F1FB"/>
        <w:spacing w:before="120" w:after="200"/>
        <w:ind w:left="240"/>
      </w:pPr>
      <w:r>
        <w:rPr>
          <w:rFonts w:ascii="Arial" w:hAnsi="Arial" w:eastAsia="Arial" w:cs="Arial"/>
          <w:i/>
          <w:iCs/>
          <w:color w:val="5D6D80"/>
          <w:sz w:val="20"/>
          <w:szCs w:val="20"/>
        </w:rPr>
        <w:t>方案實施須遵守所有現行政府標準與指引。以下為 RFI 4.3.10 列舉之指引：</w:t>
      </w:r>
    </w:p>
    <w:p w14:paraId="0930D39E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Ethical Artificial Intelligence Framework — by Digital Policy Office (DPO)</w:t>
      </w:r>
    </w:p>
    <w:p w14:paraId="0C81A26A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Hong Kong Generative Artificial Intelligence Technical and Application Guideline — by DPO</w:t>
      </w:r>
    </w:p>
    <w:p w14:paraId="1E2BB81A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Artificial Intelligence: Model Personal Data Protection Framework — by Privacy Commissioner for Personal Data (PCPD)</w:t>
      </w:r>
    </w:p>
    <w:p w14:paraId="7DDAD2AC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Guidance on the Ethical Development and Use of Artificial Intelligence — by PCPD</w:t>
      </w:r>
    </w:p>
    <w:p w14:paraId="4E175972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Guidelines on the Use of Generative Artificial Intelligence for Judges and Judicial Officers and Support Staff of the Hong Kong Judiciary — by Judiciary Administration</w:t>
      </w:r>
    </w:p>
    <w:p w14:paraId="7C4B40DD">
      <w:pPr>
        <w:pBdr>
          <w:bottom w:val="single" w:color="005FB8" w:sz="12" w:space="4"/>
        </w:pBdr>
        <w:spacing w:before="360" w:after="200"/>
      </w:pPr>
      <w:r>
        <w:rPr>
          <w:rFonts w:ascii="Arial" w:hAnsi="Arial" w:eastAsia="Arial" w:cs="Arial"/>
          <w:b/>
          <w:bCs/>
          <w:color w:val="003D7A"/>
          <w:sz w:val="28"/>
          <w:szCs w:val="28"/>
        </w:rPr>
        <w:t>6.  安全與精度 / Security &amp; Accuracy</w:t>
      </w:r>
    </w:p>
    <w:p w14:paraId="41B8AEA9">
      <w:pPr>
        <w:spacing w:before="280" w:after="160"/>
      </w:pPr>
      <w:r>
        <w:rPr>
          <w:rFonts w:ascii="Arial" w:hAnsi="Arial" w:eastAsia="Arial" w:cs="Arial"/>
          <w:b/>
          <w:bCs/>
          <w:color w:val="005FB8"/>
          <w:sz w:val="24"/>
          <w:szCs w:val="24"/>
        </w:rPr>
        <w:t>6.1  資料安全</w:t>
      </w:r>
    </w:p>
    <w:p w14:paraId="6BDCD6EF">
      <w:pPr>
        <w:spacing w:before="80" w:after="80"/>
        <w:jc w:val="both"/>
      </w:pPr>
      <w:r>
        <w:rPr>
          <w:rFonts w:ascii="Times New Roman" w:hAnsi="Times New Roman" w:eastAsia="Times New Roman" w:cs="Times New Roman"/>
          <w:sz w:val="22"/>
          <w:szCs w:val="22"/>
        </w:rPr>
        <w:t>RFI 4.3.12.1：方案須符合所有 RESTRICTED 級資料儲存與處理之政府安全要求：</w:t>
      </w:r>
    </w:p>
    <w:p w14:paraId="7C44436B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所有 RESTRICTED 級資料須加密儲存</w:t>
      </w:r>
    </w:p>
    <w:p w14:paraId="2CD39C64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加密金鑰須與資料分開儲存</w:t>
      </w:r>
    </w:p>
    <w:p w14:paraId="40322CFF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所有資料傳輸須加密</w:t>
      </w:r>
    </w:p>
    <w:p w14:paraId="323EED27">
      <w:pPr>
        <w:spacing w:before="280" w:after="160"/>
      </w:pPr>
      <w:r>
        <w:rPr>
          <w:rFonts w:ascii="Arial" w:hAnsi="Arial" w:eastAsia="Arial" w:cs="Arial"/>
          <w:b/>
          <w:bCs/>
          <w:color w:val="005FB8"/>
          <w:sz w:val="24"/>
          <w:szCs w:val="24"/>
        </w:rPr>
        <w:t>6.2  精度承諾</w:t>
      </w:r>
    </w:p>
    <w:p w14:paraId="503B4C22">
      <w:pPr>
        <w:spacing w:before="80" w:after="80"/>
        <w:jc w:val="both"/>
      </w:pPr>
      <w:r>
        <w:rPr>
          <w:rFonts w:ascii="Times New Roman" w:hAnsi="Times New Roman" w:eastAsia="Times New Roman" w:cs="Times New Roman"/>
          <w:sz w:val="22"/>
          <w:szCs w:val="22"/>
        </w:rPr>
        <w:t>RFI 4.3.12.2：承包商須就以下功能領域提出 accuracy rate 承諾：</w:t>
      </w:r>
    </w:p>
    <w:p w14:paraId="36E83EA8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Automated Document Classification</w:t>
      </w:r>
    </w:p>
    <w:p w14:paraId="1170B2E8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Intelligent Data Verification</w:t>
      </w:r>
    </w:p>
    <w:p w14:paraId="328C540C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Intelligent Minutes Drafting</w:t>
      </w:r>
    </w:p>
    <w:p w14:paraId="6C5CBDD1">
      <w:pPr>
        <w:pBdr>
          <w:bottom w:val="single" w:color="005FB8" w:sz="12" w:space="4"/>
        </w:pBdr>
        <w:spacing w:before="360" w:after="200"/>
      </w:pPr>
      <w:r>
        <w:rPr>
          <w:rFonts w:ascii="Arial" w:hAnsi="Arial" w:eastAsia="Arial" w:cs="Arial"/>
          <w:b/>
          <w:bCs/>
          <w:color w:val="003D7A"/>
          <w:sz w:val="28"/>
          <w:szCs w:val="28"/>
        </w:rPr>
        <w:t>7.  Appendix C：高階軟件規格 / Software Specification</w:t>
      </w:r>
    </w:p>
    <w:p w14:paraId="2227FB7D">
      <w:pPr>
        <w:pBdr>
          <w:left w:val="single" w:color="005FB8" w:sz="24" w:space="4"/>
        </w:pBdr>
        <w:shd w:val="clear" w:color="auto" w:fill="E8F1FB"/>
        <w:spacing w:before="120" w:after="200"/>
        <w:ind w:left="240"/>
      </w:pPr>
      <w:r>
        <w:rPr>
          <w:rFonts w:ascii="Arial" w:hAnsi="Arial" w:eastAsia="Arial" w:cs="Arial"/>
          <w:i/>
          <w:iCs/>
          <w:color w:val="5D6D80"/>
          <w:sz w:val="20"/>
          <w:szCs w:val="20"/>
        </w:rPr>
        <w:t>以下為 RFI Appendix C 所提供之高階軟件規格參考。供應商可提出其他軟件方案，但須符合最低要求。所有提案軟件須兼容 ImmD 既有解決方案、ITAI/Xinchuang 信創產品。</w:t>
      </w:r>
    </w:p>
    <w:p w14:paraId="63714045">
      <w:pPr>
        <w:spacing w:before="280" w:after="160"/>
      </w:pPr>
      <w:r>
        <w:rPr>
          <w:rFonts w:ascii="Arial" w:hAnsi="Arial" w:eastAsia="Arial" w:cs="Arial"/>
          <w:b/>
          <w:bCs/>
          <w:color w:val="005FB8"/>
          <w:sz w:val="24"/>
          <w:szCs w:val="24"/>
        </w:rPr>
        <w:t>7.1  S01 — AI Management Platform / Inference Engine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6"/>
        <w:gridCol w:w="7980"/>
      </w:tblGrid>
      <w:tr w14:paraId="2279FDA4">
        <w:tc>
          <w:tcPr>
            <w:shd w:val="clear" w:color="auto" w:fill="003D7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D335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特性 / Feature</w:t>
            </w:r>
          </w:p>
        </w:tc>
        <w:tc>
          <w:tcPr>
            <w:shd w:val="clear" w:color="auto" w:fill="003D7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93B2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規格 / Requirement</w:t>
            </w:r>
          </w:p>
        </w:tc>
      </w:tr>
      <w:tr w14:paraId="60654CE9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52005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Accelerator card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F76EE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支援於提案 inference server 上運行</w:t>
            </w:r>
          </w:p>
        </w:tc>
      </w:tr>
      <w:tr w14:paraId="3C2E5D18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87BB4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AI model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B99D6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支援大型語言模型如 DeepSeek、Qwen；支援多模態模型如 QwenVL</w:t>
            </w:r>
          </w:p>
        </w:tc>
      </w:tr>
      <w:tr w14:paraId="03C70B70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AF424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Model format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E6E26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至少支援 Safetensors 格式；支援 native 模型格式</w:t>
            </w:r>
          </w:p>
        </w:tc>
      </w:tr>
      <w:tr w14:paraId="500FC94D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48B97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Computing Resource Mgmt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95D42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支援 shared resource pool（多任務）與 dedicated resource pool（高優先任務性能保證）；支援中大型集群之水平擴展</w:t>
            </w:r>
          </w:p>
        </w:tc>
      </w:tr>
      <w:tr w14:paraId="7BAB14CC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CA4B5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Inference Optimisation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85099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支援 continuous batching、paged attention、KV cache management（依模型架構支援）；支援 flash / speculative decoding（依模型架構支援）</w:t>
            </w:r>
          </w:p>
        </w:tc>
      </w:tr>
      <w:tr w14:paraId="117387AB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ECA6E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API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0DAC5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支援 OpenAI-compatible API services；支援 streaming 與 non-streaming output</w:t>
            </w:r>
          </w:p>
        </w:tc>
      </w:tr>
      <w:tr w14:paraId="1E2493E5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3EF8A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Inference Monitoring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C9A80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健康檢查運行狀態；real-time 追蹤 latency、throughput、resource utilisation、prediction drift</w:t>
            </w:r>
          </w:p>
        </w:tc>
      </w:tr>
      <w:tr w14:paraId="68E90466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49A1B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Logging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5BFEA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記錄輸入輸出供調試、審計、調優、訓練 pipeline；須整合 ImmD 中央監控</w:t>
            </w:r>
          </w:p>
        </w:tc>
      </w:tr>
      <w:tr w14:paraId="42024D07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05CDF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System management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8A09A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支援 user / authority 管理；支援 high availability；支援 backup recovery</w:t>
            </w:r>
          </w:p>
        </w:tc>
      </w:tr>
      <w:tr w14:paraId="45DF2749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C2307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Deployment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7E86F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支援 Docker container</w:t>
            </w:r>
          </w:p>
        </w:tc>
      </w:tr>
      <w:tr w14:paraId="667CB96E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5BB52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Other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404BB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為市場成熟之 off-the-shelf 商用產品；不可為已宣布終止支援或 EOL 產品；提供完整 license</w:t>
            </w:r>
          </w:p>
        </w:tc>
      </w:tr>
    </w:tbl>
    <w:p w14:paraId="6A7FFF4E">
      <w:pPr>
        <w:pBdr>
          <w:bottom w:val="single" w:color="005FB8" w:sz="12" w:space="4"/>
        </w:pBdr>
        <w:spacing w:before="360" w:after="200"/>
      </w:pPr>
      <w:r>
        <w:rPr>
          <w:rFonts w:ascii="Arial" w:hAnsi="Arial" w:eastAsia="Arial" w:cs="Arial"/>
          <w:b/>
          <w:bCs/>
          <w:color w:val="003D7A"/>
          <w:sz w:val="28"/>
          <w:szCs w:val="28"/>
        </w:rPr>
        <w:t>8.  軟件兼容性需求 / Software Compatibility</w:t>
      </w:r>
    </w:p>
    <w:p w14:paraId="649B9DD7">
      <w:pPr>
        <w:pBdr>
          <w:left w:val="single" w:color="005FB8" w:sz="24" w:space="4"/>
        </w:pBdr>
        <w:shd w:val="clear" w:color="auto" w:fill="E8F1FB"/>
        <w:spacing w:before="120" w:after="200"/>
        <w:ind w:left="240"/>
      </w:pPr>
      <w:r>
        <w:rPr>
          <w:rFonts w:ascii="Arial" w:hAnsi="Arial" w:eastAsia="Arial" w:cs="Arial"/>
          <w:i/>
          <w:iCs/>
          <w:color w:val="5D6D80"/>
          <w:sz w:val="20"/>
          <w:szCs w:val="20"/>
        </w:rPr>
        <w:t>方案須兼容 ImmD 既有中央軟件，以確保整體可管理性。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7"/>
        <w:gridCol w:w="2367"/>
        <w:gridCol w:w="6702"/>
      </w:tblGrid>
      <w:tr w14:paraId="0CCD1DE2">
        <w:tc>
          <w:tcPr>
            <w:shd w:val="clear" w:color="auto" w:fill="003D7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1274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RFI 條款</w:t>
            </w:r>
          </w:p>
        </w:tc>
        <w:tc>
          <w:tcPr>
            <w:shd w:val="clear" w:color="auto" w:fill="003D7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468E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類別</w:t>
            </w:r>
          </w:p>
        </w:tc>
        <w:tc>
          <w:tcPr>
            <w:shd w:val="clear" w:color="auto" w:fill="003D7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FBEF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ImmD 既有軟件</w:t>
            </w:r>
          </w:p>
        </w:tc>
      </w:tr>
      <w:tr w14:paraId="5E8E7F20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BF80C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S02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0D3CB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Anti-Virus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ECFDA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Trellix ePolicy Orchestrator + Trellix Endpoint Security</w:t>
            </w:r>
          </w:p>
        </w:tc>
      </w:tr>
      <w:tr w14:paraId="732F53CF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43AB5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S03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A990C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EDR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28232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Leagsoft UniEDR</w:t>
            </w:r>
          </w:p>
        </w:tc>
      </w:tr>
      <w:tr w14:paraId="7AAB58D6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27C8E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S04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480D1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SIEM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BA5D1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Rizhiyi (日誌易)</w:t>
            </w:r>
          </w:p>
        </w:tc>
      </w:tr>
      <w:tr w14:paraId="63BC89A3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D6E29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S05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F7591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System Monitoring (Up/Down)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839AE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IBM Netcool Operations Insight Network Management PA Managed Virtual Server</w:t>
            </w:r>
          </w:p>
        </w:tc>
      </w:tr>
      <w:tr w14:paraId="594DD3EE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20BF8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S06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CF12B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System Monitoring (Events)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9BEA6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IBM Netcool Operations Insight Operations Management Managed Virtual Network Device License</w:t>
            </w:r>
          </w:p>
        </w:tc>
      </w:tr>
    </w:tbl>
    <w:p w14:paraId="0D74A75D">
      <w:pPr>
        <w:pBdr>
          <w:bottom w:val="single" w:color="005FB8" w:sz="12" w:space="4"/>
        </w:pBdr>
        <w:spacing w:before="360" w:after="200"/>
      </w:pPr>
      <w:r>
        <w:rPr>
          <w:rFonts w:ascii="Arial" w:hAnsi="Arial" w:eastAsia="Arial" w:cs="Arial"/>
          <w:b/>
          <w:bCs/>
          <w:color w:val="003D7A"/>
          <w:sz w:val="28"/>
          <w:szCs w:val="28"/>
        </w:rPr>
        <w:t>9.  資料保留 / Data Retention</w:t>
      </w:r>
    </w:p>
    <w:p w14:paraId="7F17F13C">
      <w:pPr>
        <w:spacing w:before="80" w:after="80"/>
        <w:jc w:val="both"/>
      </w:pPr>
      <w:r>
        <w:rPr>
          <w:rFonts w:ascii="Times New Roman" w:hAnsi="Times New Roman" w:eastAsia="Times New Roman" w:cs="Times New Roman"/>
          <w:sz w:val="22"/>
          <w:szCs w:val="22"/>
        </w:rPr>
        <w:t>RFI 4.3.15：方案須提供足夠儲存空間支撐整個系統，包括支援與維護期間。資料保留要求如下：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06"/>
        <w:gridCol w:w="2340"/>
      </w:tblGrid>
      <w:tr w14:paraId="2B4CCC44">
        <w:tc>
          <w:tcPr>
            <w:shd w:val="clear" w:color="auto" w:fill="003D7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421B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資料類型</w:t>
            </w:r>
          </w:p>
        </w:tc>
        <w:tc>
          <w:tcPr>
            <w:shd w:val="clear" w:color="auto" w:fill="003D7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4F62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保留期</w:t>
            </w:r>
          </w:p>
        </w:tc>
      </w:tr>
      <w:tr w14:paraId="57A45228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AFEF7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申請資訊（不含個人資料）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A84C6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30 天</w:t>
            </w:r>
          </w:p>
        </w:tc>
      </w:tr>
      <w:tr w14:paraId="0A1EAC47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214ED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Audit logs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337D7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60 天</w:t>
            </w:r>
          </w:p>
        </w:tc>
      </w:tr>
    </w:tbl>
    <w:p w14:paraId="2F7BD978">
      <w:pPr>
        <w:pBdr>
          <w:bottom w:val="single" w:color="005FB8" w:sz="12" w:space="4"/>
        </w:pBdr>
        <w:spacing w:before="360" w:after="200"/>
      </w:pPr>
      <w:r>
        <w:rPr>
          <w:rFonts w:ascii="Arial" w:hAnsi="Arial" w:eastAsia="Arial" w:cs="Arial"/>
          <w:b/>
          <w:bCs/>
          <w:color w:val="003D7A"/>
          <w:sz w:val="28"/>
          <w:szCs w:val="28"/>
        </w:rPr>
        <w:t>10.  系統支援與維護 / System Support &amp; Maintenance</w:t>
      </w:r>
    </w:p>
    <w:p w14:paraId="36ACC2E2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1 年免費保用 + 4 年付費維護</w:t>
      </w:r>
    </w:p>
    <w:p w14:paraId="2C091319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7×24 helpdesk 服務</w:t>
      </w:r>
    </w:p>
    <w:p w14:paraId="10A0AFC9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響應時間：電話 ≤ 30 分鐘；現場 ≤ 2 小時</w:t>
      </w:r>
    </w:p>
    <w:p w14:paraId="4138D190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軟件更新、安全 patch 安裝</w:t>
      </w:r>
    </w:p>
    <w:p w14:paraId="75036C30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問題判斷、bug 修復</w:t>
      </w:r>
    </w:p>
    <w:p w14:paraId="49681C43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性能調優維持 accuracy</w:t>
      </w:r>
    </w:p>
    <w:p w14:paraId="00100CE9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system nursing 與維護期間，對所有 OCR 與 AI 模型執行 review、調優、訓練</w:t>
      </w:r>
    </w:p>
    <w:p w14:paraId="40AF3E10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協助 PIA、IT Security Audit、AI Application Impact Assessment</w:t>
      </w:r>
    </w:p>
    <w:p w14:paraId="4B63B624">
      <w:pPr>
        <w:pStyle w:val="16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2"/>
          <w:szCs w:val="22"/>
        </w:rPr>
        <w:t>年度至少 140 man-days 系統變更</w:t>
      </w:r>
    </w:p>
    <w:p w14:paraId="22623F5A">
      <w:pPr>
        <w:pBdr>
          <w:bottom w:val="single" w:color="005FB8" w:sz="12" w:space="4"/>
        </w:pBdr>
        <w:spacing w:before="360" w:after="200"/>
      </w:pPr>
      <w:r>
        <w:rPr>
          <w:rFonts w:ascii="Arial" w:hAnsi="Arial" w:eastAsia="Arial" w:cs="Arial"/>
          <w:b/>
          <w:bCs/>
          <w:color w:val="003D7A"/>
          <w:sz w:val="28"/>
          <w:szCs w:val="28"/>
        </w:rPr>
        <w:t>11.  實施時程 / Implementation Timeline</w:t>
      </w:r>
    </w:p>
    <w:p w14:paraId="63AF37BB">
      <w:pPr>
        <w:spacing w:before="280" w:after="160"/>
      </w:pPr>
      <w:r>
        <w:rPr>
          <w:rFonts w:ascii="Arial" w:hAnsi="Arial" w:eastAsia="Arial" w:cs="Arial"/>
          <w:b/>
          <w:bCs/>
          <w:color w:val="005FB8"/>
          <w:sz w:val="24"/>
          <w:szCs w:val="24"/>
        </w:rPr>
        <w:t>11.1  Phase 1（建議）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49"/>
        <w:gridCol w:w="4897"/>
      </w:tblGrid>
      <w:tr w14:paraId="03072CF1">
        <w:tc>
          <w:tcPr>
            <w:shd w:val="clear" w:color="auto" w:fill="003D7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D722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里程碑</w:t>
            </w:r>
          </w:p>
        </w:tc>
        <w:tc>
          <w:tcPr>
            <w:shd w:val="clear" w:color="auto" w:fill="003D7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D35D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時程</w:t>
            </w:r>
          </w:p>
        </w:tc>
      </w:tr>
      <w:tr w14:paraId="3F146329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A9E9D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System Analysis &amp; Design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E4EBC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Month 1 – Month 3 (3 months)</w:t>
            </w:r>
          </w:p>
        </w:tc>
      </w:tr>
      <w:tr w14:paraId="77C0DBA1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0CC02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System Development &amp; Testing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6C7DF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Month 3 – Month 5 (3 months)</w:t>
            </w:r>
          </w:p>
        </w:tc>
      </w:tr>
      <w:tr w14:paraId="21A0A471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FD310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SIT &amp; UAT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620CE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Month 5 – Month 6 (2 months)</w:t>
            </w:r>
          </w:p>
        </w:tc>
      </w:tr>
      <w:tr w14:paraId="64E77258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77C86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User Training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D50C2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Month 7 (1 month)</w:t>
            </w:r>
          </w:p>
        </w:tc>
      </w:tr>
      <w:tr w14:paraId="59980C73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D94F4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System Rollout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B5C83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Month 7 (1 month)</w:t>
            </w:r>
          </w:p>
        </w:tc>
      </w:tr>
      <w:tr w14:paraId="548A068D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4842C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System Nursing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29487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Month 8 – 10 (3 months)</w:t>
            </w:r>
          </w:p>
        </w:tc>
      </w:tr>
    </w:tbl>
    <w:p w14:paraId="2537A9C1">
      <w:pPr>
        <w:pBdr>
          <w:bottom w:val="single" w:color="005FB8" w:sz="12" w:space="4"/>
        </w:pBdr>
        <w:spacing w:before="360" w:after="200"/>
      </w:pPr>
      <w:r>
        <w:rPr>
          <w:rFonts w:ascii="Arial" w:hAnsi="Arial" w:eastAsia="Arial" w:cs="Arial"/>
          <w:b/>
          <w:bCs/>
          <w:color w:val="003D7A"/>
          <w:sz w:val="28"/>
          <w:szCs w:val="28"/>
        </w:rPr>
        <w:t>12.  本文件適用範圍 / Scope of This Document</w:t>
      </w:r>
    </w:p>
    <w:p w14:paraId="7094F6CC">
      <w:pPr>
        <w:pBdr>
          <w:left w:val="single" w:color="005FB8" w:sz="24" w:space="4"/>
        </w:pBdr>
        <w:shd w:val="clear" w:color="auto" w:fill="E8F1FB"/>
        <w:spacing w:before="120" w:after="200"/>
        <w:ind w:left="240"/>
      </w:pPr>
      <w:r>
        <w:rPr>
          <w:rFonts w:ascii="Arial" w:hAnsi="Arial" w:eastAsia="Arial" w:cs="Arial"/>
          <w:i/>
          <w:iCs/>
          <w:color w:val="5D6D80"/>
          <w:sz w:val="20"/>
          <w:szCs w:val="20"/>
        </w:rPr>
        <w:t>本文件僅作為軟件夥伴參與 CMHK RFQ 報價之技術參考。詳細硬件規格、Annex I 報價框架等內容不在本文件範圍內。如貴司有任何技術疑問，請聯絡 CMHK Key Account 對接窗口；請勿直接接觸 ImmD 或其相關人員。所有正式投標相關之溝通將由 CMHK 統籌進行。</w:t>
      </w:r>
    </w:p>
    <w:sectPr>
      <w:headerReference r:id="rId3" w:type="default"/>
      <w:footerReference r:id="rId4" w:type="default"/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B2BAF1">
    <w:pPr>
      <w:jc w:val="left"/>
    </w:pPr>
    <w:r>
      <w:rPr>
        <w:color w:val="5A8A00"/>
        <w:sz w:val="16"/>
        <w:szCs w:val="16"/>
      </w:rPr>
      <w:t xml:space="preserve">● </w:t>
    </w:r>
    <w:r>
      <w:rPr>
        <w:rFonts w:ascii="Arial" w:hAnsi="Arial" w:eastAsia="Arial" w:cs="Arial"/>
        <w:color w:val="9A9A9A"/>
        <w:sz w:val="16"/>
        <w:szCs w:val="16"/>
      </w:rPr>
      <w:t>CMHK · KEY ACCOUNTS · CONFIDENTIAL</w:t>
    </w:r>
    <w:r>
      <w:rPr>
        <w:sz w:val="16"/>
        <w:szCs w:val="16"/>
      </w:rPr>
      <w:tab/>
      <w:t/>
    </w:r>
    <w:r>
      <w:rPr>
        <w:sz w:val="16"/>
        <w:szCs w:val="16"/>
      </w:rPr>
      <w:tab/>
    </w:r>
    <w:r>
      <w:rPr>
        <w:rFonts w:ascii="Arial" w:hAnsi="Arial" w:eastAsia="Arial" w:cs="Arial"/>
        <w:color w:val="9A9A9A"/>
        <w:sz w:val="16"/>
        <w:szCs w:val="16"/>
      </w:rPr>
      <w:t xml:space="preserve">Page </w:t>
    </w:r>
    <w:r>
      <w:rPr>
        <w:rFonts w:ascii="Arial" w:hAnsi="Arial" w:eastAsia="Arial" w:cs="Arial"/>
        <w:color w:val="9A9A9A"/>
        <w:sz w:val="16"/>
        <w:szCs w:val="16"/>
      </w:rPr>
      <w:fldChar w:fldCharType="begin"/>
    </w:r>
    <w:r>
      <w:rPr>
        <w:rFonts w:ascii="Arial" w:hAnsi="Arial" w:eastAsia="Arial" w:cs="Arial"/>
        <w:color w:val="9A9A9A"/>
        <w:sz w:val="16"/>
        <w:szCs w:val="16"/>
      </w:rPr>
      <w:instrText xml:space="preserve">PAGE</w:instrText>
    </w:r>
    <w:r>
      <w:rPr>
        <w:rFonts w:ascii="Arial" w:hAnsi="Arial" w:eastAsia="Arial" w:cs="Arial"/>
        <w:color w:val="9A9A9A"/>
        <w:sz w:val="16"/>
        <w:szCs w:val="16"/>
      </w:rPr>
      <w:fldChar w:fldCharType="separate"/>
    </w:r>
    <w:r>
      <w:rPr>
        <w:rFonts w:ascii="Arial" w:hAnsi="Arial" w:eastAsia="Arial" w:cs="Arial"/>
        <w:color w:val="9A9A9A"/>
        <w:sz w:val="16"/>
        <w:szCs w:val="16"/>
      </w:rPr>
      <w:fldChar w:fldCharType="end"/>
    </w:r>
    <w:r>
      <w:rPr>
        <w:rFonts w:ascii="Arial" w:hAnsi="Arial" w:eastAsia="Arial" w:cs="Arial"/>
        <w:color w:val="9A9A9A"/>
        <w:sz w:val="16"/>
        <w:szCs w:val="16"/>
      </w:rPr>
      <w:t xml:space="preserve"> of </w:t>
    </w:r>
    <w:r>
      <w:rPr>
        <w:rFonts w:ascii="Arial" w:hAnsi="Arial" w:eastAsia="Arial" w:cs="Arial"/>
        <w:color w:val="9A9A9A"/>
        <w:sz w:val="16"/>
        <w:szCs w:val="16"/>
      </w:rPr>
      <w:fldChar w:fldCharType="begin"/>
    </w:r>
    <w:r>
      <w:rPr>
        <w:rFonts w:ascii="Arial" w:hAnsi="Arial" w:eastAsia="Arial" w:cs="Arial"/>
        <w:color w:val="9A9A9A"/>
        <w:sz w:val="16"/>
        <w:szCs w:val="16"/>
      </w:rPr>
      <w:instrText xml:space="preserve">NUMPAGES</w:instrText>
    </w:r>
    <w:r>
      <w:rPr>
        <w:rFonts w:ascii="Arial" w:hAnsi="Arial" w:eastAsia="Arial" w:cs="Arial"/>
        <w:color w:val="9A9A9A"/>
        <w:sz w:val="16"/>
        <w:szCs w:val="16"/>
      </w:rPr>
      <w:fldChar w:fldCharType="separate"/>
    </w:r>
    <w:r>
      <w:rPr>
        <w:rFonts w:ascii="Arial" w:hAnsi="Arial" w:eastAsia="Arial" w:cs="Arial"/>
        <w:color w:val="9A9A9A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8C9FF9">
    <w:pPr>
      <w:jc w:val="right"/>
    </w:pPr>
    <w:r>
      <w:rPr>
        <w:rFonts w:ascii="Arial" w:hAnsi="Arial" w:eastAsia="Arial" w:cs="Arial"/>
        <w:color w:val="9A9A9A"/>
        <w:sz w:val="16"/>
        <w:szCs w:val="16"/>
      </w:rPr>
      <w:t>CMHK · Software Partner · ImmD APPLIES-2 AI Total Solutions · RFI Specification Extract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FC6F2E"/>
    <w:multiLevelType w:val="multilevel"/>
    <w:tmpl w:val="CDFC6F2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EFDEA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sz w:val="22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0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CMHK Key Accounts</dc:creator>
  <dc:description>ImmD APPLIES-2 AI Total Solutions</dc:description>
  <cp:lastModifiedBy>cm</cp:lastModifiedBy>
  <dcterms:modified xsi:type="dcterms:W3CDTF">2026-05-04T02:38:36Z</dcterms:modified>
  <dc:title>RFI Specification Extract — SW Partner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1B720E27808DF0A62C96F769472C3987_42</vt:lpwstr>
  </property>
</Properties>
</file>