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CC35F">
      <w:pPr>
        <w:spacing w:after="40"/>
      </w:pPr>
      <w:r>
        <w:rPr>
          <w:b/>
          <w:color w:val="003D7A"/>
          <w:sz w:val="22"/>
        </w:rPr>
        <w:t>● CMHK · CHINA MOBILE HONG KONG</w:t>
      </w:r>
    </w:p>
    <w:p w14:paraId="0281A349">
      <w:pPr>
        <w:spacing w:after="80"/>
      </w:pPr>
      <w:r>
        <w:rPr>
          <w:b/>
          <w:color w:val="003D7A"/>
          <w:sz w:val="44"/>
        </w:rPr>
        <w:t>Technical Proposal</w:t>
      </w:r>
    </w:p>
    <w:p w14:paraId="68C2E83F">
      <w:pPr>
        <w:spacing w:after="40"/>
      </w:pPr>
      <w:r>
        <w:rPr>
          <w:b/>
          <w:color w:val="222222"/>
          <w:sz w:val="28"/>
        </w:rPr>
        <w:t>AI Total Solutions for ImmD APPLIES-2</w:t>
      </w:r>
    </w:p>
    <w:p w14:paraId="62439DB5">
      <w:pPr>
        <w:spacing w:after="280"/>
      </w:pPr>
      <w:r>
        <w:rPr>
          <w:b/>
          <w:color w:val="5A8A00"/>
          <w:sz w:val="24"/>
        </w:rPr>
        <w:t>Sub-Contractor Layer: AI Application Layer (應用層)</w:t>
      </w:r>
    </w:p>
    <w:p w14:paraId="378C3809">
      <w:pPr/>
      <w:r>
        <w:rPr>
          <w:color w:val="555555"/>
          <w:sz w:val="20"/>
        </w:rPr>
        <w:t>Submitted to (CMHK Internal Use):</w:t>
      </w:r>
    </w:p>
    <w:p w14:paraId="265E4C8C">
      <w:pPr>
        <w:spacing w:after="160"/>
      </w:pPr>
      <w:r>
        <w:rPr>
          <w:color w:val="222222"/>
          <w:sz w:val="20"/>
        </w:rPr>
        <w:t>China Mobile Hong Kong Company Limited (CMHK) — Prime Integrator</w:t>
      </w:r>
    </w:p>
    <w:p w14:paraId="6E0D98FB">
      <w:pPr/>
      <w:r>
        <w:rPr>
          <w:color w:val="555555"/>
          <w:sz w:val="20"/>
        </w:rPr>
        <w:t>Submitted by:</w:t>
      </w:r>
    </w:p>
    <w:p w14:paraId="574039D0">
      <w:pPr>
        <w:spacing w:after="280"/>
      </w:pPr>
      <w:r>
        <w:rPr>
          <w:color w:val="222222"/>
          <w:sz w:val="20"/>
        </w:rPr>
        <w:t xml:space="preserve">AI Application Layer Sub-Contractor </w:t>
      </w:r>
      <w:bookmarkStart w:id="0" w:name="_GoBack"/>
      <w:bookmarkEnd w:id="0"/>
    </w:p>
    <w:p w14:paraId="7DC83D4E">
      <w:pPr/>
      <w:r>
        <w:rPr>
          <w:b/>
          <w:color w:val="003D7A"/>
          <w:sz w:val="20"/>
        </w:rPr>
        <w:t>Version: 0.7 (v1.1 — Bilingual EN+CN reference · Annex I aligned · English fill-in)</w:t>
      </w:r>
    </w:p>
    <w:p w14:paraId="61ED0165">
      <w:pPr>
        <w:spacing w:after="360"/>
      </w:pPr>
      <w:r>
        <w:rPr>
          <w:color w:val="A86A00"/>
          <w:sz w:val="20"/>
        </w:rPr>
        <w:t>Date: 2026 May  ·  Classification: CONFIDENTIAL</w:t>
      </w:r>
    </w:p>
    <w:p w14:paraId="51F2FC2E">
      <w:pPr/>
      <w:r>
        <w:br w:type="page"/>
      </w:r>
    </w:p>
    <w:p w14:paraId="091F7098">
      <w:pPr>
        <w:spacing w:before="440" w:after="80"/>
      </w:pPr>
      <w:r>
        <w:rPr>
          <w:b/>
          <w:color w:val="003D7A"/>
          <w:sz w:val="32"/>
        </w:rPr>
        <w:t>填寫說明 / Sub-Contractor Instruction</w:t>
      </w:r>
    </w:p>
    <w:p w14:paraId="47CB2022">
      <w:pPr>
        <w:spacing w:after="200"/>
      </w:pPr>
      <w:r>
        <w:rPr>
          <w:color w:val="222222"/>
          <w:sz w:val="21"/>
        </w:rPr>
        <w:t>本文件按 ImmD RFI Annex I Table 1 結構組織。貴司只需於各章節下的「Please fill in」欄、大格留白、表格儲存格內填寫；CMHK 已預填部分（章節標題、Annex I / RFI 原文 quote 框）請保持不動。</w:t>
      </w:r>
    </w:p>
    <w:p w14:paraId="201A5545">
      <w:pPr>
        <w:spacing w:before="160" w:after="60"/>
      </w:pPr>
      <w:r>
        <w:rPr>
          <w:b/>
          <w:color w:val="5A8A00"/>
          <w:sz w:val="22"/>
        </w:rPr>
        <w:t>1. 文件配色 / Color Code</w:t>
      </w:r>
    </w:p>
    <w:p w14:paraId="373C6AA2">
      <w:pPr>
        <w:spacing w:after="60"/>
        <w:ind w:left="360"/>
      </w:pPr>
      <w:r>
        <w:rPr>
          <w:color w:val="222222"/>
          <w:sz w:val="20"/>
        </w:rPr>
        <w:t>• 藍色框 = RFI / Annex I 英文原文（official original text，不可改動，僅供 reference）</w:t>
      </w:r>
    </w:p>
    <w:p w14:paraId="6D5A1693">
      <w:pPr>
        <w:spacing w:after="60"/>
        <w:ind w:left="360"/>
      </w:pPr>
      <w:r>
        <w:rPr>
          <w:color w:val="222222"/>
          <w:sz w:val="20"/>
        </w:rPr>
        <w:t>• 綠色框 = 中文解釋（CMHK 翻譯供貴司快速理解，非客戶官方文字）</w:t>
      </w:r>
    </w:p>
    <w:p w14:paraId="4B769058">
      <w:pPr>
        <w:spacing w:after="60"/>
        <w:ind w:left="360"/>
      </w:pPr>
      <w:r>
        <w:rPr>
          <w:color w:val="222222"/>
          <w:sz w:val="20"/>
        </w:rPr>
        <w:t>• 白色框 = 貴司填寫區（Please fill in）— 請以英文填寫</w:t>
      </w:r>
    </w:p>
    <w:p w14:paraId="036FB0D8">
      <w:pPr>
        <w:spacing w:before="160" w:after="60"/>
      </w:pPr>
      <w:r>
        <w:rPr>
          <w:b/>
          <w:color w:val="5A8A00"/>
          <w:sz w:val="22"/>
        </w:rPr>
        <w:t>2. 語言要求 / Language</w:t>
      </w:r>
    </w:p>
    <w:p w14:paraId="20D989FF">
      <w:pPr>
        <w:spacing w:after="60"/>
        <w:ind w:left="360"/>
      </w:pPr>
      <w:r>
        <w:rPr>
          <w:color w:val="222222"/>
          <w:sz w:val="20"/>
        </w:rPr>
        <w:t>• 章節標題保留中文是為了讓貴司技術同事更快理解架構（CMHK 內部對接用）</w:t>
      </w:r>
    </w:p>
    <w:p w14:paraId="5EE58DF6">
      <w:pPr>
        <w:spacing w:after="60"/>
        <w:ind w:left="360"/>
      </w:pPr>
      <w:r>
        <w:rPr>
          <w:color w:val="222222"/>
          <w:sz w:val="20"/>
        </w:rPr>
        <w:t>• **貴司填寫內容請一律使用英文** — accuracy 表、switch-over 表、sizing 表、留白格全部以英文填寫</w:t>
      </w:r>
    </w:p>
    <w:p w14:paraId="0FDFE87B">
      <w:pPr>
        <w:spacing w:after="60"/>
        <w:ind w:left="360"/>
      </w:pPr>
      <w:r>
        <w:rPr>
          <w:color w:val="222222"/>
          <w:sz w:val="20"/>
        </w:rPr>
        <w:t>• 原因：CMHK 最終提交 ImmD 的 TP 為英文版，貴司英文回稿可直接整合無需翻譯</w:t>
      </w:r>
    </w:p>
    <w:p w14:paraId="15528820">
      <w:pPr>
        <w:spacing w:before="160" w:after="60"/>
      </w:pPr>
      <w:r>
        <w:rPr>
          <w:b/>
          <w:color w:val="5A8A00"/>
          <w:sz w:val="22"/>
        </w:rPr>
        <w:t>3. 工作範圍 / Scope</w:t>
      </w:r>
    </w:p>
    <w:p w14:paraId="41E46CA7">
      <w:pPr/>
      <w:r>
        <w:rPr>
          <w:color w:val="222222"/>
          <w:sz w:val="20"/>
        </w:rPr>
        <w:t>貴司負責 AI 應用層 — 三大功能（文件分類 / 數據核驗 / Minutes 草擬）+ 整合工作流 + AI 準確率與優化。本層為 Option B 模式下的核心交付方，每 case 輸出 Cross-Check Report PDF + Minutes Draft PDF 推送回 APPLIES-2。</w:t>
      </w:r>
    </w:p>
    <w:p w14:paraId="0EF8C558">
      <w:pPr>
        <w:spacing w:before="160" w:after="60"/>
      </w:pPr>
      <w:r>
        <w:rPr>
          <w:b/>
          <w:color w:val="5A8A00"/>
          <w:sz w:val="22"/>
        </w:rPr>
        <w:t>4. 填寫對應 / Mapping to Annex I</w:t>
      </w:r>
    </w:p>
    <w:p w14:paraId="559921E3">
      <w:pPr>
        <w:spacing w:after="60"/>
        <w:ind w:left="360"/>
      </w:pPr>
      <w:r>
        <w:rPr>
          <w:color w:val="222222"/>
          <w:sz w:val="20"/>
        </w:rPr>
        <w:t>• 本文件每一章節對應 Annex I Table 1 的一個區塊；貴司填寫內容將由 CMHK 彙整後填入 Annex I 對應段</w:t>
      </w:r>
    </w:p>
    <w:p w14:paraId="39976F6D">
      <w:pPr>
        <w:spacing w:after="60"/>
        <w:ind w:left="360"/>
      </w:pPr>
      <w:r>
        <w:rPr>
          <w:color w:val="222222"/>
          <w:sz w:val="20"/>
        </w:rPr>
        <w:t>• Annex I Table 3（硬件 / 軟件清單 + 報價）由 CMHK 另行下發 RFQ Excel，請一併填寫</w:t>
      </w:r>
    </w:p>
    <w:p w14:paraId="630AE4B9">
      <w:pPr>
        <w:spacing w:after="60"/>
        <w:ind w:left="360"/>
      </w:pPr>
      <w:r>
        <w:rPr>
          <w:color w:val="222222"/>
          <w:sz w:val="20"/>
        </w:rPr>
        <w:t>• Annex I Table 9（Project Schedule）已附本文件最末，請填寫貴司負責層之起迄月份</w:t>
      </w:r>
    </w:p>
    <w:p w14:paraId="51B2F7BA">
      <w:pPr>
        <w:spacing w:before="160" w:after="60"/>
      </w:pPr>
      <w:r>
        <w:rPr>
          <w:b/>
          <w:color w:val="5A8A00"/>
          <w:sz w:val="22"/>
        </w:rPr>
        <w:t>5. 提交時間 / Submission</w:t>
      </w:r>
    </w:p>
    <w:p w14:paraId="22EDEA23">
      <w:pPr/>
      <w:r>
        <w:rPr>
          <w:color w:val="222222"/>
          <w:sz w:val="20"/>
        </w:rPr>
        <w:t>截止：2026-05-28（RFI 5/29 截止前一天）。回稿請以本 docx 填寫版回傳 CMHK 對接窗口。</w:t>
      </w:r>
    </w:p>
    <w:p w14:paraId="75F4E1A8">
      <w:pPr>
        <w:spacing w:before="160" w:after="60"/>
      </w:pPr>
      <w:r>
        <w:rPr>
          <w:b/>
          <w:color w:val="5A8A00"/>
          <w:sz w:val="22"/>
        </w:rPr>
        <w:t>6. 設計約束（重要）/ Design Constraints</w:t>
      </w:r>
    </w:p>
    <w:p w14:paraId="3A2FE9AF">
      <w:pPr>
        <w:spacing w:after="60"/>
        <w:ind w:left="360"/>
      </w:pPr>
      <w:r>
        <w:rPr>
          <w:color w:val="222222"/>
          <w:sz w:val="20"/>
        </w:rPr>
        <w:t>• 客戶定位：ImmD TSD 系統維保組 — APPLIES-2 主系統的 AI 後台增強（非新建系統）</w:t>
      </w:r>
    </w:p>
    <w:p w14:paraId="6ABAE32F">
      <w:pPr>
        <w:spacing w:after="60"/>
        <w:ind w:left="360"/>
      </w:pPr>
      <w:r>
        <w:rPr>
          <w:color w:val="222222"/>
          <w:sz w:val="20"/>
        </w:rPr>
        <w:t>• Option B 交付模式：AI 不接管 case officer UI；每 case 推送雙 PDF（Cross-Check Report + Minutes Draft）回 APPLIES-2</w:t>
      </w:r>
    </w:p>
    <w:p w14:paraId="5F8F4E04">
      <w:pPr>
        <w:spacing w:after="60"/>
        <w:ind w:left="360"/>
      </w:pPr>
      <w:r>
        <w:rPr>
          <w:color w:val="222222"/>
          <w:sz w:val="20"/>
        </w:rPr>
        <w:t>• 標準 case 場景：新聘外籍家庭傭工入境簽證 (FDH Entry Visa) + 12 份官方附件</w:t>
      </w:r>
    </w:p>
    <w:p w14:paraId="5E8793C9">
      <w:pPr>
        <w:spacing w:after="60"/>
        <w:ind w:left="360"/>
      </w:pPr>
      <w:r>
        <w:rPr>
          <w:color w:val="222222"/>
          <w:sz w:val="20"/>
        </w:rPr>
        <w:t>• 業務量：年 50 萬件 / 小時峰值 500 件 / 每件 12 附件 × 3 頁 × 5 MB / 7% 年增長 × 5 年</w:t>
      </w:r>
    </w:p>
    <w:p w14:paraId="3E101FBB">
      <w:pPr>
        <w:spacing w:after="60"/>
        <w:ind w:left="360"/>
      </w:pPr>
      <w:r>
        <w:rPr>
          <w:color w:val="222222"/>
          <w:sz w:val="20"/>
        </w:rPr>
        <w:t>• 信創 / ITAI 兼容 + 既有中央軟件兼容（Trellix / Leagsoft / Rizhiyi / IBM Netcool）</w:t>
      </w:r>
    </w:p>
    <w:p w14:paraId="2C399563">
      <w:pPr/>
      <w:r>
        <w:br w:type="page"/>
      </w:r>
    </w:p>
    <w:p w14:paraId="4C4B8A3E">
      <w:pPr>
        <w:spacing w:before="440" w:after="80"/>
      </w:pPr>
      <w:r>
        <w:rPr>
          <w:b/>
          <w:color w:val="003D7A"/>
          <w:sz w:val="32"/>
        </w:rPr>
        <w:t>1. Brief Solution Description（方案總覽）</w:t>
      </w:r>
    </w:p>
    <w:p w14:paraId="2864FF77">
      <w:pPr>
        <w:spacing w:after="80"/>
      </w:pPr>
      <w:r>
        <w:rPr>
          <w:i/>
          <w:color w:val="555555"/>
          <w:sz w:val="19"/>
        </w:rPr>
        <w:t>[ RFI 4.2 整體 · Annex I Table 1 — Brief Description ]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B44B6EC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604EA4DC">
            <w:pPr>
              <w:spacing w:after="80"/>
            </w:pPr>
            <w:r>
              <w:rPr>
                <w:b/>
                <w:color w:val="003D7A"/>
                <w:sz w:val="18"/>
              </w:rPr>
              <w:t>Annex I Table 1 — Original (English):</w:t>
            </w:r>
          </w:p>
          <w:p w14:paraId="632FB982">
            <w:pPr>
              <w:spacing w:after="40"/>
            </w:pPr>
            <w:r>
              <w:rPr>
                <w:i/>
                <w:color w:val="333333"/>
                <w:sz w:val="19"/>
              </w:rPr>
              <w:t>Brief Description of Proposed Solution with an overall high-level design / architecture diagram about the ENTIRE solution, showing the solution infrastructure and major system components below.</w:t>
            </w:r>
          </w:p>
        </w:tc>
      </w:tr>
      <w:tr w14:paraId="206FBFD8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035D975F">
            <w:pPr>
              <w:spacing w:after="80"/>
            </w:pPr>
            <w:r>
              <w:rPr>
                <w:b/>
                <w:color w:val="3A5A00"/>
                <w:sz w:val="18"/>
              </w:rPr>
              <w:t>中文解釋 (CMHK reference)：</w:t>
            </w:r>
          </w:p>
          <w:p w14:paraId="7C58D607">
            <w:pPr>
              <w:spacing w:after="40"/>
            </w:pPr>
            <w:r>
              <w:rPr>
                <w:i/>
                <w:color w:val="333333"/>
                <w:sz w:val="19"/>
              </w:rPr>
              <w:t>請提供方案總體簡要描述，以及整套方案的高階設計 / 架構圖（顯示方案基礎設施與主要系統組件）</w:t>
            </w:r>
          </w:p>
        </w:tc>
      </w:tr>
    </w:tbl>
    <w:p w14:paraId="78266B2A">
      <w:pPr/>
    </w:p>
    <w:p w14:paraId="0EACEEE6">
      <w:pPr>
        <w:spacing w:after="60"/>
        <w:ind w:left="360"/>
      </w:pPr>
      <w:r>
        <w:rPr>
          <w:color w:val="222222"/>
          <w:sz w:val="20"/>
        </w:rPr>
        <w:t>• Provide an overall high-level solution description for the AI Application Layer</w:t>
      </w:r>
    </w:p>
    <w:p w14:paraId="667BEA8D">
      <w:pPr>
        <w:spacing w:after="60"/>
        <w:ind w:left="360"/>
      </w:pPr>
      <w:r>
        <w:rPr>
          <w:color w:val="222222"/>
          <w:sz w:val="20"/>
        </w:rPr>
        <w:t>• Include an architecture diagram showing major components + interfaces with APPLIES-2 + AI Inference Layer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2079D35">
        <w:tblPrEx>
          <w:tblLayout w:type="fixed"/>
        </w:tblPrEx>
        <w:trPr>
          <w:trHeight w:val="3600" w:hRule="atLeast"/>
          <w:jc w:val="center"/>
        </w:trPr>
        <w:tc>
          <w:tcPr>
            <w:tcW w:w="10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</w:tcPr>
          <w:p w14:paraId="35160DCB">
            <w:pPr/>
            <w:r>
              <w:rPr>
                <w:i/>
                <w:color w:val="999999"/>
                <w:sz w:val="20"/>
              </w:rPr>
              <w:t>Please fill in here (in English). 請於此處以英文填寫，可附 圖 / 表 / 截圖。</w:t>
            </w:r>
          </w:p>
        </w:tc>
      </w:tr>
    </w:tbl>
    <w:p w14:paraId="53EFD4DF">
      <w:pPr/>
    </w:p>
    <w:p w14:paraId="00DEAAF8">
      <w:pPr/>
      <w:r>
        <w:br w:type="page"/>
      </w:r>
    </w:p>
    <w:p w14:paraId="456552CF">
      <w:pPr>
        <w:spacing w:before="440" w:after="80"/>
      </w:pPr>
      <w:r>
        <w:rPr>
          <w:b/>
          <w:color w:val="003D7A"/>
          <w:sz w:val="32"/>
        </w:rPr>
        <w:t>2. Automated Document Classification（自動文件分類）</w:t>
      </w:r>
    </w:p>
    <w:p w14:paraId="709527F4">
      <w:pPr>
        <w:spacing w:after="80"/>
      </w:pPr>
      <w:r>
        <w:rPr>
          <w:i/>
          <w:color w:val="555555"/>
          <w:sz w:val="19"/>
        </w:rPr>
        <w:t>[ Annex I Table 1 — Doc Classification · RFI 4.2.1 ]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86971AF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51BC17D6">
            <w:pPr>
              <w:spacing w:after="80"/>
            </w:pPr>
            <w:r>
              <w:rPr>
                <w:b/>
                <w:color w:val="003D7A"/>
                <w:sz w:val="18"/>
              </w:rPr>
              <w:t>Annex I Table 1 — Original (English):</w:t>
            </w:r>
          </w:p>
          <w:p w14:paraId="4AB830DF">
            <w:pPr>
              <w:spacing w:after="40"/>
            </w:pPr>
            <w:r>
              <w:rPr>
                <w:i/>
                <w:color w:val="333333"/>
                <w:sz w:val="19"/>
              </w:rPr>
              <w:t>Automated Document Classification</w:t>
            </w:r>
          </w:p>
          <w:p w14:paraId="067FCCED">
            <w:pPr>
              <w:spacing w:after="40"/>
            </w:pPr>
            <w:r>
              <w:rPr>
                <w:i/>
                <w:color w:val="333333"/>
                <w:sz w:val="19"/>
              </w:rPr>
              <w:t>• Description of the AI technologies and algorithms employed to process, verify and categorize application-related documents and visual data;</w:t>
            </w:r>
          </w:p>
          <w:p w14:paraId="2FCF4E2E">
            <w:pPr>
              <w:spacing w:after="40"/>
            </w:pPr>
            <w:r>
              <w:rPr>
                <w:i/>
                <w:color w:val="333333"/>
                <w:sz w:val="19"/>
              </w:rPr>
              <w:t>• Description on the Proposed Solution of the technical design illustrating the end-to-end process — from processing, verification, classification and delivery of the result;</w:t>
            </w:r>
          </w:p>
          <w:p w14:paraId="0A061C55">
            <w:pPr>
              <w:spacing w:after="40"/>
            </w:pPr>
            <w:r>
              <w:rPr>
                <w:i/>
                <w:color w:val="333333"/>
                <w:sz w:val="19"/>
              </w:rPr>
              <w:t>• Description of the proposed accuracy rate for the AI solution and the method to calculate / determine the accuracy rate.</w:t>
            </w:r>
          </w:p>
        </w:tc>
      </w:tr>
      <w:tr w14:paraId="7B9E91B4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7BD904F2">
            <w:pPr>
              <w:spacing w:after="80"/>
            </w:pPr>
            <w:r>
              <w:rPr>
                <w:b/>
                <w:color w:val="3A5A00"/>
                <w:sz w:val="18"/>
              </w:rPr>
              <w:t>中文解釋 (CMHK reference)：</w:t>
            </w:r>
          </w:p>
          <w:p w14:paraId="4BDD071E">
            <w:pPr>
              <w:spacing w:after="40"/>
            </w:pPr>
            <w:r>
              <w:rPr>
                <w:i/>
                <w:color w:val="333333"/>
                <w:sz w:val="19"/>
              </w:rPr>
              <w:t>自動文件分類</w:t>
            </w:r>
          </w:p>
          <w:p w14:paraId="682D1973">
            <w:pPr>
              <w:spacing w:after="40"/>
            </w:pPr>
            <w:r>
              <w:rPr>
                <w:i/>
                <w:color w:val="333333"/>
                <w:sz w:val="19"/>
              </w:rPr>
              <w:t>• 描述用於處理、驗證、分類申請相關文件與圖像資料之 AI 技術與算法</w:t>
            </w:r>
          </w:p>
          <w:p w14:paraId="3291361D">
            <w:pPr>
              <w:spacing w:after="40"/>
            </w:pPr>
            <w:r>
              <w:rPr>
                <w:i/>
                <w:color w:val="333333"/>
                <w:sz w:val="19"/>
              </w:rPr>
              <w:t>• 描述方案技術設計，呈現端到端流程（處理 → 驗證 → 分類 → 結果交付）</w:t>
            </w:r>
          </w:p>
          <w:p w14:paraId="3749DDC7">
            <w:pPr>
              <w:spacing w:after="40"/>
            </w:pPr>
            <w:r>
              <w:rPr>
                <w:i/>
                <w:color w:val="333333"/>
                <w:sz w:val="19"/>
              </w:rPr>
              <w:t>• 描述貴方建議的 AI 方案準確率，以及該準確率的計算 / 判定方法</w:t>
            </w:r>
          </w:p>
        </w:tc>
      </w:tr>
    </w:tbl>
    <w:p w14:paraId="37171AC1">
      <w:pPr/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855E176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1ED6CD08">
            <w:pPr>
              <w:spacing w:after="80"/>
            </w:pPr>
            <w:r>
              <w:rPr>
                <w:b/>
                <w:color w:val="003D7A"/>
                <w:sz w:val="18"/>
              </w:rPr>
              <w:t>RFI 4.2.1 — Original (English):</w:t>
            </w:r>
          </w:p>
          <w:p w14:paraId="1EE20FB5">
            <w:pPr>
              <w:spacing w:after="40"/>
            </w:pPr>
            <w:r>
              <w:rPr>
                <w:i/>
                <w:color w:val="333333"/>
                <w:sz w:val="19"/>
              </w:rPr>
              <w:t>4.2.1 Automated Document Classification</w:t>
            </w:r>
          </w:p>
          <w:p w14:paraId="300042C6">
            <w:pPr>
              <w:spacing w:after="40"/>
            </w:pPr>
            <w:r>
              <w:rPr>
                <w:i/>
                <w:color w:val="333333"/>
                <w:sz w:val="19"/>
              </w:rPr>
              <w:t>4.2.1.1 Shall be able to support verification on the completeness of application's documents and images according to business/workflow logic</w:t>
            </w:r>
          </w:p>
          <w:p w14:paraId="2F89A06E">
            <w:pPr>
              <w:spacing w:after="40"/>
            </w:pPr>
            <w:r>
              <w:rPr>
                <w:i/>
                <w:color w:val="333333"/>
                <w:sz w:val="19"/>
              </w:rPr>
              <w:t>4.2.1.2 Shall be able to provide and support subsequent classification tasks</w:t>
            </w:r>
          </w:p>
          <w:p w14:paraId="08DBB529">
            <w:pPr>
              <w:spacing w:after="40"/>
            </w:pPr>
            <w:r>
              <w:rPr>
                <w:i/>
                <w:color w:val="333333"/>
                <w:sz w:val="19"/>
              </w:rPr>
              <w:t>4.2.1.3 Shall be able to check, handle and alert users for problematic items.</w:t>
            </w:r>
          </w:p>
          <w:p w14:paraId="150A8F4D">
            <w:pPr>
              <w:spacing w:after="40"/>
            </w:pPr>
            <w:r>
              <w:rPr>
                <w:i/>
                <w:color w:val="333333"/>
                <w:sz w:val="19"/>
              </w:rPr>
              <w:t>4.2.1.4 Shall generate and export related statistics data and reports</w:t>
            </w:r>
          </w:p>
        </w:tc>
      </w:tr>
      <w:tr w14:paraId="66853C62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215A4BEA">
            <w:pPr>
              <w:spacing w:after="80"/>
            </w:pPr>
            <w:r>
              <w:rPr>
                <w:b/>
                <w:color w:val="3A5A00"/>
                <w:sz w:val="18"/>
              </w:rPr>
              <w:t>中文解釋 (CMHK reference)：</w:t>
            </w:r>
          </w:p>
          <w:p w14:paraId="413F5115">
            <w:pPr>
              <w:spacing w:after="40"/>
            </w:pPr>
            <w:r>
              <w:rPr>
                <w:i/>
                <w:color w:val="333333"/>
                <w:sz w:val="19"/>
              </w:rPr>
              <w:t>4.2.1 自動文件分類</w:t>
            </w:r>
          </w:p>
          <w:p w14:paraId="77915AF3">
            <w:pPr>
              <w:spacing w:after="40"/>
            </w:pPr>
            <w:r>
              <w:rPr>
                <w:i/>
                <w:color w:val="333333"/>
                <w:sz w:val="19"/>
              </w:rPr>
              <w:t>4.2.1.1 應根據業務 / 工作流邏輯，驗證申請文件與圖像之完整性</w:t>
            </w:r>
          </w:p>
          <w:p w14:paraId="095838AC">
            <w:pPr>
              <w:spacing w:after="40"/>
            </w:pPr>
            <w:r>
              <w:rPr>
                <w:i/>
                <w:color w:val="333333"/>
                <w:sz w:val="19"/>
              </w:rPr>
              <w:t>4.2.1.2 應對通過驗證的文件提供與支援後續分類任務</w:t>
            </w:r>
          </w:p>
          <w:p w14:paraId="6FE5040E">
            <w:pPr>
              <w:spacing w:after="40"/>
            </w:pPr>
            <w:r>
              <w:rPr>
                <w:i/>
                <w:color w:val="333333"/>
                <w:sz w:val="19"/>
              </w:rPr>
              <w:t>4.2.1.3 應檢查、處理問題項目並對使用者告警</w:t>
            </w:r>
          </w:p>
          <w:p w14:paraId="27A0C581">
            <w:pPr>
              <w:spacing w:after="40"/>
            </w:pPr>
            <w:r>
              <w:rPr>
                <w:i/>
                <w:color w:val="333333"/>
                <w:sz w:val="19"/>
              </w:rPr>
              <w:t>4.2.1.4 應生成並匯出相關統計資料與報表</w:t>
            </w:r>
          </w:p>
        </w:tc>
      </w:tr>
    </w:tbl>
    <w:p w14:paraId="469E6F78">
      <w:pPr/>
    </w:p>
    <w:p w14:paraId="73554E28">
      <w:pPr>
        <w:spacing w:before="280" w:after="80"/>
      </w:pPr>
      <w:r>
        <w:rPr>
          <w:b/>
          <w:color w:val="003D7A"/>
          <w:sz w:val="26"/>
        </w:rPr>
        <w:t>2.1 AI Technologies &amp; Algorithms</w:t>
      </w:r>
    </w:p>
    <w:p w14:paraId="1DE14558">
      <w:pPr>
        <w:spacing w:after="60"/>
        <w:ind w:left="360"/>
      </w:pPr>
      <w:r>
        <w:rPr>
          <w:color w:val="222222"/>
          <w:sz w:val="20"/>
        </w:rPr>
        <w:t>• Describe AI tech / algorithms for processing, verifying, categorizing documents (FDH 12-attachment scenario)</w:t>
      </w:r>
    </w:p>
    <w:p w14:paraId="5574E277">
      <w:pPr>
        <w:spacing w:after="60"/>
        <w:ind w:left="360"/>
      </w:pPr>
      <w:r>
        <w:rPr>
          <w:color w:val="222222"/>
          <w:sz w:val="20"/>
        </w:rPr>
        <w:t>• Suggested: model selection (VLM / OCR+NLP pipeline), few-shot strategy, rule base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DC6C182">
        <w:tblPrEx>
          <w:tblLayout w:type="fixed"/>
        </w:tblPrEx>
        <w:trPr>
          <w:trHeight w:val="2880" w:hRule="atLeast"/>
          <w:jc w:val="center"/>
        </w:trPr>
        <w:tc>
          <w:tcPr>
            <w:tcW w:w="10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</w:tcPr>
          <w:p w14:paraId="7B60B954">
            <w:pPr/>
            <w:r>
              <w:rPr>
                <w:i/>
                <w:color w:val="999999"/>
                <w:sz w:val="20"/>
              </w:rPr>
              <w:t>Please fill in here (in English). 請於此處以英文填寫，可附 圖 / 表 / 截圖。</w:t>
            </w:r>
          </w:p>
        </w:tc>
      </w:tr>
    </w:tbl>
    <w:p w14:paraId="3DE50A76">
      <w:pPr/>
    </w:p>
    <w:p w14:paraId="784914D6">
      <w:pPr>
        <w:spacing w:before="280" w:after="80"/>
      </w:pPr>
      <w:r>
        <w:rPr>
          <w:b/>
          <w:color w:val="003D7A"/>
          <w:sz w:val="26"/>
        </w:rPr>
        <w:t>2.2 End-to-End Technical Design</w:t>
      </w:r>
    </w:p>
    <w:p w14:paraId="73F957B9">
      <w:pPr>
        <w:spacing w:after="60"/>
        <w:ind w:left="360"/>
      </w:pPr>
      <w:r>
        <w:rPr>
          <w:color w:val="222222"/>
          <w:sz w:val="20"/>
        </w:rPr>
        <w:t>• Processing → Verification → Classification → Result delivery (full process design)</w:t>
      </w:r>
    </w:p>
    <w:p w14:paraId="4D0EBAFE">
      <w:pPr>
        <w:spacing w:after="60"/>
        <w:ind w:left="360"/>
      </w:pPr>
      <w:r>
        <w:rPr>
          <w:color w:val="222222"/>
          <w:sz w:val="20"/>
        </w:rPr>
        <w:t>• Include how anomalies / problematic items are presented (within Cross-Check Report PDF)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6BE053B">
        <w:tblPrEx>
          <w:tblLayout w:type="fixed"/>
        </w:tblPrEx>
        <w:trPr>
          <w:trHeight w:val="2880" w:hRule="atLeast"/>
          <w:jc w:val="center"/>
        </w:trPr>
        <w:tc>
          <w:tcPr>
            <w:tcW w:w="10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</w:tcPr>
          <w:p w14:paraId="29F1B57E">
            <w:pPr/>
            <w:r>
              <w:rPr>
                <w:i/>
                <w:color w:val="999999"/>
                <w:sz w:val="20"/>
              </w:rPr>
              <w:t>Please fill in here (in English). 請於此處以英文填寫，可附 圖 / 表 / 截圖。</w:t>
            </w:r>
          </w:p>
        </w:tc>
      </w:tr>
    </w:tbl>
    <w:p w14:paraId="6BF1FBF1">
      <w:pPr/>
    </w:p>
    <w:p w14:paraId="504A8B49">
      <w:pPr>
        <w:spacing w:before="280" w:after="80"/>
      </w:pPr>
      <w:r>
        <w:rPr>
          <w:b/>
          <w:color w:val="003D7A"/>
          <w:sz w:val="26"/>
        </w:rPr>
        <w:t>2.3 Accuracy Rate &amp; Calculation Method (please propose)</w:t>
      </w:r>
    </w:p>
    <w:p w14:paraId="1EC8E1C3">
      <w:pPr>
        <w:spacing w:after="120"/>
      </w:pPr>
      <w:r>
        <w:rPr>
          <w:i/>
          <w:color w:val="222222"/>
          <w:sz w:val="20"/>
        </w:rPr>
        <w:t>Please complete: (a) committed accuracy % (b) accuracy definition (e.g. character / word / field / business-level) (c) measurement method (test set size, metrics such as precision / recall / F1).  請填寫：(a) 承諾準確率 % (b) 準確率定義 (c) 量測方法。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40CFD7B2">
        <w:tblPrEx>
          <w:tblLayout w:type="fixed"/>
        </w:tblPrEx>
        <w:trPr>
          <w:trHeight w:val="576" w:hRule="atLeast"/>
          <w:jc w:val="center"/>
        </w:trPr>
        <w:tc>
          <w:tcPr>
            <w:tcW w:w="2550" w:type="dxa"/>
            <w:shd w:val="clear" w:color="auto" w:fill="003D7A"/>
            <w:vAlign w:val="center"/>
          </w:tcPr>
          <w:p w14:paraId="2DF4814E">
            <w:pPr/>
            <w:r>
              <w:rPr>
                <w:b/>
                <w:color w:val="FFFFFF"/>
                <w:sz w:val="20"/>
              </w:rPr>
              <w:t>AI Function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578C8DD0">
            <w:pPr/>
            <w:r>
              <w:rPr>
                <w:b/>
                <w:color w:val="FFFFFF"/>
                <w:sz w:val="20"/>
              </w:rPr>
              <w:t>Committed Accuracy (%)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705B78C2">
            <w:pPr/>
            <w:r>
              <w:rPr>
                <w:b/>
                <w:color w:val="FFFFFF"/>
                <w:sz w:val="20"/>
              </w:rPr>
              <w:t>Accuracy Definition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0AF173E0">
            <w:pPr/>
            <w:r>
              <w:rPr>
                <w:b/>
                <w:color w:val="FFFFFF"/>
                <w:sz w:val="20"/>
              </w:rPr>
              <w:t>Measurement Method</w:t>
            </w:r>
          </w:p>
        </w:tc>
      </w:tr>
      <w:tr w14:paraId="375710D2">
        <w:tblPrEx>
          <w:tblLayout w:type="fixed"/>
        </w:tblPrEx>
        <w:trPr>
          <w:trHeight w:val="1007" w:hRule="atLeast"/>
          <w:jc w:val="center"/>
        </w:trPr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5F79A249">
            <w:pPr/>
            <w:r>
              <w:rPr>
                <w:b/>
                <w:color w:val="222222"/>
                <w:sz w:val="20"/>
              </w:rPr>
              <w:t>Automated Document Classification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317ABD85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397825A9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6DAA6B37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</w:tr>
    </w:tbl>
    <w:p w14:paraId="0C02A8D8">
      <w:pPr/>
    </w:p>
    <w:p w14:paraId="04D87E48">
      <w:pPr/>
      <w:r>
        <w:br w:type="page"/>
      </w:r>
    </w:p>
    <w:p w14:paraId="24E96EDD">
      <w:pPr>
        <w:spacing w:before="440" w:after="80"/>
      </w:pPr>
      <w:r>
        <w:rPr>
          <w:b/>
          <w:color w:val="003D7A"/>
          <w:sz w:val="32"/>
        </w:rPr>
        <w:t>3. Intelligent Data Verification（智能數據核驗）</w:t>
      </w:r>
    </w:p>
    <w:p w14:paraId="7B387A2C">
      <w:pPr>
        <w:spacing w:after="80"/>
      </w:pPr>
      <w:r>
        <w:rPr>
          <w:i/>
          <w:color w:val="555555"/>
          <w:sz w:val="19"/>
        </w:rPr>
        <w:t>[ Annex I Table 1 — Data Verification · RFI 4.2.2 ]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1887425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614354AA">
            <w:pPr>
              <w:spacing w:after="80"/>
            </w:pPr>
            <w:r>
              <w:rPr>
                <w:b/>
                <w:color w:val="003D7A"/>
                <w:sz w:val="18"/>
              </w:rPr>
              <w:t>Annex I Table 1 — Original (English):</w:t>
            </w:r>
          </w:p>
          <w:p w14:paraId="7CF37D0F">
            <w:pPr>
              <w:spacing w:after="40"/>
            </w:pPr>
            <w:r>
              <w:rPr>
                <w:i/>
                <w:color w:val="333333"/>
                <w:sz w:val="19"/>
              </w:rPr>
              <w:t>Intelligent Data Verification</w:t>
            </w:r>
          </w:p>
          <w:p w14:paraId="4A003BB5">
            <w:pPr>
              <w:spacing w:after="40"/>
            </w:pPr>
            <w:r>
              <w:rPr>
                <w:i/>
                <w:color w:val="333333"/>
                <w:sz w:val="19"/>
              </w:rPr>
              <w:t>• Description of the AI technologies and algorithms employed to extract data from application-related documents and visual data;</w:t>
            </w:r>
          </w:p>
          <w:p w14:paraId="1F00C47C">
            <w:pPr>
              <w:spacing w:after="40"/>
            </w:pPr>
            <w:r>
              <w:rPr>
                <w:i/>
                <w:color w:val="333333"/>
                <w:sz w:val="19"/>
              </w:rPr>
              <w:t>• Description of the AI technologies and algorithms employed to cross-check data from application-related documents and visual data against other structured data;</w:t>
            </w:r>
          </w:p>
          <w:p w14:paraId="703D64F7">
            <w:pPr>
              <w:spacing w:after="40"/>
            </w:pPr>
            <w:r>
              <w:rPr>
                <w:i/>
                <w:color w:val="333333"/>
                <w:sz w:val="19"/>
              </w:rPr>
              <w:t>• Description on the Proposed Solution of the technical design illustrating the end-to-end process — from data extraction, data comparison, verification and irregularity detection and delivering the result;</w:t>
            </w:r>
          </w:p>
          <w:p w14:paraId="7415A009">
            <w:pPr>
              <w:spacing w:after="40"/>
            </w:pPr>
            <w:r>
              <w:rPr>
                <w:i/>
                <w:color w:val="333333"/>
                <w:sz w:val="19"/>
              </w:rPr>
              <w:t>• Description of the proposed accuracy rate for the AI solution and the method to calculate / determine the accuracy rate.</w:t>
            </w:r>
          </w:p>
        </w:tc>
      </w:tr>
      <w:tr w14:paraId="5113AA5D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463A0505">
            <w:pPr>
              <w:spacing w:after="80"/>
            </w:pPr>
            <w:r>
              <w:rPr>
                <w:b/>
                <w:color w:val="3A5A00"/>
                <w:sz w:val="18"/>
              </w:rPr>
              <w:t>中文解釋 (CMHK reference)：</w:t>
            </w:r>
          </w:p>
          <w:p w14:paraId="64B21597">
            <w:pPr>
              <w:spacing w:after="40"/>
            </w:pPr>
            <w:r>
              <w:rPr>
                <w:i/>
                <w:color w:val="333333"/>
                <w:sz w:val="19"/>
              </w:rPr>
              <w:t>智能數據核驗</w:t>
            </w:r>
          </w:p>
          <w:p w14:paraId="469D1521">
            <w:pPr>
              <w:spacing w:after="40"/>
            </w:pPr>
            <w:r>
              <w:rPr>
                <w:i/>
                <w:color w:val="333333"/>
                <w:sz w:val="19"/>
              </w:rPr>
              <w:t>• 描述用於從申請文件與圖像資料抽取資料之 AI 技術與算法</w:t>
            </w:r>
          </w:p>
          <w:p w14:paraId="19182D99">
            <w:pPr>
              <w:spacing w:after="40"/>
            </w:pPr>
            <w:r>
              <w:rPr>
                <w:i/>
                <w:color w:val="333333"/>
                <w:sz w:val="19"/>
              </w:rPr>
              <w:t>• 描述用於將申請文件 / 圖像資料與其他結構化資料進行交叉比對之 AI 技術與算法</w:t>
            </w:r>
          </w:p>
          <w:p w14:paraId="491330D8">
            <w:pPr>
              <w:spacing w:after="40"/>
            </w:pPr>
            <w:r>
              <w:rPr>
                <w:i/>
                <w:color w:val="333333"/>
                <w:sz w:val="19"/>
              </w:rPr>
              <w:t>• 描述方案技術設計，呈現端到端流程（抽取 → 比對 → 驗證 → 異常偵測 → 結果交付）</w:t>
            </w:r>
          </w:p>
          <w:p w14:paraId="2DB68D5F">
            <w:pPr>
              <w:spacing w:after="40"/>
            </w:pPr>
            <w:r>
              <w:rPr>
                <w:i/>
                <w:color w:val="333333"/>
                <w:sz w:val="19"/>
              </w:rPr>
              <w:t>• 描述貴方建議的 AI 方案準確率及計算 / 判定方法</w:t>
            </w:r>
          </w:p>
        </w:tc>
      </w:tr>
    </w:tbl>
    <w:p w14:paraId="7F80A76F">
      <w:pPr/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4C56720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2F422CB7">
            <w:pPr>
              <w:spacing w:after="80"/>
            </w:pPr>
            <w:r>
              <w:rPr>
                <w:b/>
                <w:color w:val="003D7A"/>
                <w:sz w:val="18"/>
              </w:rPr>
              <w:t>RFI 4.2.2 — Original (English):</w:t>
            </w:r>
          </w:p>
          <w:p w14:paraId="6D61B981">
            <w:pPr>
              <w:spacing w:after="40"/>
            </w:pPr>
            <w:r>
              <w:rPr>
                <w:i/>
                <w:color w:val="333333"/>
                <w:sz w:val="19"/>
              </w:rPr>
              <w:t>4.2.2 Intelligent Data Verification</w:t>
            </w:r>
          </w:p>
          <w:p w14:paraId="62EEEA27">
            <w:pPr>
              <w:spacing w:after="40"/>
            </w:pPr>
            <w:r>
              <w:rPr>
                <w:i/>
                <w:color w:val="333333"/>
                <w:sz w:val="19"/>
              </w:rPr>
              <w:t>4.2.2.1 Shall be able to extract information from unstructured data such as documents and images,</w:t>
            </w:r>
          </w:p>
          <w:p w14:paraId="1C934B3E">
            <w:pPr>
              <w:spacing w:after="40"/>
            </w:pPr>
            <w:r>
              <w:rPr>
                <w:i/>
                <w:color w:val="333333"/>
                <w:sz w:val="19"/>
              </w:rPr>
              <w:t>4.2.2.2 Shall be able to cross-reference the extracted information and other structured data provided by applicants, and automatically identify inconsistencies or incomplete data.</w:t>
            </w:r>
          </w:p>
          <w:p w14:paraId="046CBAA9">
            <w:pPr>
              <w:spacing w:after="40"/>
            </w:pPr>
            <w:r>
              <w:rPr>
                <w:i/>
                <w:color w:val="333333"/>
                <w:sz w:val="19"/>
              </w:rPr>
              <w:t>4.2.2.3 Shall be able to check and identify any incomplete problematic or irregular contents according to business/workflow logic, such as identifying incomplete information, unclear stamps, etc</w:t>
            </w:r>
          </w:p>
          <w:p w14:paraId="45A752AE">
            <w:pPr>
              <w:spacing w:after="40"/>
            </w:pPr>
            <w:r>
              <w:rPr>
                <w:i/>
                <w:color w:val="333333"/>
                <w:sz w:val="19"/>
              </w:rPr>
              <w:t>4.2.2.4 Shall be able to crop / highlight the unstructured data in original copy for user to check the problematic or irregular contents</w:t>
            </w:r>
          </w:p>
          <w:p w14:paraId="1F1403DE">
            <w:pPr>
              <w:spacing w:after="40"/>
            </w:pPr>
            <w:r>
              <w:rPr>
                <w:i/>
                <w:color w:val="333333"/>
                <w:sz w:val="19"/>
              </w:rPr>
              <w:t>4.2.2.5 Shall generate and export related statistics data and reports</w:t>
            </w:r>
          </w:p>
        </w:tc>
      </w:tr>
      <w:tr w14:paraId="18C85D1D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5FB6A027">
            <w:pPr>
              <w:spacing w:after="80"/>
            </w:pPr>
            <w:r>
              <w:rPr>
                <w:b/>
                <w:color w:val="3A5A00"/>
                <w:sz w:val="18"/>
              </w:rPr>
              <w:t>中文解釋 (CMHK reference)：</w:t>
            </w:r>
          </w:p>
          <w:p w14:paraId="231BE836">
            <w:pPr>
              <w:spacing w:after="40"/>
            </w:pPr>
            <w:r>
              <w:rPr>
                <w:i/>
                <w:color w:val="333333"/>
                <w:sz w:val="19"/>
              </w:rPr>
              <w:t>4.2.2 智能數據核驗</w:t>
            </w:r>
          </w:p>
          <w:p w14:paraId="07D79243">
            <w:pPr>
              <w:spacing w:after="40"/>
            </w:pPr>
            <w:r>
              <w:rPr>
                <w:i/>
                <w:color w:val="333333"/>
                <w:sz w:val="19"/>
              </w:rPr>
              <w:t>4.2.2.1 應能從非結構化資料（如文件、圖像）抽取資訊</w:t>
            </w:r>
          </w:p>
          <w:p w14:paraId="647463FE">
            <w:pPr>
              <w:spacing w:after="40"/>
            </w:pPr>
            <w:r>
              <w:rPr>
                <w:i/>
                <w:color w:val="333333"/>
                <w:sz w:val="19"/>
              </w:rPr>
              <w:t>4.2.2.2 應將抽取資訊與申請人提供之其他結構化資料交叉比對，並自動識別不一致或不完整之資料</w:t>
            </w:r>
          </w:p>
          <w:p w14:paraId="309D9091">
            <w:pPr>
              <w:spacing w:after="40"/>
            </w:pPr>
            <w:r>
              <w:rPr>
                <w:i/>
                <w:color w:val="333333"/>
                <w:sz w:val="19"/>
              </w:rPr>
              <w:t>4.2.2.3 應根據業務 / 工作流邏輯，檢查並識別不完整、問題或異常內容（如不完整資訊、模糊印章等）</w:t>
            </w:r>
          </w:p>
          <w:p w14:paraId="4C5DB07E">
            <w:pPr>
              <w:spacing w:after="40"/>
            </w:pPr>
            <w:r>
              <w:rPr>
                <w:i/>
                <w:color w:val="333333"/>
                <w:sz w:val="19"/>
              </w:rPr>
              <w:t>4.2.2.4 應能在原始文件中對非結構化資料進行 crop / 高亮，供使用者檢查問題或異常內容</w:t>
            </w:r>
          </w:p>
          <w:p w14:paraId="11AC87D1">
            <w:pPr>
              <w:spacing w:after="40"/>
            </w:pPr>
            <w:r>
              <w:rPr>
                <w:i/>
                <w:color w:val="333333"/>
                <w:sz w:val="19"/>
              </w:rPr>
              <w:t>4.2.2.5 應生成並匯出相關統計資料與報表</w:t>
            </w:r>
          </w:p>
        </w:tc>
      </w:tr>
    </w:tbl>
    <w:p w14:paraId="1B2C58A8">
      <w:pPr/>
    </w:p>
    <w:p w14:paraId="35635126">
      <w:pPr>
        <w:spacing w:before="280" w:after="80"/>
      </w:pPr>
      <w:r>
        <w:rPr>
          <w:b/>
          <w:color w:val="003D7A"/>
          <w:sz w:val="26"/>
        </w:rPr>
        <w:t>3.1 AI Tech — Data Extraction</w:t>
      </w:r>
    </w:p>
    <w:p w14:paraId="36CCF6B9">
      <w:pPr>
        <w:spacing w:after="60"/>
        <w:ind w:left="360"/>
      </w:pPr>
      <w:r>
        <w:rPr>
          <w:color w:val="222222"/>
          <w:sz w:val="20"/>
        </w:rPr>
        <w:t>• AI tech &amp; algorithms for extracting data from documents / visual data (OCR + Layout + field extraction)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B035E94">
        <w:tblPrEx>
          <w:tblLayout w:type="fixed"/>
        </w:tblPrEx>
        <w:trPr>
          <w:trHeight w:val="2880" w:hRule="atLeast"/>
          <w:jc w:val="center"/>
        </w:trPr>
        <w:tc>
          <w:tcPr>
            <w:tcW w:w="10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</w:tcPr>
          <w:p w14:paraId="25A1DC55">
            <w:pPr/>
            <w:r>
              <w:rPr>
                <w:i/>
                <w:color w:val="999999"/>
                <w:sz w:val="20"/>
              </w:rPr>
              <w:t>Please fill in here (in English). 請於此處以英文填寫，可附 圖 / 表 / 截圖。</w:t>
            </w:r>
          </w:p>
        </w:tc>
      </w:tr>
    </w:tbl>
    <w:p w14:paraId="4AC21ACF">
      <w:pPr/>
    </w:p>
    <w:p w14:paraId="0D60BDE9">
      <w:pPr>
        <w:spacing w:before="280" w:after="80"/>
      </w:pPr>
      <w:r>
        <w:rPr>
          <w:b/>
          <w:color w:val="003D7A"/>
          <w:sz w:val="26"/>
        </w:rPr>
        <w:t>3.2 AI Tech — Cross-Check</w:t>
      </w:r>
    </w:p>
    <w:p w14:paraId="668039CC">
      <w:pPr>
        <w:spacing w:after="60"/>
        <w:ind w:left="360"/>
      </w:pPr>
      <w:r>
        <w:rPr>
          <w:color w:val="222222"/>
          <w:sz w:val="20"/>
        </w:rPr>
        <w:t>• AI tech &amp; algorithms for cross-checking extracted data against other structured data (rule engine + LLM)</w:t>
      </w:r>
    </w:p>
    <w:p w14:paraId="7CE36494">
      <w:pPr>
        <w:spacing w:after="60"/>
        <w:ind w:left="360"/>
      </w:pPr>
      <w:r>
        <w:rPr>
          <w:color w:val="222222"/>
          <w:sz w:val="20"/>
        </w:rPr>
        <w:t>• FDH example: passport name ↔ ID 988A ↔ bank statement name; salary ≥ HKD 4,990; 24-month contract; employer is individual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6C83CC7">
        <w:tblPrEx>
          <w:tblLayout w:type="fixed"/>
        </w:tblPrEx>
        <w:trPr>
          <w:trHeight w:val="2880" w:hRule="atLeast"/>
          <w:jc w:val="center"/>
        </w:trPr>
        <w:tc>
          <w:tcPr>
            <w:tcW w:w="10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</w:tcPr>
          <w:p w14:paraId="74A40928">
            <w:pPr/>
            <w:r>
              <w:rPr>
                <w:i/>
                <w:color w:val="999999"/>
                <w:sz w:val="20"/>
              </w:rPr>
              <w:t>Please fill in here (in English). 請於此處以英文填寫，可附 圖 / 表 / 截圖。</w:t>
            </w:r>
          </w:p>
        </w:tc>
      </w:tr>
    </w:tbl>
    <w:p w14:paraId="14B36D13">
      <w:pPr/>
    </w:p>
    <w:p w14:paraId="5E37F7F1">
      <w:pPr>
        <w:spacing w:before="280" w:after="80"/>
      </w:pPr>
      <w:r>
        <w:rPr>
          <w:b/>
          <w:color w:val="003D7A"/>
          <w:sz w:val="26"/>
        </w:rPr>
        <w:t>3.3 End-to-End Technical Design</w:t>
      </w:r>
    </w:p>
    <w:p w14:paraId="77B8EA63">
      <w:pPr>
        <w:spacing w:after="60"/>
        <w:ind w:left="360"/>
      </w:pPr>
      <w:r>
        <w:rPr>
          <w:color w:val="222222"/>
          <w:sz w:val="20"/>
        </w:rPr>
        <w:t>• Extraction → comparison → verification → irregularity detection → result delivery</w:t>
      </w:r>
    </w:p>
    <w:p w14:paraId="1579F5EA">
      <w:pPr>
        <w:spacing w:after="60"/>
        <w:ind w:left="360"/>
      </w:pPr>
      <w:r>
        <w:rPr>
          <w:color w:val="222222"/>
          <w:sz w:val="20"/>
        </w:rPr>
        <w:t>• Crop / highlight of problematic regions inside the Cross-Check Report PDF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CCBBECB">
        <w:tblPrEx>
          <w:tblLayout w:type="fixed"/>
        </w:tblPrEx>
        <w:trPr>
          <w:trHeight w:val="2880" w:hRule="atLeast"/>
          <w:jc w:val="center"/>
        </w:trPr>
        <w:tc>
          <w:tcPr>
            <w:tcW w:w="10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</w:tcPr>
          <w:p w14:paraId="1BECBFD4">
            <w:pPr/>
            <w:r>
              <w:rPr>
                <w:i/>
                <w:color w:val="999999"/>
                <w:sz w:val="20"/>
              </w:rPr>
              <w:t>Please fill in here (in English). 請於此處以英文填寫，可附 圖 / 表 / 截圖。</w:t>
            </w:r>
          </w:p>
        </w:tc>
      </w:tr>
    </w:tbl>
    <w:p w14:paraId="49BB22A6">
      <w:pPr/>
    </w:p>
    <w:p w14:paraId="68499000">
      <w:pPr>
        <w:spacing w:before="280" w:after="80"/>
      </w:pPr>
      <w:r>
        <w:rPr>
          <w:b/>
          <w:color w:val="003D7A"/>
          <w:sz w:val="26"/>
        </w:rPr>
        <w:t>3.4 Accuracy Rate &amp; Calculation Method (please propose)</w:t>
      </w:r>
    </w:p>
    <w:p w14:paraId="0FC6756D">
      <w:pPr>
        <w:spacing w:after="120"/>
      </w:pPr>
      <w:r>
        <w:rPr>
          <w:i/>
          <w:color w:val="222222"/>
          <w:sz w:val="20"/>
        </w:rPr>
        <w:t>Please complete: (a) committed accuracy % (b) accuracy definition (e.g. character / word / field / business-level) (c) measurement method (test set size, metrics such as precision / recall / F1).  請填寫：(a) 承諾準確率 % (b) 準確率定義 (c) 量測方法。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216F32C0">
        <w:tblPrEx>
          <w:tblLayout w:type="fixed"/>
        </w:tblPrEx>
        <w:trPr>
          <w:trHeight w:val="576" w:hRule="atLeast"/>
          <w:jc w:val="center"/>
        </w:trPr>
        <w:tc>
          <w:tcPr>
            <w:tcW w:w="2550" w:type="dxa"/>
            <w:shd w:val="clear" w:color="auto" w:fill="003D7A"/>
            <w:vAlign w:val="center"/>
          </w:tcPr>
          <w:p w14:paraId="52E7A0C6">
            <w:pPr/>
            <w:r>
              <w:rPr>
                <w:b/>
                <w:color w:val="FFFFFF"/>
                <w:sz w:val="20"/>
              </w:rPr>
              <w:t>AI Function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553CD941">
            <w:pPr/>
            <w:r>
              <w:rPr>
                <w:b/>
                <w:color w:val="FFFFFF"/>
                <w:sz w:val="20"/>
              </w:rPr>
              <w:t>Committed Accuracy (%)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2E03F4D0">
            <w:pPr/>
            <w:r>
              <w:rPr>
                <w:b/>
                <w:color w:val="FFFFFF"/>
                <w:sz w:val="20"/>
              </w:rPr>
              <w:t>Accuracy Definition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208DA6EE">
            <w:pPr/>
            <w:r>
              <w:rPr>
                <w:b/>
                <w:color w:val="FFFFFF"/>
                <w:sz w:val="20"/>
              </w:rPr>
              <w:t>Measurement Method</w:t>
            </w:r>
          </w:p>
        </w:tc>
      </w:tr>
      <w:tr w14:paraId="02D80D67">
        <w:tblPrEx>
          <w:tblLayout w:type="fixed"/>
        </w:tblPrEx>
        <w:trPr>
          <w:trHeight w:val="1007" w:hRule="atLeast"/>
          <w:jc w:val="center"/>
        </w:trPr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1D66CDD6">
            <w:pPr/>
            <w:r>
              <w:rPr>
                <w:b/>
                <w:color w:val="222222"/>
                <w:sz w:val="20"/>
              </w:rPr>
              <w:t>Intelligent Data Verification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545F3023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0331241E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0A577DA2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</w:tr>
    </w:tbl>
    <w:p w14:paraId="3B01446F">
      <w:pPr/>
    </w:p>
    <w:p w14:paraId="440307CB">
      <w:pPr/>
      <w:r>
        <w:br w:type="page"/>
      </w:r>
    </w:p>
    <w:p w14:paraId="4E550B5D">
      <w:pPr>
        <w:spacing w:before="440" w:after="80"/>
      </w:pPr>
      <w:r>
        <w:rPr>
          <w:b/>
          <w:color w:val="003D7A"/>
          <w:sz w:val="32"/>
        </w:rPr>
        <w:t>4. Intelligent Minutes Drafting（智能 Minutes 草擬）</w:t>
      </w:r>
    </w:p>
    <w:p w14:paraId="0DFCC93E">
      <w:pPr>
        <w:spacing w:after="80"/>
      </w:pPr>
      <w:r>
        <w:rPr>
          <w:i/>
          <w:color w:val="555555"/>
          <w:sz w:val="19"/>
        </w:rPr>
        <w:t>[ Annex I Table 1 — Minutes Drafting · RFI 4.2.3 ]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6F91DDC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58EA2D71">
            <w:pPr>
              <w:spacing w:after="80"/>
            </w:pPr>
            <w:r>
              <w:rPr>
                <w:b/>
                <w:color w:val="003D7A"/>
                <w:sz w:val="18"/>
              </w:rPr>
              <w:t>Annex I Table 1 — Original (English):</w:t>
            </w:r>
          </w:p>
          <w:p w14:paraId="6D02323F">
            <w:pPr>
              <w:spacing w:after="40"/>
            </w:pPr>
            <w:r>
              <w:rPr>
                <w:i/>
                <w:color w:val="333333"/>
                <w:sz w:val="19"/>
              </w:rPr>
              <w:t>Intelligent Minutes Drafting</w:t>
            </w:r>
          </w:p>
          <w:p w14:paraId="6EE6C2B2">
            <w:pPr>
              <w:spacing w:after="40"/>
            </w:pPr>
            <w:r>
              <w:rPr>
                <w:i/>
                <w:color w:val="333333"/>
                <w:sz w:val="19"/>
              </w:rPr>
              <w:t>• Description of the AI technologies and algorithms employed to assist in selecting the most appropriate minutes templates, based on the case nature and context;</w:t>
            </w:r>
          </w:p>
          <w:p w14:paraId="3ABCACDE">
            <w:pPr>
              <w:spacing w:after="40"/>
            </w:pPr>
            <w:r>
              <w:rPr>
                <w:i/>
                <w:color w:val="333333"/>
                <w:sz w:val="19"/>
              </w:rPr>
              <w:t>• Description of the AI technologies and algorithms employed to automatically populate the chosen templates with relevant information extracted from structured data;</w:t>
            </w:r>
          </w:p>
          <w:p w14:paraId="7A6051BE">
            <w:pPr>
              <w:spacing w:after="40"/>
            </w:pPr>
            <w:r>
              <w:rPr>
                <w:i/>
                <w:color w:val="333333"/>
                <w:sz w:val="19"/>
              </w:rPr>
              <w:t>• Description on the Proposed Solution illustrating the end-to-end process — from template selection, information extraction, automated filling, and verification — aimed at reducing manual effort while ensuring accuracy and consistency.</w:t>
            </w:r>
          </w:p>
        </w:tc>
      </w:tr>
      <w:tr w14:paraId="08A68625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40A0781A">
            <w:pPr>
              <w:spacing w:after="80"/>
            </w:pPr>
            <w:r>
              <w:rPr>
                <w:b/>
                <w:color w:val="3A5A00"/>
                <w:sz w:val="18"/>
              </w:rPr>
              <w:t>中文解釋 (CMHK reference)：</w:t>
            </w:r>
          </w:p>
          <w:p w14:paraId="1C80C6B0">
            <w:pPr>
              <w:spacing w:after="40"/>
            </w:pPr>
            <w:r>
              <w:rPr>
                <w:i/>
                <w:color w:val="333333"/>
                <w:sz w:val="19"/>
              </w:rPr>
              <w:t>智能 Minutes 草擬</w:t>
            </w:r>
          </w:p>
          <w:p w14:paraId="616256A6">
            <w:pPr>
              <w:spacing w:after="40"/>
            </w:pPr>
            <w:r>
              <w:rPr>
                <w:i/>
                <w:color w:val="333333"/>
                <w:sz w:val="19"/>
              </w:rPr>
              <w:t>• 描述根據 case 性質與情境協助選擇最適合 Minutes 模板之 AI 技術與算法</w:t>
            </w:r>
          </w:p>
          <w:p w14:paraId="7D7118D5">
            <w:pPr>
              <w:spacing w:after="40"/>
            </w:pPr>
            <w:r>
              <w:rPr>
                <w:i/>
                <w:color w:val="333333"/>
                <w:sz w:val="19"/>
              </w:rPr>
              <w:t>• 描述自動將結構化資料填入所選模板之 AI 技術與算法</w:t>
            </w:r>
          </w:p>
          <w:p w14:paraId="3B88D02E">
            <w:pPr>
              <w:spacing w:after="40"/>
            </w:pPr>
            <w:r>
              <w:rPr>
                <w:i/>
                <w:color w:val="333333"/>
                <w:sz w:val="19"/>
              </w:rPr>
              <w:t>• 描述方案端到端流程（模板選擇 → 抽取 → 自動填入 → 驗證），目標在減少人工同時確保準確性與一致性</w:t>
            </w:r>
          </w:p>
        </w:tc>
      </w:tr>
    </w:tbl>
    <w:p w14:paraId="588F571F">
      <w:pPr/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E2008ED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21FA89DF">
            <w:pPr>
              <w:spacing w:after="80"/>
            </w:pPr>
            <w:r>
              <w:rPr>
                <w:b/>
                <w:color w:val="003D7A"/>
                <w:sz w:val="18"/>
              </w:rPr>
              <w:t>RFI 4.2.3 — Original (English):</w:t>
            </w:r>
          </w:p>
          <w:p w14:paraId="1AF49521">
            <w:pPr>
              <w:spacing w:after="40"/>
            </w:pPr>
            <w:r>
              <w:rPr>
                <w:i/>
                <w:color w:val="333333"/>
                <w:sz w:val="19"/>
              </w:rPr>
              <w:t>4.2.3 Intelligent Minutes Drafting</w:t>
            </w:r>
          </w:p>
          <w:p w14:paraId="5FD5B72F">
            <w:pPr>
              <w:spacing w:after="40"/>
            </w:pPr>
            <w:r>
              <w:rPr>
                <w:i/>
                <w:color w:val="333333"/>
                <w:sz w:val="19"/>
              </w:rPr>
              <w:t>4.2.3.1 Shall be able to generate draft minutes based on minutes template (in DOCX format)</w:t>
            </w:r>
          </w:p>
          <w:p w14:paraId="34C01B5E">
            <w:pPr>
              <w:spacing w:after="40"/>
            </w:pPr>
            <w:r>
              <w:rPr>
                <w:i/>
                <w:color w:val="333333"/>
                <w:sz w:val="19"/>
              </w:rPr>
              <w:t>4.2.3.2 Shall be able to generate minutes according to structured data, result of the above functions 4.2.1 and 4.2.2, and business/workflow logic.</w:t>
            </w:r>
          </w:p>
          <w:p w14:paraId="64262557">
            <w:pPr>
              <w:spacing w:after="40"/>
            </w:pPr>
            <w:r>
              <w:rPr>
                <w:i/>
                <w:color w:val="333333"/>
                <w:sz w:val="19"/>
              </w:rPr>
              <w:t>4.2.3.3 Shall generate and export related statistics data and reports</w:t>
            </w:r>
          </w:p>
        </w:tc>
      </w:tr>
      <w:tr w14:paraId="7E65A75E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26EC7462">
            <w:pPr>
              <w:spacing w:after="80"/>
            </w:pPr>
            <w:r>
              <w:rPr>
                <w:b/>
                <w:color w:val="3A5A00"/>
                <w:sz w:val="18"/>
              </w:rPr>
              <w:t>中文解釋 (CMHK reference)：</w:t>
            </w:r>
          </w:p>
          <w:p w14:paraId="0E3382B6">
            <w:pPr>
              <w:spacing w:after="40"/>
            </w:pPr>
            <w:r>
              <w:rPr>
                <w:i/>
                <w:color w:val="333333"/>
                <w:sz w:val="19"/>
              </w:rPr>
              <w:t>4.2.3 智能 Minutes 草擬</w:t>
            </w:r>
          </w:p>
          <w:p w14:paraId="251FCAD8">
            <w:pPr>
              <w:spacing w:after="40"/>
            </w:pPr>
            <w:r>
              <w:rPr>
                <w:i/>
                <w:color w:val="333333"/>
                <w:sz w:val="19"/>
              </w:rPr>
              <w:t>4.2.3.1 應能基於 Minutes 模板（DOCX 格式）生成 Minutes 草稿</w:t>
            </w:r>
          </w:p>
          <w:p w14:paraId="37147E3F">
            <w:pPr>
              <w:spacing w:after="40"/>
            </w:pPr>
            <w:r>
              <w:rPr>
                <w:i/>
                <w:color w:val="333333"/>
                <w:sz w:val="19"/>
              </w:rPr>
              <w:t>4.2.3.2 應能根據結構化資料、4.2.1 與 4.2.2 之結果，以及業務 / 工作流邏輯生成 Minutes</w:t>
            </w:r>
          </w:p>
          <w:p w14:paraId="209CBCE3">
            <w:pPr>
              <w:spacing w:after="40"/>
            </w:pPr>
            <w:r>
              <w:rPr>
                <w:i/>
                <w:color w:val="333333"/>
                <w:sz w:val="19"/>
              </w:rPr>
              <w:t>4.2.3.3 應生成並匯出相關統計資料與報表</w:t>
            </w:r>
          </w:p>
        </w:tc>
      </w:tr>
    </w:tbl>
    <w:p w14:paraId="7B39A272">
      <w:pPr/>
    </w:p>
    <w:p w14:paraId="450E7749">
      <w:pPr>
        <w:spacing w:before="280" w:after="80"/>
      </w:pPr>
      <w:r>
        <w:rPr>
          <w:b/>
          <w:color w:val="003D7A"/>
          <w:sz w:val="26"/>
        </w:rPr>
        <w:t>4.1 AI Tech — Template Selection</w:t>
      </w:r>
    </w:p>
    <w:p w14:paraId="3EF7BCFE">
      <w:pPr>
        <w:spacing w:after="60"/>
        <w:ind w:left="360"/>
      </w:pPr>
      <w:r>
        <w:rPr>
          <w:color w:val="222222"/>
          <w:sz w:val="20"/>
        </w:rPr>
        <w:t>• AI tech for selecting most appropriate minutes template based on case nature &amp; context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A51046A">
        <w:tblPrEx>
          <w:tblLayout w:type="fixed"/>
        </w:tblPrEx>
        <w:trPr>
          <w:trHeight w:val="2880" w:hRule="atLeast"/>
          <w:jc w:val="center"/>
        </w:trPr>
        <w:tc>
          <w:tcPr>
            <w:tcW w:w="10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</w:tcPr>
          <w:p w14:paraId="15D67E56">
            <w:pPr/>
            <w:r>
              <w:rPr>
                <w:i/>
                <w:color w:val="999999"/>
                <w:sz w:val="20"/>
              </w:rPr>
              <w:t>Please fill in here (in English). 請於此處以英文填寫，可附 圖 / 表 / 截圖。</w:t>
            </w:r>
          </w:p>
        </w:tc>
      </w:tr>
    </w:tbl>
    <w:p w14:paraId="5B914D2F">
      <w:pPr/>
    </w:p>
    <w:p w14:paraId="661EEBC3">
      <w:pPr>
        <w:spacing w:before="280" w:after="80"/>
      </w:pPr>
      <w:r>
        <w:rPr>
          <w:b/>
          <w:color w:val="003D7A"/>
          <w:sz w:val="26"/>
        </w:rPr>
        <w:t>4.2 AI Tech — Auto-Populate</w:t>
      </w:r>
    </w:p>
    <w:p w14:paraId="433A28EB">
      <w:pPr>
        <w:spacing w:after="60"/>
        <w:ind w:left="360"/>
      </w:pPr>
      <w:r>
        <w:rPr>
          <w:color w:val="222222"/>
          <w:sz w:val="20"/>
        </w:rPr>
        <w:t>• AI tech for auto-populating template with extracted structured data (LLM + template rendering + RAG)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790E847">
        <w:tblPrEx>
          <w:tblLayout w:type="fixed"/>
        </w:tblPrEx>
        <w:trPr>
          <w:trHeight w:val="2880" w:hRule="atLeast"/>
          <w:jc w:val="center"/>
        </w:trPr>
        <w:tc>
          <w:tcPr>
            <w:tcW w:w="10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</w:tcPr>
          <w:p w14:paraId="146A8806">
            <w:pPr/>
            <w:r>
              <w:rPr>
                <w:i/>
                <w:color w:val="999999"/>
                <w:sz w:val="20"/>
              </w:rPr>
              <w:t>Please fill in here (in English). 請於此處以英文填寫，可附 圖 / 表 / 截圖。</w:t>
            </w:r>
          </w:p>
        </w:tc>
      </w:tr>
    </w:tbl>
    <w:p w14:paraId="7FC69E0A">
      <w:pPr/>
    </w:p>
    <w:p w14:paraId="60867399">
      <w:pPr>
        <w:spacing w:before="280" w:after="80"/>
      </w:pPr>
      <w:r>
        <w:rPr>
          <w:b/>
          <w:color w:val="003D7A"/>
          <w:sz w:val="26"/>
        </w:rPr>
        <w:t>4.3 End-to-End Technical Design</w:t>
      </w:r>
    </w:p>
    <w:p w14:paraId="0707182A">
      <w:pPr>
        <w:spacing w:after="60"/>
        <w:ind w:left="360"/>
      </w:pPr>
      <w:r>
        <w:rPr>
          <w:color w:val="222222"/>
          <w:sz w:val="20"/>
        </w:rPr>
        <w:t>• Template selection → information extraction → auto-fill → verification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09465E2">
        <w:tblPrEx>
          <w:tblLayout w:type="fixed"/>
        </w:tblPrEx>
        <w:trPr>
          <w:trHeight w:val="2880" w:hRule="atLeast"/>
          <w:jc w:val="center"/>
        </w:trPr>
        <w:tc>
          <w:tcPr>
            <w:tcW w:w="10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</w:tcPr>
          <w:p w14:paraId="7EB46DC6">
            <w:pPr/>
            <w:r>
              <w:rPr>
                <w:i/>
                <w:color w:val="999999"/>
                <w:sz w:val="20"/>
              </w:rPr>
              <w:t>Please fill in here (in English). 請於此處以英文填寫，可附 圖 / 表 / 截圖。</w:t>
            </w:r>
          </w:p>
        </w:tc>
      </w:tr>
    </w:tbl>
    <w:p w14:paraId="5459A2E4">
      <w:pPr/>
    </w:p>
    <w:p w14:paraId="03170C1F">
      <w:pPr/>
      <w:r>
        <w:br w:type="page"/>
      </w:r>
    </w:p>
    <w:p w14:paraId="234784A0">
      <w:pPr>
        <w:spacing w:before="440" w:after="80"/>
      </w:pPr>
      <w:r>
        <w:rPr>
          <w:b/>
          <w:color w:val="003D7A"/>
          <w:sz w:val="32"/>
        </w:rPr>
        <w:t>5. Combined Workflow（整合工作流）</w:t>
      </w:r>
    </w:p>
    <w:p w14:paraId="2BE1B429">
      <w:pPr>
        <w:spacing w:after="80"/>
      </w:pPr>
      <w:r>
        <w:rPr>
          <w:i/>
          <w:color w:val="555555"/>
          <w:sz w:val="19"/>
        </w:rPr>
        <w:t>[ Annex I Table 1 — Combined Workflow · RFI 4.2.4 + 4.2.6 ]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6414E67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7644A7CA">
            <w:pPr>
              <w:spacing w:after="80"/>
            </w:pPr>
            <w:r>
              <w:rPr>
                <w:b/>
                <w:color w:val="003D7A"/>
                <w:sz w:val="18"/>
              </w:rPr>
              <w:t>Annex I Table 1 — Original (English):</w:t>
            </w:r>
          </w:p>
          <w:p w14:paraId="65DC67AE">
            <w:pPr>
              <w:spacing w:after="40"/>
            </w:pPr>
            <w:r>
              <w:rPr>
                <w:i/>
                <w:color w:val="333333"/>
                <w:sz w:val="19"/>
              </w:rPr>
              <w:t>Combined Workflow</w:t>
            </w:r>
          </w:p>
          <w:p w14:paraId="5EAD278C">
            <w:pPr>
              <w:spacing w:after="40"/>
            </w:pPr>
            <w:r>
              <w:rPr>
                <w:i/>
                <w:color w:val="333333"/>
                <w:sz w:val="19"/>
              </w:rPr>
              <w:t>• Description on the Proposed Solution of the technical design illustrating the end-to-end combined functional workflow — from data intake to result delivery across all the major functions and delivery of the result to other ImmD Systems.</w:t>
            </w:r>
          </w:p>
          <w:p w14:paraId="559D9344">
            <w:pPr>
              <w:spacing w:after="40"/>
            </w:pPr>
            <w:r>
              <w:rPr>
                <w:i/>
                <w:color w:val="333333"/>
                <w:sz w:val="19"/>
              </w:rPr>
              <w:t>• Description of the proposed accuracy rate for the AI solution and how to calculate / determine the accuracy rate.</w:t>
            </w:r>
          </w:p>
        </w:tc>
      </w:tr>
      <w:tr w14:paraId="154F3701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233E712D">
            <w:pPr>
              <w:spacing w:after="80"/>
            </w:pPr>
            <w:r>
              <w:rPr>
                <w:b/>
                <w:color w:val="3A5A00"/>
                <w:sz w:val="18"/>
              </w:rPr>
              <w:t>中文解釋 (CMHK reference)：</w:t>
            </w:r>
          </w:p>
          <w:p w14:paraId="103357DF">
            <w:pPr>
              <w:spacing w:after="40"/>
            </w:pPr>
            <w:r>
              <w:rPr>
                <w:i/>
                <w:color w:val="333333"/>
                <w:sz w:val="19"/>
              </w:rPr>
              <w:t>整合工作流</w:t>
            </w:r>
          </w:p>
          <w:p w14:paraId="1CED4CAA">
            <w:pPr>
              <w:spacing w:after="40"/>
            </w:pPr>
            <w:r>
              <w:rPr>
                <w:i/>
                <w:color w:val="333333"/>
                <w:sz w:val="19"/>
              </w:rPr>
              <w:t>• 描述端到端整合功能工作流方案技術設計（資料進件 → 主要功能處理 → 結果交付至其他 ImmD 系統）</w:t>
            </w:r>
          </w:p>
          <w:p w14:paraId="6C632704">
            <w:pPr>
              <w:spacing w:after="40"/>
            </w:pPr>
            <w:r>
              <w:rPr>
                <w:i/>
                <w:color w:val="333333"/>
                <w:sz w:val="19"/>
              </w:rPr>
              <w:t>• 描述貴方建議之 AI 方案準確率及計算 / 判定方法</w:t>
            </w:r>
          </w:p>
        </w:tc>
      </w:tr>
    </w:tbl>
    <w:p w14:paraId="43808C8C">
      <w:pPr/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230E6F0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3D4DB26C">
            <w:pPr>
              <w:spacing w:after="80"/>
            </w:pPr>
            <w:r>
              <w:rPr>
                <w:b/>
                <w:color w:val="003D7A"/>
                <w:sz w:val="18"/>
              </w:rPr>
              <w:t>RFI 4.2.4 — Original (English):</w:t>
            </w:r>
          </w:p>
          <w:p w14:paraId="4BF14C1D">
            <w:pPr>
              <w:spacing w:after="40"/>
            </w:pPr>
            <w:r>
              <w:rPr>
                <w:i/>
                <w:color w:val="333333"/>
                <w:sz w:val="19"/>
              </w:rPr>
              <w:t>4.2.4 Combined Workflow</w:t>
            </w:r>
          </w:p>
          <w:p w14:paraId="41530E26">
            <w:pPr>
              <w:spacing w:after="40"/>
            </w:pPr>
            <w:r>
              <w:rPr>
                <w:i/>
                <w:color w:val="333333"/>
                <w:sz w:val="19"/>
              </w:rPr>
              <w:t>4.2.4.1 Shall be able to automatic integrate above functions 4.2.1, 4.2.2 and 4.2.3 into a streamline workflow.</w:t>
            </w:r>
          </w:p>
          <w:p w14:paraId="2C7842F4">
            <w:pPr>
              <w:spacing w:after="40"/>
            </w:pPr>
            <w:r>
              <w:rPr>
                <w:i/>
                <w:color w:val="333333"/>
                <w:sz w:val="19"/>
              </w:rPr>
              <w:t>4.2.4.2 The new AI Solutions shall ingest case application data, e.g. structured and unstructured data from other ImmD systems and deliver the results — including data, images, and reports — to ImmD systems via API or dedicated interfaces</w:t>
            </w:r>
          </w:p>
        </w:tc>
      </w:tr>
      <w:tr w14:paraId="4F964FC9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72E59F2D">
            <w:pPr>
              <w:spacing w:after="80"/>
            </w:pPr>
            <w:r>
              <w:rPr>
                <w:b/>
                <w:color w:val="3A5A00"/>
                <w:sz w:val="18"/>
              </w:rPr>
              <w:t>中文解釋 (CMHK reference)：</w:t>
            </w:r>
          </w:p>
          <w:p w14:paraId="7261FA64">
            <w:pPr>
              <w:spacing w:after="40"/>
            </w:pPr>
            <w:r>
              <w:rPr>
                <w:i/>
                <w:color w:val="333333"/>
                <w:sz w:val="19"/>
              </w:rPr>
              <w:t>4.2.4 整合工作流</w:t>
            </w:r>
          </w:p>
          <w:p w14:paraId="56A5F55D">
            <w:pPr>
              <w:spacing w:after="40"/>
            </w:pPr>
            <w:r>
              <w:rPr>
                <w:i/>
                <w:color w:val="333333"/>
                <w:sz w:val="19"/>
              </w:rPr>
              <w:t>4.2.4.1 應將上述 4.2.1 / 4.2.2 / 4.2.3 功能自動整合為流暢的工作流</w:t>
            </w:r>
          </w:p>
          <w:p w14:paraId="5BA18CD1">
            <w:pPr>
              <w:spacing w:after="40"/>
            </w:pPr>
            <w:r>
              <w:rPr>
                <w:i/>
                <w:color w:val="333333"/>
                <w:sz w:val="19"/>
              </w:rPr>
              <w:t>4.2.4.2 新 AI 方案應從其他 ImmD 系統接收 case 申請資料（結構化及非結構化），並透過 API 或專用介面將結果（資料、圖像、報表）交付至 ImmD 系統</w:t>
            </w:r>
          </w:p>
        </w:tc>
      </w:tr>
    </w:tbl>
    <w:p w14:paraId="0180F4F0">
      <w:pPr/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C2444EA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5D205114">
            <w:pPr>
              <w:spacing w:after="80"/>
            </w:pPr>
            <w:r>
              <w:rPr>
                <w:b/>
                <w:color w:val="003D7A"/>
                <w:sz w:val="18"/>
              </w:rPr>
              <w:t>RFI 4.2.6 — Original (English):</w:t>
            </w:r>
          </w:p>
          <w:p w14:paraId="15D91654">
            <w:pPr>
              <w:spacing w:after="40"/>
            </w:pPr>
            <w:r>
              <w:rPr>
                <w:i/>
                <w:color w:val="333333"/>
                <w:sz w:val="19"/>
              </w:rPr>
              <w:t>4.2.6 Interface with ImmD Systems</w:t>
            </w:r>
          </w:p>
          <w:p w14:paraId="3E563C2E">
            <w:pPr>
              <w:spacing w:after="40"/>
            </w:pPr>
            <w:r>
              <w:rPr>
                <w:i/>
                <w:color w:val="333333"/>
                <w:sz w:val="19"/>
              </w:rPr>
              <w:t>4.2.6.1 Shall be integrate with existing workflow ImmD System(s) through interface or API for above functions;</w:t>
            </w:r>
          </w:p>
          <w:p w14:paraId="0C4A53E7">
            <w:pPr>
              <w:spacing w:after="40"/>
            </w:pPr>
            <w:r>
              <w:rPr>
                <w:i/>
                <w:color w:val="333333"/>
                <w:sz w:val="19"/>
              </w:rPr>
              <w:t>4.2.6.2 Shall be able to receive application information including structured and unstructured data e.g. documents and images through interface or API of another internal ImmD System(s)</w:t>
            </w:r>
          </w:p>
          <w:p w14:paraId="32EF7F36">
            <w:pPr>
              <w:spacing w:after="40"/>
            </w:pPr>
            <w:r>
              <w:rPr>
                <w:i/>
                <w:color w:val="333333"/>
                <w:sz w:val="19"/>
              </w:rPr>
              <w:t>4.2.6.3 Shall be able to provide the result of above major functions such as Clause 4.2.1, 4.2.2 and 4.2.3 through interface or API to another internal ImmD System(s)</w:t>
            </w:r>
          </w:p>
          <w:p w14:paraId="7BF329B8">
            <w:pPr>
              <w:spacing w:after="40"/>
            </w:pPr>
            <w:r>
              <w:rPr>
                <w:i/>
                <w:color w:val="333333"/>
                <w:sz w:val="19"/>
              </w:rPr>
              <w:t>4.2.6.4 Shall allow exchange and enquiry of data through interface or API of another internal ImmD System(s) provided by ImmD which is/are located in another network zone.</w:t>
            </w:r>
          </w:p>
          <w:p w14:paraId="14164682">
            <w:pPr>
              <w:spacing w:after="40"/>
            </w:pPr>
            <w:r>
              <w:rPr>
                <w:i/>
                <w:color w:val="333333"/>
                <w:sz w:val="19"/>
              </w:rPr>
              <w:t>4.2.6.5 Shall develop interface or API in case the existing developed interface or API is not applicable to the new AI Solutions.</w:t>
            </w:r>
          </w:p>
        </w:tc>
      </w:tr>
      <w:tr w14:paraId="116CCF6E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28A79B9A">
            <w:pPr>
              <w:spacing w:after="80"/>
            </w:pPr>
            <w:r>
              <w:rPr>
                <w:b/>
                <w:color w:val="3A5A00"/>
                <w:sz w:val="18"/>
              </w:rPr>
              <w:t>中文解釋 (CMHK reference)：</w:t>
            </w:r>
          </w:p>
          <w:p w14:paraId="27554EDD">
            <w:pPr>
              <w:spacing w:after="40"/>
            </w:pPr>
            <w:r>
              <w:rPr>
                <w:i/>
                <w:color w:val="333333"/>
                <w:sz w:val="19"/>
              </w:rPr>
              <w:t>4.2.6 與 ImmD 系統之介面</w:t>
            </w:r>
          </w:p>
          <w:p w14:paraId="670F83A2">
            <w:pPr>
              <w:spacing w:after="40"/>
            </w:pPr>
            <w:r>
              <w:rPr>
                <w:i/>
                <w:color w:val="333333"/>
                <w:sz w:val="19"/>
              </w:rPr>
              <w:t>4.2.6.1 應透過介面或 API 與既有 ImmD 工作流系統整合</w:t>
            </w:r>
          </w:p>
          <w:p w14:paraId="332D2DC6">
            <w:pPr>
              <w:spacing w:after="40"/>
            </w:pPr>
            <w:r>
              <w:rPr>
                <w:i/>
                <w:color w:val="333333"/>
                <w:sz w:val="19"/>
              </w:rPr>
              <w:t>4.2.6.2 應能透過其他內部 ImmD 系統之介面或 API 接收申請資料（結構化與非結構化，如文件、圖像）</w:t>
            </w:r>
          </w:p>
          <w:p w14:paraId="30E49170">
            <w:pPr>
              <w:spacing w:after="40"/>
            </w:pPr>
            <w:r>
              <w:rPr>
                <w:i/>
                <w:color w:val="333333"/>
                <w:sz w:val="19"/>
              </w:rPr>
              <w:t>4.2.6.3 應能透過介面或 API 將上述主要功能（4.2.1 / 4.2.2 / 4.2.3）之結果提供至其他內部 ImmD 系統</w:t>
            </w:r>
          </w:p>
          <w:p w14:paraId="20B5366A">
            <w:pPr>
              <w:spacing w:after="40"/>
            </w:pPr>
            <w:r>
              <w:rPr>
                <w:i/>
                <w:color w:val="333333"/>
                <w:sz w:val="19"/>
              </w:rPr>
              <w:t>4.2.6.4 應允許透過位於不同網路區之 ImmD 系統介面或 API 進行資料交換與查詢</w:t>
            </w:r>
          </w:p>
          <w:p w14:paraId="5038182A">
            <w:pPr>
              <w:spacing w:after="40"/>
            </w:pPr>
            <w:r>
              <w:rPr>
                <w:i/>
                <w:color w:val="333333"/>
                <w:sz w:val="19"/>
              </w:rPr>
              <w:t>4.2.6.5 若既有介面或 API 不適用於新 AI 方案，應開發新的介面或 API</w:t>
            </w:r>
          </w:p>
        </w:tc>
      </w:tr>
    </w:tbl>
    <w:p w14:paraId="75C40DE6">
      <w:pPr/>
    </w:p>
    <w:p w14:paraId="0FCFBE1F">
      <w:pPr>
        <w:spacing w:before="280" w:after="80"/>
      </w:pPr>
      <w:r>
        <w:rPr>
          <w:b/>
          <w:color w:val="003D7A"/>
          <w:sz w:val="26"/>
        </w:rPr>
        <w:t>5.1 End-to-End Combined Workflow</w:t>
      </w:r>
    </w:p>
    <w:p w14:paraId="02D97B8E">
      <w:pPr>
        <w:spacing w:after="60"/>
        <w:ind w:left="360"/>
      </w:pPr>
      <w:r>
        <w:rPr>
          <w:color w:val="222222"/>
          <w:sz w:val="20"/>
        </w:rPr>
        <w:t>• Integrated end-to-end workflow — from data intake to result delivery across all three major functions</w:t>
      </w:r>
    </w:p>
    <w:p w14:paraId="741CE018">
      <w:pPr>
        <w:spacing w:after="60"/>
        <w:ind w:left="360"/>
      </w:pPr>
      <w:r>
        <w:rPr>
          <w:color w:val="222222"/>
          <w:sz w:val="20"/>
        </w:rPr>
        <w:t>• Deliver dual PDF (Cross-Check Report + Minutes Draft) + JSON metadata to APPLIES-2 main system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A3D15CF">
        <w:tblPrEx>
          <w:tblLayout w:type="fixed"/>
        </w:tblPrEx>
        <w:trPr>
          <w:trHeight w:val="3600" w:hRule="atLeast"/>
          <w:jc w:val="center"/>
        </w:trPr>
        <w:tc>
          <w:tcPr>
            <w:tcW w:w="10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</w:tcPr>
          <w:p w14:paraId="7137948C">
            <w:pPr/>
            <w:r>
              <w:rPr>
                <w:i/>
                <w:color w:val="999999"/>
                <w:sz w:val="20"/>
              </w:rPr>
              <w:t>Please fill in here (in English). 請於此處以英文填寫，可附 圖 / 表 / 截圖。</w:t>
            </w:r>
          </w:p>
        </w:tc>
      </w:tr>
    </w:tbl>
    <w:p w14:paraId="419D4FF0">
      <w:pPr/>
    </w:p>
    <w:p w14:paraId="38D74F62">
      <w:pPr>
        <w:spacing w:before="280" w:after="80"/>
      </w:pPr>
      <w:r>
        <w:rPr>
          <w:b/>
          <w:color w:val="003D7A"/>
          <w:sz w:val="26"/>
        </w:rPr>
        <w:t>5.2 Interface with Other ImmD Systems</w:t>
      </w:r>
    </w:p>
    <w:p w14:paraId="20A05D97">
      <w:pPr>
        <w:spacing w:after="60"/>
        <w:ind w:left="360"/>
      </w:pPr>
      <w:r>
        <w:rPr>
          <w:color w:val="222222"/>
          <w:sz w:val="20"/>
        </w:rPr>
        <w:t>• Interfaces with APPLIES-2 and other ImmD systems (API / SFTP / MQ / cross-network-zone)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B20276D">
        <w:tblPrEx>
          <w:tblLayout w:type="fixed"/>
        </w:tblPrEx>
        <w:trPr>
          <w:trHeight w:val="2880" w:hRule="atLeast"/>
          <w:jc w:val="center"/>
        </w:trPr>
        <w:tc>
          <w:tcPr>
            <w:tcW w:w="10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</w:tcPr>
          <w:p w14:paraId="06E09447">
            <w:pPr/>
            <w:r>
              <w:rPr>
                <w:i/>
                <w:color w:val="999999"/>
                <w:sz w:val="20"/>
              </w:rPr>
              <w:t>Please fill in here (in English). 請於此處以英文填寫，可附 圖 / 表 / 截圖。</w:t>
            </w:r>
          </w:p>
        </w:tc>
      </w:tr>
    </w:tbl>
    <w:p w14:paraId="0896DD28">
      <w:pPr/>
    </w:p>
    <w:p w14:paraId="7A80DF0E">
      <w:pPr>
        <w:spacing w:before="280" w:after="80"/>
      </w:pPr>
      <w:r>
        <w:rPr>
          <w:b/>
          <w:color w:val="003D7A"/>
          <w:sz w:val="26"/>
        </w:rPr>
        <w:t>5.3 End-to-End Accuracy Rate &amp; Calculation Method (please propose)</w:t>
      </w:r>
    </w:p>
    <w:p w14:paraId="5A7DA55B">
      <w:pPr>
        <w:spacing w:after="120"/>
      </w:pPr>
      <w:r>
        <w:rPr>
          <w:i/>
          <w:color w:val="222222"/>
          <w:sz w:val="20"/>
        </w:rPr>
        <w:t>Please complete: (a) committed accuracy % (b) accuracy definition (e.g. character / word / field / business-level) (c) measurement method (test set size, metrics such as precision / recall / F1).  請填寫：(a) 承諾準確率 % (b) 準確率定義 (c) 量測方法。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32861CBF">
        <w:tblPrEx>
          <w:tblLayout w:type="fixed"/>
        </w:tblPrEx>
        <w:trPr>
          <w:trHeight w:val="576" w:hRule="atLeast"/>
          <w:jc w:val="center"/>
        </w:trPr>
        <w:tc>
          <w:tcPr>
            <w:tcW w:w="2550" w:type="dxa"/>
            <w:shd w:val="clear" w:color="auto" w:fill="003D7A"/>
            <w:vAlign w:val="center"/>
          </w:tcPr>
          <w:p w14:paraId="2CE91475">
            <w:pPr/>
            <w:r>
              <w:rPr>
                <w:b/>
                <w:color w:val="FFFFFF"/>
                <w:sz w:val="20"/>
              </w:rPr>
              <w:t>AI Function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26CE26DA">
            <w:pPr/>
            <w:r>
              <w:rPr>
                <w:b/>
                <w:color w:val="FFFFFF"/>
                <w:sz w:val="20"/>
              </w:rPr>
              <w:t>Committed Accuracy (%)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18157030">
            <w:pPr/>
            <w:r>
              <w:rPr>
                <w:b/>
                <w:color w:val="FFFFFF"/>
                <w:sz w:val="20"/>
              </w:rPr>
              <w:t>Accuracy Definition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7199DB38">
            <w:pPr/>
            <w:r>
              <w:rPr>
                <w:b/>
                <w:color w:val="FFFFFF"/>
                <w:sz w:val="20"/>
              </w:rPr>
              <w:t>Measurement Method</w:t>
            </w:r>
          </w:p>
        </w:tc>
      </w:tr>
      <w:tr w14:paraId="7B093BC1">
        <w:tblPrEx>
          <w:tblLayout w:type="fixed"/>
        </w:tblPrEx>
        <w:trPr>
          <w:trHeight w:val="1007" w:hRule="atLeast"/>
          <w:jc w:val="center"/>
        </w:trPr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14F6D7EE">
            <w:pPr/>
            <w:r>
              <w:rPr>
                <w:b/>
                <w:color w:val="222222"/>
                <w:sz w:val="20"/>
              </w:rPr>
              <w:t>Combined Workflow (End-to-End)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62F20F5A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705F2D3E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6F7835B3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</w:tr>
    </w:tbl>
    <w:p w14:paraId="41DFBCD0">
      <w:pPr/>
    </w:p>
    <w:p w14:paraId="318EBDA0">
      <w:pPr/>
      <w:r>
        <w:br w:type="page"/>
      </w:r>
    </w:p>
    <w:p w14:paraId="33D8BCC0">
      <w:pPr>
        <w:spacing w:before="440" w:after="80"/>
      </w:pPr>
      <w:r>
        <w:rPr>
          <w:b/>
          <w:color w:val="003D7A"/>
          <w:sz w:val="32"/>
        </w:rPr>
        <w:t>6. AI Requirement — Tuning, Feedback, Accuracy（持續優化）</w:t>
      </w:r>
    </w:p>
    <w:p w14:paraId="72B9F4D4">
      <w:pPr>
        <w:spacing w:after="80"/>
      </w:pPr>
      <w:r>
        <w:rPr>
          <w:i/>
          <w:color w:val="555555"/>
          <w:sz w:val="19"/>
        </w:rPr>
        <w:t>[ Annex I Table 1 — System Accuracy · RFI 4.2.5 ]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6C8B6D2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4543A5C7">
            <w:pPr>
              <w:spacing w:after="80"/>
            </w:pPr>
            <w:r>
              <w:rPr>
                <w:b/>
                <w:color w:val="003D7A"/>
                <w:sz w:val="18"/>
              </w:rPr>
              <w:t>RFI 4.2.5 — Original (English):</w:t>
            </w:r>
          </w:p>
          <w:p w14:paraId="4A47A6AD">
            <w:pPr>
              <w:spacing w:after="40"/>
            </w:pPr>
            <w:r>
              <w:rPr>
                <w:i/>
                <w:color w:val="333333"/>
                <w:sz w:val="19"/>
              </w:rPr>
              <w:t>4.2.5 AI Requirement</w:t>
            </w:r>
          </w:p>
          <w:p w14:paraId="7AB27538">
            <w:pPr>
              <w:spacing w:after="40"/>
            </w:pPr>
            <w:r>
              <w:rPr>
                <w:i/>
                <w:color w:val="333333"/>
                <w:sz w:val="19"/>
              </w:rPr>
              <w:t>4.2.5.1 Shall utilize cutting-edge OCR and AI technology including Generative AI, e.g., Large Language Models (LLMs) to support the functional requirements;</w:t>
            </w:r>
          </w:p>
          <w:p w14:paraId="29536C11">
            <w:pPr>
              <w:spacing w:after="40"/>
            </w:pPr>
            <w:r>
              <w:rPr>
                <w:i/>
                <w:color w:val="333333"/>
                <w:sz w:val="19"/>
              </w:rPr>
              <w:t>4.2.5.2 Shall implement a quantitative scoring mechanism for all AI processes to validate the accuracy</w:t>
            </w:r>
          </w:p>
          <w:p w14:paraId="64EA3909">
            <w:pPr>
              <w:spacing w:after="40"/>
            </w:pPr>
            <w:r>
              <w:rPr>
                <w:i/>
                <w:color w:val="333333"/>
                <w:sz w:val="19"/>
              </w:rPr>
              <w:t>4.2.5.3 Shall provide continuous model tuning and training services to ensure a sustained accuracy rate (e.g. 90%) throughout the Implementation and Maintenance period.</w:t>
            </w:r>
          </w:p>
          <w:p w14:paraId="60DF899D">
            <w:pPr>
              <w:spacing w:after="40"/>
            </w:pPr>
            <w:r>
              <w:rPr>
                <w:i/>
                <w:color w:val="333333"/>
                <w:sz w:val="19"/>
              </w:rPr>
              <w:t>4.2.5.4 Shall support various tuning and training methodologies including but not limited to supervised and unsupervised and Reinforcement Learning from Human Feedback (RLHF).</w:t>
            </w:r>
          </w:p>
          <w:p w14:paraId="02026AF8">
            <w:pPr>
              <w:spacing w:after="40"/>
            </w:pPr>
            <w:r>
              <w:rPr>
                <w:i/>
                <w:color w:val="333333"/>
                <w:sz w:val="19"/>
              </w:rPr>
              <w:t>4.2.5.5 Shall be able to export AI-generated results, data, images, and reports via standardized APIs or interfaces with internal ImmD System(s)</w:t>
            </w:r>
          </w:p>
          <w:p w14:paraId="2E5217A6">
            <w:pPr>
              <w:spacing w:after="40"/>
            </w:pPr>
            <w:r>
              <w:rPr>
                <w:i/>
                <w:color w:val="333333"/>
                <w:sz w:val="19"/>
              </w:rPr>
              <w:t>4.2.5.6 Shall provide standardized interface or API capture user feedback on AI results, driving higher accuracy and satisfaction</w:t>
            </w:r>
          </w:p>
          <w:p w14:paraId="27287F51">
            <w:pPr>
              <w:spacing w:after="40"/>
            </w:pPr>
            <w:r>
              <w:rPr>
                <w:i/>
                <w:color w:val="333333"/>
                <w:sz w:val="19"/>
              </w:rPr>
              <w:t>4.2.5.7 Shall allow technical staff to perform advanced model tuning, retraining, versioning, and deployment across the system ecosystem</w:t>
            </w:r>
          </w:p>
        </w:tc>
      </w:tr>
      <w:tr w14:paraId="0EB35626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54A38F6F">
            <w:pPr>
              <w:spacing w:after="80"/>
            </w:pPr>
            <w:r>
              <w:rPr>
                <w:b/>
                <w:color w:val="3A5A00"/>
                <w:sz w:val="18"/>
              </w:rPr>
              <w:t>中文解釋 (CMHK reference)：</w:t>
            </w:r>
          </w:p>
          <w:p w14:paraId="3B1FCCD6">
            <w:pPr>
              <w:spacing w:after="40"/>
            </w:pPr>
            <w:r>
              <w:rPr>
                <w:i/>
                <w:color w:val="333333"/>
                <w:sz w:val="19"/>
              </w:rPr>
              <w:t>4.2.5 AI 要求</w:t>
            </w:r>
          </w:p>
          <w:p w14:paraId="69124A24">
            <w:pPr>
              <w:spacing w:after="40"/>
            </w:pPr>
            <w:r>
              <w:rPr>
                <w:i/>
                <w:color w:val="333333"/>
                <w:sz w:val="19"/>
              </w:rPr>
              <w:t>4.2.5.1 應採用前沿 OCR 與 AI 技術（含生成式 AI，例如 LLM）以支援功能需求</w:t>
            </w:r>
          </w:p>
          <w:p w14:paraId="221082B0">
            <w:pPr>
              <w:spacing w:after="40"/>
            </w:pPr>
            <w:r>
              <w:rPr>
                <w:i/>
                <w:color w:val="333333"/>
                <w:sz w:val="19"/>
              </w:rPr>
              <w:t>4.2.5.2 應對所有 AI 流程實作量化評分機制以驗證準確率</w:t>
            </w:r>
          </w:p>
          <w:p w14:paraId="5C846072">
            <w:pPr>
              <w:spacing w:after="40"/>
            </w:pPr>
            <w:r>
              <w:rPr>
                <w:i/>
                <w:color w:val="333333"/>
                <w:sz w:val="19"/>
              </w:rPr>
              <w:t>4.2.5.3 應提供持續模型微調與訓練服務，確保整個實施與維護期準確率維持（如 90%）</w:t>
            </w:r>
          </w:p>
          <w:p w14:paraId="36560964">
            <w:pPr>
              <w:spacing w:after="40"/>
            </w:pPr>
            <w:r>
              <w:rPr>
                <w:i/>
                <w:color w:val="333333"/>
                <w:sz w:val="19"/>
              </w:rPr>
              <w:t>4.2.5.4 應支援多種微調與訓練方法，包含但不限於監督式、非監督式及 RLHF</w:t>
            </w:r>
          </w:p>
          <w:p w14:paraId="77A02595">
            <w:pPr>
              <w:spacing w:after="40"/>
            </w:pPr>
            <w:r>
              <w:rPr>
                <w:i/>
                <w:color w:val="333333"/>
                <w:sz w:val="19"/>
              </w:rPr>
              <w:t>4.2.5.5 應能透過標準化 API 或與內部 ImmD 系統之介面，匯出 AI 生成之結果、資料、圖像、報表</w:t>
            </w:r>
          </w:p>
          <w:p w14:paraId="270FEA03">
            <w:pPr>
              <w:spacing w:after="40"/>
            </w:pPr>
            <w:r>
              <w:rPr>
                <w:i/>
                <w:color w:val="333333"/>
                <w:sz w:val="19"/>
              </w:rPr>
              <w:t>4.2.5.6 應提供標準化介面或 API 收集使用者對 AI 結果之反饋，以提升準確率與滿意度</w:t>
            </w:r>
          </w:p>
          <w:p w14:paraId="4633F38B">
            <w:pPr>
              <w:spacing w:after="40"/>
            </w:pPr>
            <w:r>
              <w:rPr>
                <w:i/>
                <w:color w:val="333333"/>
                <w:sz w:val="19"/>
              </w:rPr>
              <w:t>4.2.5.7 應允許技術人員於系統生態內進行進階模型微調、重訓、版本管理與部署</w:t>
            </w:r>
          </w:p>
        </w:tc>
      </w:tr>
    </w:tbl>
    <w:p w14:paraId="09DACA00">
      <w:pPr/>
    </w:p>
    <w:p w14:paraId="0EE3C5FB">
      <w:pPr>
        <w:spacing w:before="280" w:after="80"/>
      </w:pPr>
      <w:r>
        <w:rPr>
          <w:b/>
          <w:color w:val="003D7A"/>
          <w:sz w:val="26"/>
        </w:rPr>
        <w:t>6.1 Model Tuning &amp; Continuous Optimization</w:t>
      </w:r>
    </w:p>
    <w:p w14:paraId="5FCB6891">
      <w:pPr>
        <w:spacing w:after="60"/>
        <w:ind w:left="360"/>
      </w:pPr>
      <w:r>
        <w:rPr>
          <w:color w:val="222222"/>
          <w:sz w:val="20"/>
        </w:rPr>
        <w:t>• Approach for maintaining ≥ 90% accuracy throughout implementation + 5-yr maintenance (RFI 4.2.5.3)</w:t>
      </w:r>
    </w:p>
    <w:p w14:paraId="0C5CD007">
      <w:pPr>
        <w:spacing w:after="60"/>
        <w:ind w:left="360"/>
      </w:pPr>
      <w:r>
        <w:rPr>
          <w:color w:val="222222"/>
          <w:sz w:val="20"/>
        </w:rPr>
        <w:t>• Tuning methods supported (supervised / unsupervised / RLHF — RFI 4.2.5.4)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6390FDA">
        <w:tblPrEx>
          <w:tblLayout w:type="fixed"/>
        </w:tblPrEx>
        <w:trPr>
          <w:trHeight w:val="3168" w:hRule="atLeast"/>
          <w:jc w:val="center"/>
        </w:trPr>
        <w:tc>
          <w:tcPr>
            <w:tcW w:w="10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</w:tcPr>
          <w:p w14:paraId="1F706B51">
            <w:pPr/>
            <w:r>
              <w:rPr>
                <w:i/>
                <w:color w:val="999999"/>
                <w:sz w:val="20"/>
              </w:rPr>
              <w:t>Please fill in here (in English). 請於此處以英文填寫，可附 圖 / 表 / 截圖。</w:t>
            </w:r>
          </w:p>
        </w:tc>
      </w:tr>
    </w:tbl>
    <w:p w14:paraId="5E7246B4">
      <w:pPr/>
    </w:p>
    <w:p w14:paraId="2E2B30B9">
      <w:pPr>
        <w:spacing w:before="280" w:after="80"/>
      </w:pPr>
      <w:r>
        <w:rPr>
          <w:b/>
          <w:color w:val="003D7A"/>
          <w:sz w:val="26"/>
        </w:rPr>
        <w:t>6.2 User Feedback API (4.2.5.6)</w:t>
      </w:r>
    </w:p>
    <w:p w14:paraId="7EA92675">
      <w:pPr>
        <w:spacing w:after="60"/>
        <w:ind w:left="360"/>
      </w:pPr>
      <w:r>
        <w:rPr>
          <w:color w:val="222222"/>
          <w:sz w:val="20"/>
        </w:rPr>
        <w:t>• API design — capturing officer adoption / correction data and feeding back to training corpus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C584651">
        <w:tblPrEx>
          <w:tblLayout w:type="fixed"/>
        </w:tblPrEx>
        <w:trPr>
          <w:trHeight w:val="2592" w:hRule="atLeast"/>
          <w:jc w:val="center"/>
        </w:trPr>
        <w:tc>
          <w:tcPr>
            <w:tcW w:w="10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</w:tcPr>
          <w:p w14:paraId="685778B5">
            <w:pPr/>
            <w:r>
              <w:rPr>
                <w:i/>
                <w:color w:val="999999"/>
                <w:sz w:val="20"/>
              </w:rPr>
              <w:t>Please fill in here (in English). 請於此處以英文填寫，可附 圖 / 表 / 截圖。</w:t>
            </w:r>
          </w:p>
        </w:tc>
      </w:tr>
    </w:tbl>
    <w:p w14:paraId="0E3E5777">
      <w:pPr/>
    </w:p>
    <w:p w14:paraId="34CBE953">
      <w:pPr>
        <w:spacing w:before="280" w:after="80"/>
      </w:pPr>
      <w:r>
        <w:rPr>
          <w:b/>
          <w:color w:val="003D7A"/>
          <w:sz w:val="26"/>
        </w:rPr>
        <w:t>6.3 Consolidated Accuracy Table (please propose for each function)</w:t>
      </w:r>
    </w:p>
    <w:p w14:paraId="75A21BF6">
      <w:pPr>
        <w:spacing w:after="120"/>
      </w:pPr>
      <w:r>
        <w:rPr>
          <w:i/>
          <w:color w:val="222222"/>
          <w:sz w:val="20"/>
        </w:rPr>
        <w:t>Please complete: (a) committed accuracy % (b) accuracy definition (e.g. character / word / field / business-level) (c) measurement method (test set size, metrics such as precision / recall / F1).  請填寫：(a) 承諾準確率 % (b) 準確率定義 (c) 量測方法。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18D768DD">
        <w:tblPrEx>
          <w:tblLayout w:type="fixed"/>
        </w:tblPrEx>
        <w:trPr>
          <w:trHeight w:val="576" w:hRule="atLeast"/>
          <w:jc w:val="center"/>
        </w:trPr>
        <w:tc>
          <w:tcPr>
            <w:tcW w:w="2550" w:type="dxa"/>
            <w:shd w:val="clear" w:color="auto" w:fill="003D7A"/>
            <w:vAlign w:val="center"/>
          </w:tcPr>
          <w:p w14:paraId="506A28A4">
            <w:pPr/>
            <w:r>
              <w:rPr>
                <w:b/>
                <w:color w:val="FFFFFF"/>
                <w:sz w:val="20"/>
              </w:rPr>
              <w:t>AI Function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04AD4324">
            <w:pPr/>
            <w:r>
              <w:rPr>
                <w:b/>
                <w:color w:val="FFFFFF"/>
                <w:sz w:val="20"/>
              </w:rPr>
              <w:t>Committed Accuracy (%)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3F5BD07F">
            <w:pPr/>
            <w:r>
              <w:rPr>
                <w:b/>
                <w:color w:val="FFFFFF"/>
                <w:sz w:val="20"/>
              </w:rPr>
              <w:t>Accuracy Definition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57D7182C">
            <w:pPr/>
            <w:r>
              <w:rPr>
                <w:b/>
                <w:color w:val="FFFFFF"/>
                <w:sz w:val="20"/>
              </w:rPr>
              <w:t>Measurement Method</w:t>
            </w:r>
          </w:p>
        </w:tc>
      </w:tr>
      <w:tr w14:paraId="4FE0B79D">
        <w:tblPrEx>
          <w:tblLayout w:type="fixed"/>
        </w:tblPrEx>
        <w:trPr>
          <w:trHeight w:val="1007" w:hRule="atLeast"/>
          <w:jc w:val="center"/>
        </w:trPr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32076D00">
            <w:pPr/>
            <w:r>
              <w:rPr>
                <w:b/>
                <w:color w:val="222222"/>
                <w:sz w:val="20"/>
              </w:rPr>
              <w:t>Automated Document Classification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689A4C75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7D360A3D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53026731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</w:tr>
      <w:tr w14:paraId="396F7BEC">
        <w:tblPrEx>
          <w:tblLayout w:type="fixed"/>
        </w:tblPrEx>
        <w:trPr>
          <w:trHeight w:val="1007" w:hRule="atLeast"/>
          <w:jc w:val="center"/>
        </w:trPr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0C9EF84A">
            <w:pPr/>
            <w:r>
              <w:rPr>
                <w:b/>
                <w:color w:val="222222"/>
                <w:sz w:val="20"/>
              </w:rPr>
              <w:t>Intelligent Data Verification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77F222FC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4EB541B9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4B630E0E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</w:tr>
      <w:tr w14:paraId="678094BB">
        <w:tblPrEx>
          <w:tblLayout w:type="fixed"/>
        </w:tblPrEx>
        <w:trPr>
          <w:trHeight w:val="1007" w:hRule="atLeast"/>
          <w:jc w:val="center"/>
        </w:trPr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29F92E91">
            <w:pPr/>
            <w:r>
              <w:rPr>
                <w:b/>
                <w:color w:val="222222"/>
                <w:sz w:val="20"/>
              </w:rPr>
              <w:t>Intelligent Minutes Drafting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2E84D7BB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66EAA3E6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1D1F6989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</w:tr>
      <w:tr w14:paraId="47E1ADB4">
        <w:tblPrEx>
          <w:tblLayout w:type="fixed"/>
        </w:tblPrEx>
        <w:trPr>
          <w:trHeight w:val="1007" w:hRule="atLeast"/>
          <w:jc w:val="center"/>
        </w:trPr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2E47465F">
            <w:pPr/>
            <w:r>
              <w:rPr>
                <w:b/>
                <w:color w:val="222222"/>
                <w:sz w:val="20"/>
              </w:rPr>
              <w:t>Combined Workflow (End-to-End)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1FFD0605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0DE0E4B5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1E91CE5D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</w:tr>
    </w:tbl>
    <w:p w14:paraId="7A428F3D">
      <w:pPr/>
    </w:p>
    <w:p w14:paraId="788E68A3">
      <w:pPr/>
      <w:r>
        <w:br w:type="page"/>
      </w:r>
    </w:p>
    <w:p w14:paraId="3C137082">
      <w:pPr>
        <w:spacing w:before="440" w:after="80"/>
      </w:pPr>
      <w:r>
        <w:rPr>
          <w:b/>
          <w:color w:val="003D7A"/>
          <w:sz w:val="32"/>
        </w:rPr>
        <w:t>7. Local Resilience &amp; Failover（應用服務層面）</w:t>
      </w:r>
    </w:p>
    <w:p w14:paraId="0C26698A">
      <w:pPr>
        <w:spacing w:after="80"/>
      </w:pPr>
      <w:r>
        <w:rPr>
          <w:i/>
          <w:color w:val="555555"/>
          <w:sz w:val="19"/>
        </w:rPr>
        <w:t>[ Annex I Table 1 — Local Resilience · RFI 4.3.9 + 4.3.13 ]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40DD69D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40FC1B56">
            <w:pPr>
              <w:spacing w:after="80"/>
            </w:pPr>
            <w:r>
              <w:rPr>
                <w:b/>
                <w:color w:val="003D7A"/>
                <w:sz w:val="18"/>
              </w:rPr>
              <w:t>Annex I Table 1 — Original (English):</w:t>
            </w:r>
          </w:p>
          <w:p w14:paraId="12D84DE9">
            <w:pPr>
              <w:spacing w:after="40"/>
            </w:pPr>
            <w:r>
              <w:rPr>
                <w:i/>
                <w:color w:val="333333"/>
                <w:sz w:val="19"/>
              </w:rPr>
              <w:t>Local Resilience and Failover</w:t>
            </w:r>
          </w:p>
          <w:p w14:paraId="2F5EDE31">
            <w:pPr>
              <w:spacing w:after="40"/>
            </w:pPr>
            <w:r>
              <w:rPr>
                <w:i/>
                <w:color w:val="333333"/>
                <w:sz w:val="19"/>
              </w:rPr>
              <w:t>All of the servers shall have local resilience and high availability in the production environment, in either active-active or active-standby. Please state the committed switch-over time from primary to standby server at active-active case and active-standby case.</w:t>
            </w:r>
          </w:p>
        </w:tc>
      </w:tr>
      <w:tr w14:paraId="610F807C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19A9D5E3">
            <w:pPr>
              <w:spacing w:after="80"/>
            </w:pPr>
            <w:r>
              <w:rPr>
                <w:b/>
                <w:color w:val="3A5A00"/>
                <w:sz w:val="18"/>
              </w:rPr>
              <w:t>中文解釋 (CMHK reference)：</w:t>
            </w:r>
          </w:p>
          <w:p w14:paraId="5AC49B01">
            <w:pPr>
              <w:spacing w:after="40"/>
            </w:pPr>
            <w:r>
              <w:rPr>
                <w:i/>
                <w:color w:val="333333"/>
                <w:sz w:val="19"/>
              </w:rPr>
              <w:t>本地容災與故障切換</w:t>
            </w:r>
          </w:p>
          <w:p w14:paraId="6B194FE4">
            <w:pPr>
              <w:spacing w:after="40"/>
            </w:pPr>
            <w:r>
              <w:rPr>
                <w:i/>
                <w:color w:val="333333"/>
                <w:sz w:val="19"/>
              </w:rPr>
              <w:t>生產環境所有 server 須具備本地容災與高可用配置（active-active 或 active-standby）。請承諾兩種配置下，從主機切換至備機的切換時間</w:t>
            </w:r>
          </w:p>
        </w:tc>
      </w:tr>
    </w:tbl>
    <w:p w14:paraId="569CDCF3">
      <w:pPr/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2569FF7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3C7F08CE">
            <w:pPr>
              <w:spacing w:after="80"/>
            </w:pPr>
            <w:r>
              <w:rPr>
                <w:b/>
                <w:color w:val="003D7A"/>
                <w:sz w:val="18"/>
              </w:rPr>
              <w:t>RFI 4.3.9 — Original (English):</w:t>
            </w:r>
          </w:p>
          <w:p w14:paraId="7A6FC8AC">
            <w:pPr>
              <w:spacing w:after="40"/>
            </w:pPr>
            <w:r>
              <w:rPr>
                <w:i/>
                <w:color w:val="333333"/>
                <w:sz w:val="19"/>
              </w:rPr>
              <w:t>4.3.9 System Reliability Requirement</w:t>
            </w:r>
          </w:p>
          <w:p w14:paraId="023425FD">
            <w:pPr>
              <w:spacing w:after="40"/>
            </w:pPr>
            <w:r>
              <w:rPr>
                <w:i/>
                <w:color w:val="333333"/>
                <w:sz w:val="19"/>
              </w:rPr>
              <w:t>4.3.9.1 Shall adopt minimum serviceability level: 99.5%</w:t>
            </w:r>
          </w:p>
        </w:tc>
      </w:tr>
      <w:tr w14:paraId="1D2AF9FF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1D8D8DE1">
            <w:pPr>
              <w:spacing w:after="80"/>
            </w:pPr>
            <w:r>
              <w:rPr>
                <w:b/>
                <w:color w:val="3A5A00"/>
                <w:sz w:val="18"/>
              </w:rPr>
              <w:t>中文解釋 (CMHK reference)：</w:t>
            </w:r>
          </w:p>
          <w:p w14:paraId="6D0147F8">
            <w:pPr>
              <w:spacing w:after="40"/>
            </w:pPr>
            <w:r>
              <w:rPr>
                <w:i/>
                <w:color w:val="333333"/>
                <w:sz w:val="19"/>
              </w:rPr>
              <w:t>4.3.9 系統可靠性要求</w:t>
            </w:r>
          </w:p>
          <w:p w14:paraId="4366614A">
            <w:pPr>
              <w:spacing w:after="40"/>
            </w:pPr>
            <w:r>
              <w:rPr>
                <w:i/>
                <w:color w:val="333333"/>
                <w:sz w:val="19"/>
              </w:rPr>
              <w:t>4.3.9.1 應採最低可服務率 99.5%</w:t>
            </w:r>
          </w:p>
        </w:tc>
      </w:tr>
    </w:tbl>
    <w:p w14:paraId="52A80074">
      <w:pPr/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0B6E5E8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5C90B879">
            <w:pPr>
              <w:spacing w:after="80"/>
            </w:pPr>
            <w:r>
              <w:rPr>
                <w:b/>
                <w:color w:val="003D7A"/>
                <w:sz w:val="18"/>
              </w:rPr>
              <w:t>RFI 4.3.13 — Original (English):</w:t>
            </w:r>
          </w:p>
          <w:p w14:paraId="1AA18ADD">
            <w:pPr>
              <w:spacing w:after="40"/>
            </w:pPr>
            <w:r>
              <w:rPr>
                <w:i/>
                <w:color w:val="333333"/>
                <w:sz w:val="19"/>
              </w:rPr>
              <w:t>4.3.13 High Availability Requirements for the New AI Solutions</w:t>
            </w:r>
          </w:p>
          <w:p w14:paraId="12FC9C59">
            <w:pPr>
              <w:spacing w:after="40"/>
            </w:pPr>
            <w:r>
              <w:rPr>
                <w:i/>
                <w:color w:val="333333"/>
                <w:sz w:val="19"/>
              </w:rPr>
              <w:t>4.3.13.1 Shall provide local resilience in active-active mechanism for all AI Inference servers in the production environment.</w:t>
            </w:r>
          </w:p>
          <w:p w14:paraId="2452F9C6">
            <w:pPr>
              <w:spacing w:after="40"/>
            </w:pPr>
            <w:r>
              <w:rPr>
                <w:i/>
                <w:color w:val="333333"/>
                <w:sz w:val="19"/>
              </w:rPr>
              <w:t>4.3.13.2 Shall provide local resilience using active-standby or active-active method for all services in the production environment.</w:t>
            </w:r>
          </w:p>
        </w:tc>
      </w:tr>
      <w:tr w14:paraId="1492FFC1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3C22CCB2">
            <w:pPr>
              <w:spacing w:after="80"/>
            </w:pPr>
            <w:r>
              <w:rPr>
                <w:b/>
                <w:color w:val="3A5A00"/>
                <w:sz w:val="18"/>
              </w:rPr>
              <w:t>中文解釋 (CMHK reference)：</w:t>
            </w:r>
          </w:p>
          <w:p w14:paraId="14449397">
            <w:pPr>
              <w:spacing w:after="40"/>
            </w:pPr>
            <w:r>
              <w:rPr>
                <w:i/>
                <w:color w:val="333333"/>
                <w:sz w:val="19"/>
              </w:rPr>
              <w:t>4.3.13 新 AI 方案之高可用要求</w:t>
            </w:r>
          </w:p>
          <w:p w14:paraId="50ADFDA8">
            <w:pPr>
              <w:spacing w:after="40"/>
            </w:pPr>
            <w:r>
              <w:rPr>
                <w:i/>
                <w:color w:val="333333"/>
                <w:sz w:val="19"/>
              </w:rPr>
              <w:t>4.3.13.1 生產環境之所有 AI Inference servers 應採 active-active 本地容災</w:t>
            </w:r>
          </w:p>
          <w:p w14:paraId="7AA6C988">
            <w:pPr>
              <w:spacing w:after="40"/>
            </w:pPr>
            <w:r>
              <w:rPr>
                <w:i/>
                <w:color w:val="333333"/>
                <w:sz w:val="19"/>
              </w:rPr>
              <w:t>4.3.13.2 生產環境之所有服務應採 active-standby 或 active-active 本地容災</w:t>
            </w:r>
          </w:p>
        </w:tc>
      </w:tr>
    </w:tbl>
    <w:p w14:paraId="24151514">
      <w:pPr/>
    </w:p>
    <w:p w14:paraId="794458CF">
      <w:pPr>
        <w:spacing w:after="60"/>
        <w:ind w:left="360"/>
      </w:pPr>
      <w:r>
        <w:rPr>
          <w:color w:val="222222"/>
          <w:sz w:val="20"/>
        </w:rPr>
        <w:t>• HA configuration for AI application services (OCR / Cross-Check Engine / Minutes LLM / PDF Generator)</w:t>
      </w:r>
    </w:p>
    <w:p w14:paraId="37C6DFA7">
      <w:pPr>
        <w:spacing w:after="60"/>
        <w:ind w:left="360"/>
      </w:pPr>
      <w:r>
        <w:rPr>
          <w:color w:val="222222"/>
          <w:sz w:val="20"/>
        </w:rPr>
        <w:t>• Please commit switch-over time in the table below</w:t>
      </w:r>
    </w:p>
    <w:p w14:paraId="3A31F383">
      <w:pPr>
        <w:spacing w:after="120"/>
      </w:pPr>
      <w:r>
        <w:rPr>
          <w:i/>
          <w:color w:val="222222"/>
          <w:sz w:val="20"/>
        </w:rPr>
        <w:t>Please commit the primary → standby switch-over time for each configuration.  請承諾每種 HA 配置的主機→備機切換時間。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6231CAEF">
        <w:tblPrEx>
          <w:tblLayout w:type="fixed"/>
        </w:tblPrEx>
        <w:trPr>
          <w:trHeight w:val="576" w:hRule="atLeast"/>
          <w:jc w:val="center"/>
        </w:trPr>
        <w:tc>
          <w:tcPr>
            <w:tcW w:w="3400" w:type="dxa"/>
            <w:shd w:val="clear" w:color="auto" w:fill="003D7A"/>
            <w:vAlign w:val="center"/>
          </w:tcPr>
          <w:p w14:paraId="4B40FB79">
            <w:pPr/>
            <w:r>
              <w:rPr>
                <w:b/>
                <w:color w:val="FFFFFF"/>
                <w:sz w:val="20"/>
              </w:rPr>
              <w:t>HA Configuration</w:t>
            </w:r>
          </w:p>
        </w:tc>
        <w:tc>
          <w:tcPr>
            <w:tcW w:w="3400" w:type="dxa"/>
            <w:shd w:val="clear" w:color="auto" w:fill="003D7A"/>
            <w:vAlign w:val="center"/>
          </w:tcPr>
          <w:p w14:paraId="5DAFAFFD">
            <w:pPr/>
            <w:r>
              <w:rPr>
                <w:b/>
                <w:color w:val="FFFFFF"/>
                <w:sz w:val="20"/>
              </w:rPr>
              <w:t>Applicable to</w:t>
            </w:r>
          </w:p>
        </w:tc>
        <w:tc>
          <w:tcPr>
            <w:tcW w:w="3400" w:type="dxa"/>
            <w:shd w:val="clear" w:color="auto" w:fill="003D7A"/>
            <w:vAlign w:val="center"/>
          </w:tcPr>
          <w:p w14:paraId="44FE7EAF">
            <w:pPr/>
            <w:r>
              <w:rPr>
                <w:b/>
                <w:color w:val="FFFFFF"/>
                <w:sz w:val="20"/>
              </w:rPr>
              <w:t>Committed Switch-over Time</w:t>
            </w:r>
          </w:p>
        </w:tc>
      </w:tr>
      <w:tr w14:paraId="0152BBF7">
        <w:tblPrEx>
          <w:tblLayout w:type="fixed"/>
        </w:tblPrEx>
        <w:trPr>
          <w:trHeight w:val="864" w:hRule="atLeast"/>
          <w:jc w:val="center"/>
        </w:trPr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5B8B02A0">
            <w:pPr/>
            <w:r>
              <w:rPr>
                <w:b/>
                <w:color w:val="222222"/>
                <w:sz w:val="20"/>
              </w:rPr>
              <w:t>Active-Active</w:t>
            </w:r>
          </w:p>
        </w:tc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55A54675">
            <w:pPr/>
            <w:r>
              <w:rPr>
                <w:sz w:val="19"/>
              </w:rPr>
              <w:t>AI application services (mostly stateless microservices)</w:t>
            </w:r>
          </w:p>
        </w:tc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61B34A5E">
            <w:pPr/>
            <w:r>
              <w:rPr>
                <w:i/>
                <w:color w:val="999999"/>
                <w:sz w:val="19"/>
              </w:rPr>
              <w:t>Please fill in (seconds / minutes)</w:t>
            </w:r>
          </w:p>
        </w:tc>
      </w:tr>
      <w:tr w14:paraId="05EE8054">
        <w:tblPrEx>
          <w:tblLayout w:type="fixed"/>
        </w:tblPrEx>
        <w:trPr>
          <w:trHeight w:val="864" w:hRule="atLeast"/>
          <w:jc w:val="center"/>
        </w:trPr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353BD2A9">
            <w:pPr/>
            <w:r>
              <w:rPr>
                <w:b/>
                <w:color w:val="222222"/>
                <w:sz w:val="20"/>
              </w:rPr>
              <w:t>Active-Standby</w:t>
            </w:r>
          </w:p>
        </w:tc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676937D8">
            <w:pPr/>
            <w:r>
              <w:rPr>
                <w:sz w:val="19"/>
              </w:rPr>
              <w:t>Stateful components (e.g. workflow engine, job scheduler)</w:t>
            </w:r>
          </w:p>
        </w:tc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69B8C358">
            <w:pPr/>
            <w:r>
              <w:rPr>
                <w:i/>
                <w:color w:val="999999"/>
                <w:sz w:val="19"/>
              </w:rPr>
              <w:t>Please fill in (seconds / minutes)</w:t>
            </w:r>
          </w:p>
        </w:tc>
      </w:tr>
    </w:tbl>
    <w:p w14:paraId="0D3E4BFF">
      <w:pPr/>
    </w:p>
    <w:p w14:paraId="2A3F7F67">
      <w:pPr/>
      <w:r>
        <w:br w:type="page"/>
      </w:r>
    </w:p>
    <w:p w14:paraId="4939DB09">
      <w:pPr>
        <w:spacing w:before="440" w:after="80"/>
      </w:pPr>
      <w:r>
        <w:rPr>
          <w:b/>
          <w:color w:val="003D7A"/>
          <w:sz w:val="32"/>
        </w:rPr>
        <w:t>8. Sizing and Performance（應用層 sizing）</w:t>
      </w:r>
    </w:p>
    <w:p w14:paraId="45751849">
      <w:pPr>
        <w:spacing w:after="80"/>
      </w:pPr>
      <w:r>
        <w:rPr>
          <w:i/>
          <w:color w:val="555555"/>
          <w:sz w:val="19"/>
        </w:rPr>
        <w:t>[ Annex I Table 1 — Sizing and Performance · RFI 4.3.6 ]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2C15587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3AE63249">
            <w:pPr>
              <w:spacing w:after="80"/>
            </w:pPr>
            <w:r>
              <w:rPr>
                <w:b/>
                <w:color w:val="003D7A"/>
                <w:sz w:val="18"/>
              </w:rPr>
              <w:t>Annex I Table 1 — Original (English):</w:t>
            </w:r>
          </w:p>
          <w:p w14:paraId="3CD61664">
            <w:pPr>
              <w:spacing w:after="40"/>
            </w:pPr>
            <w:r>
              <w:rPr>
                <w:i/>
                <w:color w:val="333333"/>
                <w:sz w:val="19"/>
              </w:rPr>
              <w:t>Sizing and Performance</w:t>
            </w:r>
          </w:p>
          <w:p w14:paraId="3EE1A392">
            <w:pPr>
              <w:spacing w:after="40"/>
            </w:pPr>
            <w:r>
              <w:rPr>
                <w:i/>
                <w:color w:val="333333"/>
                <w:sz w:val="19"/>
              </w:rPr>
              <w:t>• For the sizing, please suggest according to the table below.</w:t>
            </w:r>
          </w:p>
          <w:p w14:paraId="03E17C25">
            <w:pPr>
              <w:spacing w:after="40"/>
            </w:pPr>
            <w:r>
              <w:rPr>
                <w:i/>
                <w:color w:val="333333"/>
                <w:sz w:val="19"/>
              </w:rPr>
              <w:t>• For the performance, please suggest according to the table below.</w:t>
            </w:r>
          </w:p>
          <w:p w14:paraId="4FBB85E8">
            <w:pPr>
              <w:spacing w:after="40"/>
            </w:pPr>
            <w:r>
              <w:rPr>
                <w:i/>
                <w:color w:val="333333"/>
                <w:sz w:val="19"/>
              </w:rPr>
              <w:t>• For the AI accuracy, please suggest according to the table below.</w:t>
            </w:r>
          </w:p>
          <w:p w14:paraId="75E3ACA2">
            <w:pPr>
              <w:spacing w:after="40"/>
            </w:pPr>
            <w:r>
              <w:rPr>
                <w:i/>
                <w:color w:val="333333"/>
                <w:sz w:val="19"/>
              </w:rPr>
              <w:t>• Table for Sizing Estimation — Storage Size Requirement: please state the proposed storage size for the whole AI Solutions.</w:t>
            </w:r>
          </w:p>
          <w:p w14:paraId="0D680D1B">
            <w:pPr>
              <w:spacing w:after="40"/>
            </w:pPr>
            <w:r>
              <w:rPr>
                <w:i/>
                <w:color w:val="333333"/>
                <w:sz w:val="19"/>
              </w:rPr>
              <w:t>• Table for System Performance.</w:t>
            </w:r>
          </w:p>
          <w:p w14:paraId="1B1E7502">
            <w:pPr>
              <w:spacing w:after="40"/>
            </w:pPr>
            <w:r>
              <w:rPr>
                <w:i/>
                <w:color w:val="333333"/>
                <w:sz w:val="19"/>
              </w:rPr>
              <w:t>• Table for System Accuracy.</w:t>
            </w:r>
          </w:p>
        </w:tc>
      </w:tr>
      <w:tr w14:paraId="2C130A15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54E6583A">
            <w:pPr>
              <w:spacing w:after="80"/>
            </w:pPr>
            <w:r>
              <w:rPr>
                <w:b/>
                <w:color w:val="3A5A00"/>
                <w:sz w:val="18"/>
              </w:rPr>
              <w:t>中文解釋 (CMHK reference)：</w:t>
            </w:r>
          </w:p>
          <w:p w14:paraId="5B4193EB">
            <w:pPr>
              <w:spacing w:after="40"/>
            </w:pPr>
            <w:r>
              <w:rPr>
                <w:i/>
                <w:color w:val="333333"/>
                <w:sz w:val="19"/>
              </w:rPr>
              <w:t>系統容量與性能</w:t>
            </w:r>
          </w:p>
          <w:p w14:paraId="5EFFC719">
            <w:pPr>
              <w:spacing w:after="40"/>
            </w:pPr>
            <w:r>
              <w:rPr>
                <w:i/>
                <w:color w:val="333333"/>
                <w:sz w:val="19"/>
              </w:rPr>
              <w:t>• Sizing：請按下表建議</w:t>
            </w:r>
          </w:p>
          <w:p w14:paraId="41A5C040">
            <w:pPr>
              <w:spacing w:after="40"/>
            </w:pPr>
            <w:r>
              <w:rPr>
                <w:i/>
                <w:color w:val="333333"/>
                <w:sz w:val="19"/>
              </w:rPr>
              <w:t>• 性能：請按下表建議</w:t>
            </w:r>
          </w:p>
          <w:p w14:paraId="2685205F">
            <w:pPr>
              <w:spacing w:after="40"/>
            </w:pPr>
            <w:r>
              <w:rPr>
                <w:i/>
                <w:color w:val="333333"/>
                <w:sz w:val="19"/>
              </w:rPr>
              <w:t>• AI 準確率：請按下表建議</w:t>
            </w:r>
          </w:p>
          <w:p w14:paraId="704A54EE">
            <w:pPr>
              <w:spacing w:after="40"/>
            </w:pPr>
            <w:r>
              <w:rPr>
                <w:i/>
                <w:color w:val="333333"/>
                <w:sz w:val="19"/>
              </w:rPr>
              <w:t>• Sizing 估算表 — Storage Size 需求：請列出整套 AI Solutions 之建議儲存容量</w:t>
            </w:r>
          </w:p>
          <w:p w14:paraId="72679EB7">
            <w:pPr>
              <w:spacing w:after="40"/>
            </w:pPr>
            <w:r>
              <w:rPr>
                <w:i/>
                <w:color w:val="333333"/>
                <w:sz w:val="19"/>
              </w:rPr>
              <w:t>• 系統性能表</w:t>
            </w:r>
          </w:p>
          <w:p w14:paraId="177885C3">
            <w:pPr>
              <w:spacing w:after="40"/>
            </w:pPr>
            <w:r>
              <w:rPr>
                <w:i/>
                <w:color w:val="333333"/>
                <w:sz w:val="19"/>
              </w:rPr>
              <w:t>• 系統準確率表</w:t>
            </w:r>
          </w:p>
        </w:tc>
      </w:tr>
    </w:tbl>
    <w:p w14:paraId="5FE5FBCC">
      <w:pPr/>
    </w:p>
    <w:p w14:paraId="40E0BF4D">
      <w:pPr>
        <w:spacing w:before="280" w:after="80"/>
      </w:pPr>
      <w:r>
        <w:rPr>
          <w:b/>
          <w:color w:val="003D7A"/>
          <w:sz w:val="26"/>
        </w:rPr>
        <w:t>8.1 Storage Size for AI Application Stack</w:t>
      </w:r>
    </w:p>
    <w:p w14:paraId="4F4B9E9A">
      <w:pPr>
        <w:spacing w:after="120"/>
      </w:pPr>
      <w:r>
        <w:rPr>
          <w:i/>
          <w:color w:val="222222"/>
          <w:sz w:val="20"/>
        </w:rPr>
        <w:t>Please complete the storage sizing table (basis: 500K cases/yr × 12 attachments × 3 pages × 5 MB × 5 yr retention + 7% annual growth).  請填寫儲存容量估算表（基於 50 萬件 / 年 × 12 附件 × 3 頁 × 5 MB × 5 年保存 + 7% 年增長）。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6758391B">
        <w:tblPrEx>
          <w:tblLayout w:type="fixed"/>
        </w:tblPrEx>
        <w:trPr>
          <w:trHeight w:val="576" w:hRule="atLeast"/>
          <w:jc w:val="center"/>
        </w:trPr>
        <w:tc>
          <w:tcPr>
            <w:tcW w:w="2550" w:type="dxa"/>
            <w:shd w:val="clear" w:color="auto" w:fill="003D7A"/>
            <w:vAlign w:val="center"/>
          </w:tcPr>
          <w:p w14:paraId="330B07F9">
            <w:pP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59D5CCAA">
            <w:pPr/>
            <w:r>
              <w:rPr>
                <w:b/>
                <w:color w:val="FFFFFF"/>
                <w:sz w:val="20"/>
              </w:rPr>
              <w:t>Capacity (TB)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62A36B3F">
            <w:pPr/>
            <w:r>
              <w:rPr>
                <w:b/>
                <w:color w:val="FFFFFF"/>
                <w:sz w:val="20"/>
              </w:rPr>
              <w:t>Growth Assumption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501865B1">
            <w:pPr/>
            <w:r>
              <w:rPr>
                <w:b/>
                <w:color w:val="FFFFFF"/>
                <w:sz w:val="20"/>
              </w:rPr>
              <w:t>Notes / Calculation Formula</w:t>
            </w:r>
          </w:p>
        </w:tc>
      </w:tr>
      <w:tr w14:paraId="69622C39">
        <w:tblPrEx>
          <w:tblLayout w:type="fixed"/>
        </w:tblPrEx>
        <w:trPr>
          <w:trHeight w:val="1007" w:hRule="atLeast"/>
          <w:jc w:val="center"/>
        </w:trPr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32E89874">
            <w:pPr/>
            <w:r>
              <w:rPr>
                <w:b/>
                <w:color w:val="222222"/>
                <w:sz w:val="20"/>
              </w:rPr>
              <w:t>AI Application Layer storage (templates / knowledge base / training samples / PDF cache)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05F953E2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286514C5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1FA66DE4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</w:tr>
    </w:tbl>
    <w:p w14:paraId="5C125D0F">
      <w:pPr/>
    </w:p>
    <w:p w14:paraId="70E9943B">
      <w:pPr>
        <w:spacing w:before="280" w:after="80"/>
      </w:pPr>
      <w:r>
        <w:rPr>
          <w:b/>
          <w:color w:val="003D7A"/>
          <w:sz w:val="26"/>
        </w:rPr>
        <w:t>8.2 System Performance</w:t>
      </w:r>
    </w:p>
    <w:p w14:paraId="7CBF3262">
      <w:pPr>
        <w:spacing w:after="120"/>
      </w:pPr>
      <w:r>
        <w:rPr>
          <w:i/>
          <w:color w:val="222222"/>
          <w:sz w:val="20"/>
        </w:rPr>
        <w:t>Please commit the system performance metrics. 請承諾下列性能指標。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DEDA3D9">
        <w:tblPrEx>
          <w:tblLayout w:type="fixed"/>
        </w:tblPrEx>
        <w:trPr>
          <w:trHeight w:val="576" w:hRule="atLeast"/>
          <w:jc w:val="center"/>
        </w:trPr>
        <w:tc>
          <w:tcPr>
            <w:tcW w:w="3400" w:type="dxa"/>
            <w:shd w:val="clear" w:color="auto" w:fill="003D7A"/>
            <w:vAlign w:val="center"/>
          </w:tcPr>
          <w:p w14:paraId="22A5AFC8">
            <w:pPr/>
            <w:r>
              <w:rPr>
                <w:b/>
                <w:color w:val="FFFFFF"/>
                <w:sz w:val="20"/>
              </w:rPr>
              <w:t>Performance Metric</w:t>
            </w:r>
          </w:p>
        </w:tc>
        <w:tc>
          <w:tcPr>
            <w:tcW w:w="3400" w:type="dxa"/>
            <w:shd w:val="clear" w:color="auto" w:fill="003D7A"/>
            <w:vAlign w:val="center"/>
          </w:tcPr>
          <w:p w14:paraId="6113421B">
            <w:pPr/>
            <w:r>
              <w:rPr>
                <w:b/>
                <w:color w:val="FFFFFF"/>
                <w:sz w:val="20"/>
              </w:rPr>
              <w:t>Committed Value</w:t>
            </w:r>
          </w:p>
        </w:tc>
        <w:tc>
          <w:tcPr>
            <w:tcW w:w="3400" w:type="dxa"/>
            <w:shd w:val="clear" w:color="auto" w:fill="003D7A"/>
            <w:vAlign w:val="center"/>
          </w:tcPr>
          <w:p w14:paraId="4792768D">
            <w:pPr/>
            <w:r>
              <w:rPr>
                <w:b/>
                <w:color w:val="FFFFFF"/>
                <w:sz w:val="20"/>
              </w:rPr>
              <w:t>Measurement Method / Scenario</w:t>
            </w:r>
          </w:p>
        </w:tc>
      </w:tr>
      <w:tr w14:paraId="6E694B66">
        <w:tblPrEx>
          <w:tblLayout w:type="fixed"/>
        </w:tblPrEx>
        <w:trPr>
          <w:trHeight w:val="864" w:hRule="atLeast"/>
          <w:jc w:val="center"/>
        </w:trPr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3B9A1E2E">
            <w:pPr/>
            <w:r>
              <w:rPr>
                <w:b/>
                <w:color w:val="222222"/>
                <w:sz w:val="20"/>
              </w:rPr>
              <w:t>End-to-end processing latency (per case, P95)</w:t>
            </w:r>
          </w:p>
        </w:tc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3FA98106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02CB7FE9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</w:tr>
      <w:tr w14:paraId="18E371B9">
        <w:tblPrEx>
          <w:tblLayout w:type="fixed"/>
        </w:tblPrEx>
        <w:trPr>
          <w:trHeight w:val="864" w:hRule="atLeast"/>
          <w:jc w:val="center"/>
        </w:trPr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43E8306B">
            <w:pPr/>
            <w:r>
              <w:rPr>
                <w:b/>
                <w:color w:val="222222"/>
                <w:sz w:val="20"/>
              </w:rPr>
              <w:t>Concurrent processing capacity (cases / hour)</w:t>
            </w:r>
          </w:p>
        </w:tc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23DD940B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2701403E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</w:tr>
      <w:tr w14:paraId="3222B6E3">
        <w:tblPrEx>
          <w:tblLayout w:type="fixed"/>
        </w:tblPrEx>
        <w:trPr>
          <w:trHeight w:val="864" w:hRule="atLeast"/>
          <w:jc w:val="center"/>
        </w:trPr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3E699307">
            <w:pPr/>
            <w:r>
              <w:rPr>
                <w:b/>
                <w:color w:val="222222"/>
                <w:sz w:val="20"/>
              </w:rPr>
              <w:t>PDF generation latency (per case, P95)</w:t>
            </w:r>
          </w:p>
        </w:tc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1DD23F0B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19B4758F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</w:tr>
      <w:tr w14:paraId="15E73B00">
        <w:tblPrEx>
          <w:tblLayout w:type="fixed"/>
        </w:tblPrEx>
        <w:trPr>
          <w:trHeight w:val="864" w:hRule="atLeast"/>
          <w:jc w:val="center"/>
        </w:trPr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07CF0D19">
            <w:pPr/>
            <w:r>
              <w:rPr>
                <w:b/>
                <w:color w:val="222222"/>
                <w:sz w:val="20"/>
              </w:rPr>
              <w:t>OCR / extraction latency per page (P95)</w:t>
            </w:r>
          </w:p>
        </w:tc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2804ABB5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  <w:tc>
          <w:tcPr>
            <w:tcW w:w="34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64F316EA">
            <w:pPr/>
            <w:r>
              <w:rPr>
                <w:i/>
                <w:color w:val="999999"/>
                <w:sz w:val="19"/>
              </w:rPr>
              <w:t>Please fill in</w:t>
            </w:r>
          </w:p>
        </w:tc>
      </w:tr>
    </w:tbl>
    <w:p w14:paraId="66131E0F">
      <w:pPr/>
    </w:p>
    <w:p w14:paraId="6CDAC95A">
      <w:pPr/>
      <w:r>
        <w:br w:type="page"/>
      </w:r>
    </w:p>
    <w:p w14:paraId="654BF9AF">
      <w:pPr>
        <w:spacing w:before="280" w:after="80"/>
      </w:pPr>
      <w:r>
        <w:rPr>
          <w:b/>
          <w:color w:val="003D7A"/>
          <w:sz w:val="26"/>
        </w:rPr>
        <w:t>Annex I Table 9 — Project Schedule</w:t>
      </w:r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5B738D6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003D7A" w:sz="2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vAlign w:val="top"/>
          </w:tcPr>
          <w:p w14:paraId="520AB7C1">
            <w:pPr>
              <w:spacing w:after="80"/>
            </w:pPr>
            <w:r>
              <w:rPr>
                <w:b/>
                <w:color w:val="003D7A"/>
                <w:sz w:val="18"/>
              </w:rPr>
              <w:t>Annex I Table 9 — Original:</w:t>
            </w:r>
          </w:p>
          <w:p w14:paraId="528CE2A8">
            <w:pPr>
              <w:spacing w:after="40"/>
            </w:pPr>
            <w:r>
              <w:rPr>
                <w:i/>
                <w:color w:val="333333"/>
                <w:sz w:val="19"/>
              </w:rPr>
              <w:t>"Table 9 - Proposed Project Schedule" — Month 0 = Contract Date. Please provide start / end month for each phase relevant to your layer.</w:t>
            </w:r>
          </w:p>
        </w:tc>
      </w:tr>
      <w:tr w14:paraId="54ED5340">
        <w:tblPrEx>
          <w:tblLayout w:type="fixed"/>
        </w:tblPrEx>
        <w:trPr>
          <w:jc w:val="center"/>
        </w:trPr>
        <w:tc>
          <w:tcPr>
            <w:tcW w:w="10200" w:type="dxa"/>
            <w:tcBorders>
              <w:top w:val="single" w:color="CCCCCC" w:sz="4" w:space="0"/>
              <w:left w:val="single" w:color="5A8A00" w:sz="24" w:space="0"/>
              <w:bottom w:val="single" w:color="CCCCCC" w:sz="4" w:space="0"/>
              <w:right w:val="single" w:color="CCCCCC" w:sz="4" w:space="0"/>
            </w:tcBorders>
            <w:shd w:val="clear" w:color="auto" w:fill="F4F9EE"/>
            <w:vAlign w:val="top"/>
          </w:tcPr>
          <w:p w14:paraId="60A4D86E">
            <w:pPr>
              <w:spacing w:after="80"/>
            </w:pPr>
            <w:r>
              <w:rPr>
                <w:b/>
                <w:color w:val="3A5A00"/>
                <w:sz w:val="18"/>
              </w:rPr>
              <w:t>中文解釋：</w:t>
            </w:r>
          </w:p>
          <w:p w14:paraId="2DA8A45C">
            <w:pPr>
              <w:spacing w:after="40"/>
            </w:pPr>
            <w:r>
              <w:rPr>
                <w:i/>
                <w:color w:val="333333"/>
                <w:sz w:val="19"/>
              </w:rPr>
              <w:t>Annex I Table 9 — Project Schedule（建議項目時程）。以 Contract Date 簽約日為 Month 0，請貴司填寫負責層之各階段起迄月份。</w:t>
            </w:r>
          </w:p>
        </w:tc>
      </w:tr>
    </w:tbl>
    <w:p w14:paraId="127E8D97">
      <w:pPr/>
    </w:p>
    <w:tbl>
      <w:tblPr>
        <w:tblStyle w:val="35"/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4519C247">
        <w:tblPrEx>
          <w:tblLayout w:type="fixed"/>
        </w:tblPrEx>
        <w:trPr>
          <w:trHeight w:val="503" w:hRule="atLeast"/>
          <w:jc w:val="center"/>
        </w:trPr>
        <w:tc>
          <w:tcPr>
            <w:tcW w:w="2550" w:type="dxa"/>
            <w:shd w:val="clear" w:color="auto" w:fill="003D7A"/>
            <w:vAlign w:val="center"/>
          </w:tcPr>
          <w:p w14:paraId="13C9ED72">
            <w:pP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3FA13432">
            <w:pPr/>
            <w:r>
              <w:rPr>
                <w:b/>
                <w:color w:val="FFFFFF"/>
                <w:sz w:val="20"/>
              </w:rPr>
              <w:t>Task Description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263310ED">
            <w:pPr/>
            <w:r>
              <w:rPr>
                <w:b/>
                <w:color w:val="FFFFFF"/>
                <w:sz w:val="20"/>
              </w:rPr>
              <w:t>Start (Month _)</w:t>
            </w:r>
          </w:p>
        </w:tc>
        <w:tc>
          <w:tcPr>
            <w:tcW w:w="2550" w:type="dxa"/>
            <w:shd w:val="clear" w:color="auto" w:fill="003D7A"/>
            <w:vAlign w:val="center"/>
          </w:tcPr>
          <w:p w14:paraId="2349ABB1">
            <w:pPr/>
            <w:r>
              <w:rPr>
                <w:b/>
                <w:color w:val="FFFFFF"/>
                <w:sz w:val="20"/>
              </w:rPr>
              <w:t>End (Month _)</w:t>
            </w:r>
          </w:p>
        </w:tc>
      </w:tr>
      <w:tr w14:paraId="1866F594">
        <w:tblPrEx>
          <w:tblLayout w:type="fixed"/>
        </w:tblPrEx>
        <w:trPr>
          <w:trHeight w:val="720" w:hRule="atLeast"/>
          <w:jc w:val="center"/>
        </w:trPr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22BC693C">
            <w:pPr/>
            <w:r>
              <w:rPr>
                <w:sz w:val="19"/>
              </w:rPr>
              <w:t>1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1B234E33">
            <w:pPr/>
            <w:r>
              <w:rPr>
                <w:sz w:val="19"/>
              </w:rPr>
              <w:t>System Analysis and Design / 系統分析與設計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3E89180A">
            <w:pPr/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0D40FBC1">
            <w:pPr/>
          </w:p>
        </w:tc>
      </w:tr>
      <w:tr w14:paraId="6A79E14E">
        <w:tblPrEx>
          <w:tblLayout w:type="fixed"/>
        </w:tblPrEx>
        <w:trPr>
          <w:trHeight w:val="720" w:hRule="atLeast"/>
          <w:jc w:val="center"/>
        </w:trPr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276183CB">
            <w:pPr/>
            <w:r>
              <w:rPr>
                <w:sz w:val="19"/>
              </w:rPr>
              <w:t>2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5ACB0B7B">
            <w:pPr/>
            <w:r>
              <w:rPr>
                <w:sz w:val="19"/>
              </w:rPr>
              <w:t>System Development and Testing / 系統開發與測試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41A7022F">
            <w:pPr/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3C27604B">
            <w:pPr/>
          </w:p>
        </w:tc>
      </w:tr>
      <w:tr w14:paraId="368D12C6">
        <w:tblPrEx>
          <w:tblLayout w:type="fixed"/>
        </w:tblPrEx>
        <w:trPr>
          <w:trHeight w:val="720" w:hRule="atLeast"/>
          <w:jc w:val="center"/>
        </w:trPr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05960ADE">
            <w:pPr/>
            <w:r>
              <w:rPr>
                <w:sz w:val="19"/>
              </w:rPr>
              <w:t>3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5CB6AECC">
            <w:pPr/>
            <w:r>
              <w:rPr>
                <w:sz w:val="19"/>
              </w:rPr>
              <w:t>System and User Acceptance (SIT / UAT) / 系統與使用者驗收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3623B9C9">
            <w:pPr/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0A963884">
            <w:pPr/>
          </w:p>
        </w:tc>
      </w:tr>
      <w:tr w14:paraId="0DD05E68">
        <w:tblPrEx>
          <w:tblLayout w:type="fixed"/>
        </w:tblPrEx>
        <w:trPr>
          <w:trHeight w:val="720" w:hRule="atLeast"/>
          <w:jc w:val="center"/>
        </w:trPr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03ED8A34">
            <w:pPr/>
            <w:r>
              <w:rPr>
                <w:sz w:val="19"/>
              </w:rPr>
              <w:t>4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7C1CBC52">
            <w:pPr/>
            <w:r>
              <w:rPr>
                <w:sz w:val="19"/>
              </w:rPr>
              <w:t>User Training (≥ 10 sessions per RFI 4.3.14.3) / 使用者培訓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11E906B6">
            <w:pPr/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321E394E">
            <w:pPr/>
          </w:p>
        </w:tc>
      </w:tr>
      <w:tr w14:paraId="093F1BB1">
        <w:tblPrEx>
          <w:tblLayout w:type="fixed"/>
        </w:tblPrEx>
        <w:trPr>
          <w:trHeight w:val="720" w:hRule="atLeast"/>
          <w:jc w:val="center"/>
        </w:trPr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544DF390">
            <w:pPr/>
            <w:r>
              <w:rPr>
                <w:sz w:val="19"/>
              </w:rPr>
              <w:t>5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18B52186">
            <w:pPr/>
            <w:r>
              <w:rPr>
                <w:sz w:val="19"/>
              </w:rPr>
              <w:t>System Rollout / 系統上線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0B7A694B">
            <w:pPr/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12C049B4">
            <w:pPr/>
          </w:p>
        </w:tc>
      </w:tr>
      <w:tr w14:paraId="6DCE1FF2">
        <w:tblPrEx>
          <w:tblLayout w:type="fixed"/>
        </w:tblPrEx>
        <w:trPr>
          <w:trHeight w:val="720" w:hRule="atLeast"/>
          <w:jc w:val="center"/>
        </w:trPr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662ECB24">
            <w:pPr/>
            <w:r>
              <w:rPr>
                <w:sz w:val="19"/>
              </w:rPr>
              <w:t>6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23CBBF04">
            <w:pPr/>
            <w:r>
              <w:rPr>
                <w:sz w:val="19"/>
              </w:rPr>
              <w:t>System Nursing (3 months) / 系統維護期</w:t>
            </w:r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559469BE">
            <w:pPr/>
          </w:p>
        </w:tc>
        <w:tc>
          <w:tcPr>
            <w:tcW w:w="255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vAlign w:val="top"/>
          </w:tcPr>
          <w:p w14:paraId="43D7A520">
            <w:pPr/>
          </w:p>
        </w:tc>
      </w:tr>
    </w:tbl>
    <w:p w14:paraId="664E54D3">
      <w:pPr/>
    </w:p>
    <w:sectPr>
      <w:pgSz w:w="12240" w:h="15840"/>
      <w:pgMar w:top="1134" w:right="1020" w:bottom="1134" w:left="10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ＭＳ 明朝"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unhideWhenUsed/>
    <w:uiPriority w:val="1"/>
  </w:style>
  <w:style w:type="table" w:default="1" w:styleId="3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uiPriority w:val="99"/>
  </w:style>
  <w:style w:type="character" w:customStyle="1" w:styleId="136">
    <w:name w:val="Footer Char"/>
    <w:basedOn w:val="32"/>
    <w:link w:val="24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uiPriority w:val="99"/>
  </w:style>
  <w:style w:type="character" w:customStyle="1" w:styleId="145">
    <w:name w:val="Body Text 2 Char"/>
    <w:basedOn w:val="32"/>
    <w:link w:val="28"/>
    <w:uiPriority w:val="99"/>
  </w:style>
  <w:style w:type="character" w:customStyle="1" w:styleId="146">
    <w:name w:val="Body Text 3 Char"/>
    <w:basedOn w:val="32"/>
    <w:link w:val="17"/>
    <w:uiPriority w:val="99"/>
    <w:rPr>
      <w:sz w:val="16"/>
      <w:szCs w:val="16"/>
    </w:rPr>
  </w:style>
  <w:style w:type="character" w:customStyle="1" w:styleId="147">
    <w:name w:val="Macro Text Char"/>
    <w:basedOn w:val="32"/>
    <w:link w:val="13"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iPhone</cp:lastModifiedBy>
  <dcterms:modified xsi:type="dcterms:W3CDTF">2026-05-25T14:24:29Z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7127341ACE593F0807EB136A209D0910_31</vt:lpwstr>
  </property>
  <property fmtid="{D5CDD505-2E9C-101B-9397-08002B2CF9AE}" pid="3" name="KSOProductBuildVer">
    <vt:lpwstr>2052-12.45.0</vt:lpwstr>
  </property>
</Properties>
</file>