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tích hợp API công khai</w:t>
        <w:br/>
        <w:t>/api/v1/public/plans/pricing</w:t>
      </w:r>
    </w:p>
    <w:p>
      <w:pPr>
        <w:jc w:val="center"/>
      </w:pPr>
      <w:r>
        <w:rPr>
          <w:i/>
        </w:rPr>
        <w:t>Dành cho hệ thống/đối tác cần lấy danh sách biểu giá gói dịch vụ để hiển thị hoặc lựa chọn gói.</w:t>
      </w:r>
    </w:p>
    <w:p>
      <w:r>
        <w:t>Nguồn đối chiếu: cấu hình deploy, Nginx, Spring Security, PublicPlanController, RetailPlanScheduleRepository và entity PlanPricingRule trong source code hiện tại.</w:t>
      </w:r>
    </w:p>
    <w:p>
      <w:pPr>
        <w:pStyle w:val="Heading1"/>
      </w:pPr>
      <w:r>
        <w:t>1. Tổng quan</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pPr>
              <w:spacing w:after="0"/>
            </w:pPr>
            <w:r/>
            <w:r>
              <w:rPr>
                <w:rFonts w:ascii="Arial" w:hAnsi="Arial" w:eastAsia="Arial"/>
                <w:b/>
                <w:sz w:val="18"/>
              </w:rPr>
              <w:t>Thuộc tính</w:t>
            </w:r>
          </w:p>
        </w:tc>
        <w:tc>
          <w:tcPr>
            <w:tcW w:type="dxa" w:w="6803"/>
            <w:shd w:fill="D9EAF7"/>
            <w:vAlign w:val="center"/>
          </w:tcPr>
          <w:p>
            <w:pPr>
              <w:spacing w:after="0"/>
            </w:pPr>
            <w:r/>
            <w:r>
              <w:rPr>
                <w:rFonts w:ascii="Arial" w:hAnsi="Arial" w:eastAsia="Arial"/>
                <w:b/>
                <w:sz w:val="18"/>
              </w:rPr>
              <w:t>Giá trị</w:t>
            </w:r>
          </w:p>
        </w:tc>
      </w:tr>
      <w:tr>
        <w:tc>
          <w:tcPr>
            <w:tcW w:type="dxa" w:w="2268"/>
            <w:vAlign w:val="top"/>
          </w:tcPr>
          <w:p>
            <w:pPr>
              <w:spacing w:after="0"/>
            </w:pPr>
            <w:r/>
            <w:r>
              <w:rPr>
                <w:rFonts w:ascii="Arial" w:hAnsi="Arial" w:eastAsia="Arial"/>
                <w:b w:val="0"/>
                <w:sz w:val="18"/>
              </w:rPr>
              <w:t>Tên API</w:t>
            </w:r>
          </w:p>
        </w:tc>
        <w:tc>
          <w:tcPr>
            <w:tcW w:type="dxa" w:w="6803"/>
            <w:vAlign w:val="top"/>
          </w:tcPr>
          <w:p>
            <w:pPr>
              <w:spacing w:after="0"/>
            </w:pPr>
            <w:r/>
            <w:r>
              <w:rPr>
                <w:rFonts w:ascii="Arial" w:hAnsi="Arial" w:eastAsia="Arial"/>
                <w:b w:val="0"/>
                <w:sz w:val="18"/>
              </w:rPr>
              <w:t>Lấy danh sách biểu giá các gói public</w:t>
            </w:r>
          </w:p>
        </w:tc>
      </w:tr>
      <w:tr>
        <w:tc>
          <w:tcPr>
            <w:tcW w:type="dxa" w:w="2268"/>
            <w:vAlign w:val="top"/>
          </w:tcPr>
          <w:p>
            <w:pPr>
              <w:spacing w:after="0"/>
            </w:pPr>
            <w:r/>
            <w:r>
              <w:rPr>
                <w:rFonts w:ascii="Arial" w:hAnsi="Arial" w:eastAsia="Arial"/>
                <w:b w:val="0"/>
                <w:sz w:val="18"/>
              </w:rPr>
              <w:t>HTTP method</w:t>
            </w:r>
          </w:p>
        </w:tc>
        <w:tc>
          <w:tcPr>
            <w:tcW w:type="dxa" w:w="6803"/>
            <w:vAlign w:val="top"/>
          </w:tcPr>
          <w:p>
            <w:pPr>
              <w:spacing w:after="0"/>
            </w:pPr>
            <w:r/>
            <w:r>
              <w:rPr>
                <w:rFonts w:ascii="Arial" w:hAnsi="Arial" w:eastAsia="Arial"/>
                <w:b w:val="0"/>
                <w:sz w:val="18"/>
              </w:rPr>
              <w:t>GET</w:t>
            </w:r>
          </w:p>
        </w:tc>
      </w:tr>
      <w:tr>
        <w:tc>
          <w:tcPr>
            <w:tcW w:type="dxa" w:w="2268"/>
            <w:vAlign w:val="top"/>
          </w:tcPr>
          <w:p>
            <w:pPr>
              <w:spacing w:after="0"/>
            </w:pPr>
            <w:r/>
            <w:r>
              <w:rPr>
                <w:rFonts w:ascii="Arial" w:hAnsi="Arial" w:eastAsia="Arial"/>
                <w:b w:val="0"/>
                <w:sz w:val="18"/>
              </w:rPr>
              <w:t>Path</w:t>
            </w:r>
          </w:p>
        </w:tc>
        <w:tc>
          <w:tcPr>
            <w:tcW w:type="dxa" w:w="6803"/>
            <w:vAlign w:val="top"/>
          </w:tcPr>
          <w:p>
            <w:pPr>
              <w:spacing w:after="0"/>
            </w:pPr>
            <w:r/>
            <w:r>
              <w:rPr>
                <w:rFonts w:ascii="Arial" w:hAnsi="Arial" w:eastAsia="Arial"/>
                <w:b w:val="0"/>
                <w:sz w:val="18"/>
              </w:rPr>
              <w:t>/api/v1/public/plans/pricing</w:t>
            </w:r>
          </w:p>
        </w:tc>
      </w:tr>
      <w:tr>
        <w:tc>
          <w:tcPr>
            <w:tcW w:type="dxa" w:w="2268"/>
            <w:vAlign w:val="top"/>
          </w:tcPr>
          <w:p>
            <w:pPr>
              <w:spacing w:after="0"/>
            </w:pPr>
            <w:r/>
            <w:r>
              <w:rPr>
                <w:rFonts w:ascii="Arial" w:hAnsi="Arial" w:eastAsia="Arial"/>
                <w:b w:val="0"/>
                <w:sz w:val="18"/>
              </w:rPr>
              <w:t>Xác thực</w:t>
            </w:r>
          </w:p>
        </w:tc>
        <w:tc>
          <w:tcPr>
            <w:tcW w:type="dxa" w:w="6803"/>
            <w:vAlign w:val="top"/>
          </w:tcPr>
          <w:p>
            <w:pPr>
              <w:spacing w:after="0"/>
            </w:pPr>
            <w:r/>
            <w:r>
              <w:rPr>
                <w:rFonts w:ascii="Arial" w:hAnsi="Arial" w:eastAsia="Arial"/>
                <w:b w:val="0"/>
                <w:sz w:val="18"/>
              </w:rPr>
              <w:t>Không yêu cầu access token/JWT. SecurityConfig cho phép public GET /api/v1/public/plans/**.</w:t>
            </w:r>
          </w:p>
        </w:tc>
      </w:tr>
      <w:tr>
        <w:tc>
          <w:tcPr>
            <w:tcW w:type="dxa" w:w="2268"/>
            <w:vAlign w:val="top"/>
          </w:tcPr>
          <w:p>
            <w:pPr>
              <w:spacing w:after="0"/>
            </w:pPr>
            <w:r/>
            <w:r>
              <w:rPr>
                <w:rFonts w:ascii="Arial" w:hAnsi="Arial" w:eastAsia="Arial"/>
                <w:b w:val="0"/>
                <w:sz w:val="18"/>
              </w:rPr>
              <w:t>Content-Type response</w:t>
            </w:r>
          </w:p>
        </w:tc>
        <w:tc>
          <w:tcPr>
            <w:tcW w:type="dxa" w:w="6803"/>
            <w:vAlign w:val="top"/>
          </w:tcPr>
          <w:p>
            <w:pPr>
              <w:spacing w:after="0"/>
            </w:pPr>
            <w:r/>
            <w:r>
              <w:rPr>
                <w:rFonts w:ascii="Arial" w:hAnsi="Arial" w:eastAsia="Arial"/>
                <w:b w:val="0"/>
                <w:sz w:val="18"/>
              </w:rPr>
              <w:t>application/json; charset=UTF-8</w:t>
            </w:r>
          </w:p>
        </w:tc>
      </w:tr>
      <w:tr>
        <w:tc>
          <w:tcPr>
            <w:tcW w:type="dxa" w:w="2268"/>
            <w:vAlign w:val="top"/>
          </w:tcPr>
          <w:p>
            <w:pPr>
              <w:spacing w:after="0"/>
            </w:pPr>
            <w:r/>
            <w:r>
              <w:rPr>
                <w:rFonts w:ascii="Arial" w:hAnsi="Arial" w:eastAsia="Arial"/>
                <w:b w:val="0"/>
                <w:sz w:val="18"/>
              </w:rPr>
              <w:t>Request body</w:t>
            </w:r>
          </w:p>
        </w:tc>
        <w:tc>
          <w:tcPr>
            <w:tcW w:type="dxa" w:w="6803"/>
            <w:vAlign w:val="top"/>
          </w:tcPr>
          <w:p>
            <w:pPr>
              <w:spacing w:after="0"/>
            </w:pPr>
            <w:r/>
            <w:r>
              <w:rPr>
                <w:rFonts w:ascii="Arial" w:hAnsi="Arial" w:eastAsia="Arial"/>
                <w:b w:val="0"/>
                <w:sz w:val="18"/>
              </w:rPr>
              <w:t>Không có</w:t>
            </w:r>
          </w:p>
        </w:tc>
      </w:tr>
      <w:tr>
        <w:tc>
          <w:tcPr>
            <w:tcW w:type="dxa" w:w="2268"/>
            <w:vAlign w:val="top"/>
          </w:tcPr>
          <w:p>
            <w:pPr>
              <w:spacing w:after="0"/>
            </w:pPr>
            <w:r/>
            <w:r>
              <w:rPr>
                <w:rFonts w:ascii="Arial" w:hAnsi="Arial" w:eastAsia="Arial"/>
                <w:b w:val="0"/>
                <w:sz w:val="18"/>
              </w:rPr>
              <w:t>Query parameter</w:t>
            </w:r>
          </w:p>
        </w:tc>
        <w:tc>
          <w:tcPr>
            <w:tcW w:type="dxa" w:w="6803"/>
            <w:vAlign w:val="top"/>
          </w:tcPr>
          <w:p>
            <w:pPr>
              <w:spacing w:after="0"/>
            </w:pPr>
            <w:r/>
            <w:r>
              <w:rPr>
                <w:rFonts w:ascii="Arial" w:hAnsi="Arial" w:eastAsia="Arial"/>
                <w:b w:val="0"/>
                <w:sz w:val="18"/>
              </w:rPr>
              <w:t>Không có</w:t>
            </w:r>
          </w:p>
        </w:tc>
      </w:tr>
      <w:tr>
        <w:tc>
          <w:tcPr>
            <w:tcW w:type="dxa" w:w="2268"/>
            <w:vAlign w:val="top"/>
          </w:tcPr>
          <w:p>
            <w:pPr>
              <w:spacing w:after="0"/>
            </w:pPr>
            <w:r/>
            <w:r>
              <w:rPr>
                <w:rFonts w:ascii="Arial" w:hAnsi="Arial" w:eastAsia="Arial"/>
                <w:b w:val="0"/>
                <w:sz w:val="18"/>
              </w:rPr>
              <w:t>Mục đích</w:t>
            </w:r>
          </w:p>
        </w:tc>
        <w:tc>
          <w:tcPr>
            <w:tcW w:type="dxa" w:w="6803"/>
            <w:vAlign w:val="top"/>
          </w:tcPr>
          <w:p>
            <w:pPr>
              <w:spacing w:after="0"/>
            </w:pPr>
            <w:r/>
            <w:r>
              <w:rPr>
                <w:rFonts w:ascii="Arial" w:hAnsi="Arial" w:eastAsia="Arial"/>
                <w:b w:val="0"/>
                <w:sz w:val="18"/>
              </w:rPr>
              <w:t>Trả về các pricing rule đang hoạt động của những lịch gói retail đang có hiệu lực để client hiển thị bảng giá hoặc cho người dùng chọn gói.</w:t>
            </w:r>
          </w:p>
        </w:tc>
      </w:tr>
    </w:tbl>
    <w:p/>
    <w:p>
      <w:pPr>
        <w:pStyle w:val="Heading1"/>
      </w:pPr>
      <w:r>
        <w:t>2. Base URL theo deploy</w:t>
      </w:r>
    </w:p>
    <w:p>
      <w:r/>
      <w:r>
        <w:rPr>
          <w:rFonts w:ascii="Arial" w:hAnsi="Arial" w:eastAsia="Arial"/>
          <w:sz w:val="21"/>
        </w:rPr>
        <w:t>Theo cấu hình deploy hiện tại, API được public qua Nginx/frontend ở host 10.30.21.123, cổng 8123. Các bên tích hợp chỉ cần gọi theo URL bên dưới.</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shd w:fill="D9EAF7"/>
          </w:tcPr>
          <w:p>
            <w:pPr>
              <w:spacing w:after="0"/>
            </w:pPr>
            <w:r/>
            <w:r>
              <w:rPr>
                <w:rFonts w:ascii="Arial" w:hAnsi="Arial" w:eastAsia="Arial"/>
                <w:b/>
                <w:sz w:val="18"/>
              </w:rPr>
              <w:t>URL gọi API</w:t>
            </w:r>
          </w:p>
        </w:tc>
        <w:tc>
          <w:tcPr>
            <w:tcW w:type="dxa" w:w="6804"/>
            <w:gridSpan w:val="2"/>
            <w:shd w:fill="D9EAF7"/>
            <w:vAlign w:val="center"/>
            <w:shd w:fill="D9EAF7"/>
          </w:tcPr>
          <w:p>
            <w:pPr>
              <w:spacing w:after="0"/>
            </w:pPr>
            <w:r/>
            <w:r>
              <w:rPr>
                <w:rFonts w:ascii="Arial" w:hAnsi="Arial" w:eastAsia="Arial"/>
                <w:b/>
                <w:sz w:val="18"/>
              </w:rPr>
              <w:t>Ghi chú</w:t>
            </w:r>
          </w:p>
          <w:p>
            <w:pPr>
              <w:spacing w:after="0"/>
            </w:pPr>
            <w:r/>
            <w:r>
              <w:rPr>
                <w:rFonts w:ascii="Arial" w:hAnsi="Arial" w:eastAsia="Arial"/>
                <w:b/>
                <w:sz w:val="18"/>
              </w:rPr>
              <w:t>Khi nào dùng</w:t>
            </w:r>
          </w:p>
        </w:tc>
      </w:tr>
      <w:tr>
        <w:tc>
          <w:tcPr>
            <w:tcW w:type="dxa" w:w="2268"/>
            <w:vAlign w:val="top"/>
          </w:tcPr>
          <w:p>
            <w:pPr>
              <w:spacing w:after="0"/>
            </w:pPr>
            <w:r/>
            <w:r>
              <w:rPr>
                <w:rFonts w:ascii="Arial" w:hAnsi="Arial" w:eastAsia="Arial"/>
                <w:b w:val="0"/>
                <w:sz w:val="18"/>
              </w:rPr>
              <w:t>http://10.30.21.123:8123/api/v1/public/plans/pricing</w:t>
            </w:r>
          </w:p>
        </w:tc>
        <w:tc>
          <w:tcPr>
            <w:tcW w:type="dxa" w:w="6804"/>
            <w:gridSpan w:val="2"/>
            <w:vAlign w:val="top"/>
          </w:tcPr>
          <w:p>
            <w:pPr>
              <w:spacing w:after="0"/>
            </w:pPr>
            <w:r/>
            <w:r>
              <w:rPr>
                <w:rFonts w:ascii="Arial" w:hAnsi="Arial" w:eastAsia="Arial"/>
                <w:b w:val="0"/>
                <w:sz w:val="18"/>
              </w:rPr>
              <w:t>URL public khuyến nghị cho các bên tích hợp. Endpoint chạy qua Nginx/frontend port 8123 và được proxy về backend nội bộ.</w:t>
            </w:r>
          </w:p>
          <w:p>
            <w:pPr>
              <w:spacing w:after="0"/>
            </w:pPr>
            <w:r/>
            <w:r>
              <w:rPr>
                <w:rFonts w:ascii="Arial" w:hAnsi="Arial" w:eastAsia="Arial"/>
                <w:b w:val="0"/>
                <w:sz w:val="18"/>
              </w:rPr>
              <w:t>Khuyến nghị cho bên ngoài container/deploy vì đúng reverse proxy public.</w:t>
            </w:r>
          </w:p>
        </w:tc>
      </w:tr>
    </w:tbl>
    <w:p/>
    <w:p>
      <w:pPr>
        <w:pStyle w:val="Heading1"/>
      </w:pPr>
      <w:r>
        <w:t>3. Request</w:t>
      </w:r>
    </w:p>
    <w:p>
      <w:r>
        <w:t>API không nhận body và không cần header Authorization. Client nên gửi header Accept để nêu rõ mong muốn nhận JSON.</w:t>
      </w:r>
    </w:p>
    <w:p>
      <w:pPr>
        <w:spacing w:before="60" w:after="120"/>
        <w:ind w:left="227" w:right="113"/>
      </w:pPr>
      <w:r/>
      <w:r>
        <w:rPr>
          <w:rFonts w:ascii="Consolas" w:hAnsi="Consolas" w:eastAsia="Consolas"/>
          <w:sz w:val="17"/>
        </w:rPr>
        <w:t>GET /api/v1/public/plans/pricing HTTP/1.1</w:t>
        <w:br/>
        <w:t>Host: 10.30.21.123:8123</w:t>
        <w:br/>
        <w:t>Accept: application/json</w:t>
      </w:r>
    </w:p>
    <w:p>
      <w:r>
        <w:t>Ví dụ curl:</w:t>
      </w:r>
    </w:p>
    <w:p>
      <w:pPr>
        <w:spacing w:before="60" w:after="120"/>
        <w:ind w:left="227" w:right="113"/>
      </w:pPr>
      <w:r/>
      <w:r>
        <w:rPr>
          <w:rFonts w:ascii="Consolas" w:hAnsi="Consolas" w:eastAsia="Consolas"/>
          <w:sz w:val="17"/>
        </w:rPr>
        <w:t>curl -X GET "http://10.30.21.123:8123/api/v1/public/plans/pricing" -H "Accept: application/json"</w:t>
      </w:r>
    </w:p>
    <w:p>
      <w:pPr>
        <w:pStyle w:val="Heading1"/>
      </w:pPr>
      <w:r>
        <w:t>4. Quy tắc chọn dữ liệu trả về</w:t>
      </w:r>
    </w:p>
    <w:p>
      <w:pPr>
        <w:pStyle w:val="ListBullet"/>
        <w:spacing w:after="40"/>
      </w:pPr>
      <w:r>
        <w:t>API lấy ngày hiện tại của server bằng LocalDate.now().</w:t>
      </w:r>
    </w:p>
    <w:p>
      <w:pPr>
        <w:pStyle w:val="ListBullet"/>
        <w:spacing w:after="40"/>
      </w:pPr>
      <w:r>
        <w:t>Chỉ lấy retail_plan_schedules có schedule_status thuộc ACTIVE hoặc APPROVED.</w:t>
      </w:r>
    </w:p>
    <w:p>
      <w:pPr>
        <w:pStyle w:val="ListBullet"/>
        <w:spacing w:after="40"/>
      </w:pPr>
      <w:r>
        <w:t>Chỉ lấy các schedule có apply_from &lt;= ngày hiện tại.</w:t>
      </w:r>
    </w:p>
    <w:p>
      <w:pPr>
        <w:pStyle w:val="ListBullet"/>
        <w:spacing w:after="40"/>
      </w:pPr>
      <w:r>
        <w:t>Code hiện tại không lọc apply_to, vì vậy schedule đã qua apply_to vẫn có thể được trả về nếu trạng thái còn ACTIVE/APPROVED.</w:t>
      </w:r>
    </w:p>
    <w:p>
      <w:pPr>
        <w:pStyle w:val="ListBullet"/>
        <w:spacing w:after="40"/>
      </w:pPr>
      <w:r>
        <w:t>Với mỗi schedule, API lấy plan_template tương ứng và duyệt danh sách pricingRules.</w:t>
      </w:r>
    </w:p>
    <w:p>
      <w:pPr>
        <w:pStyle w:val="ListBullet"/>
        <w:spacing w:after="40"/>
      </w:pPr>
      <w:r>
        <w:t>Chỉ trả về pricing rule có isActive = true và totalPrice khác null.</w:t>
      </w:r>
    </w:p>
    <w:p>
      <w:pPr>
        <w:pStyle w:val="ListBullet"/>
        <w:spacing w:after="40"/>
      </w:pPr>
      <w:r>
        <w:t>Kết quả được sắp xếp theo subjectType theo thứ tự INDIVIDUAL, ORGANIZATION, INDIVIDUAL_OF_ORG, sau đó theo sortOrder tăng dần trong từng subjectType.</w:t>
      </w:r>
    </w:p>
    <w:p>
      <w:pPr>
        <w:pStyle w:val="ListBullet"/>
        <w:spacing w:after="40"/>
      </w:pPr>
      <w:r>
        <w:t>Response là một mảng JSON trực tiếp, không bọc trong object ApiResponse.</w:t>
      </w:r>
    </w:p>
    <w:p>
      <w:pPr>
        <w:pStyle w:val="Heading1"/>
      </w:pPr>
      <w:r>
        <w:t>5. Response thành công</w:t>
      </w:r>
    </w:p>
    <w:p>
      <w:r>
        <w:t>HTTP status dự kiến: 200 OK. Body là JSON array. Mỗi phần tử là một pricing rule đã được chuyển thành PricingRuleItem.</w:t>
      </w:r>
    </w:p>
    <w:p>
      <w:pPr>
        <w:spacing w:before="60" w:after="120"/>
        <w:ind w:left="227" w:right="113"/>
      </w:pPr>
      <w:r>
        <w:rPr>
          <w:rFonts w:ascii="Consolas" w:hAnsi="Consolas" w:eastAsia="Consolas"/>
          <w:sz w:val="17"/>
        </w:rPr>
        <w:t>[</w:t>
        <w:br/>
        <w:t xml:space="preserve">  {</w:t>
        <w:br/>
        <w:t xml:space="preserve">    "subjectType": "INDIVIDUAL",</w:t>
        <w:br/>
        <w:t xml:space="preserve">    "subjectLabel": "Cá nhân",</w:t>
        <w:br/>
        <w:t xml:space="preserve">    "planName": "Gói cá nhân cơ bản",</w:t>
        <w:br/>
        <w:t xml:space="preserve">    "durationValue": 12,</w:t>
        <w:br/>
        <w:t xml:space="preserve">    "durationUnit": "tháng",</w:t>
        <w:br/>
        <w:t xml:space="preserve">    "pricingMetric": "CERTIFICATE_COUNT",</w:t>
        <w:br/>
        <w:t xml:space="preserve">    "pricingMetricLabel": "Số chứng thư",</w:t>
        <w:br/>
        <w:t xml:space="preserve">    "rangeMin": 1,</w:t>
        <w:br/>
        <w:t xml:space="preserve">    "rangeMax": 1,</w:t>
        <w:br/>
        <w:t xml:space="preserve">    "rangeLabel": "1 - 1",</w:t>
        <w:br/>
        <w:t xml:space="preserve">    "totalPrice": 300000.00,</w:t>
        <w:br/>
        <w:t xml:space="preserve">    "totalPriceFormatted": "300.000đ"</w:t>
        <w:br/>
        <w:t xml:space="preserve">  },</w:t>
        <w:br/>
        <w:t xml:space="preserve">  {</w:t>
        <w:br/>
        <w:t xml:space="preserve">    "subjectType": "ORGANIZATION",</w:t>
        <w:br/>
        <w:t xml:space="preserve">    "subjectLabel": "Tổ chức",</w:t>
        <w:br/>
        <w:t xml:space="preserve">    "planName": "Gói tổ chức",</w:t>
        <w:br/>
        <w:t xml:space="preserve">    "durationValue": 1,</w:t>
        <w:br/>
        <w:t xml:space="preserve">    "durationUnit": "năm",</w:t>
        <w:br/>
        <w:t xml:space="preserve">    "pricingMetric": "SIGNING_COUNT",</w:t>
        <w:br/>
        <w:t xml:space="preserve">    "pricingMetricLabel": "Lượt ký số",</w:t>
        <w:br/>
        <w:t xml:space="preserve">    "rangeMin": 1,</w:t>
        <w:br/>
        <w:t xml:space="preserve">    "rangeMax": null,</w:t>
        <w:br/>
        <w:t xml:space="preserve">    "rangeLabel": "Không giới hạn",</w:t>
        <w:br/>
        <w:t xml:space="preserve">    "totalPrice": 1200000.00,</w:t>
        <w:br/>
        <w:t xml:space="preserve">    "totalPriceFormatted": "1.200.000đ"</w:t>
        <w:br/>
        <w:t xml:space="preserve">  }</w:t>
        <w:br/>
        <w:t>]</w:t>
      </w:r>
    </w:p>
    <w:p>
      <w:pPr>
        <w:pStyle w:val="Heading2"/>
      </w:pPr>
      <w:r>
        <w:rPr>
          <w:rFonts w:ascii="Arial" w:hAnsi="Arial" w:eastAsia="Arial"/>
          <w:sz w:val="21"/>
        </w:rPr>
        <w:t>5.1. Trường cần hiển thị trên card</w:t>
      </w:r>
    </w:p>
    <w:p>
      <w:r>
        <w:rPr>
          <w:rFonts w:ascii="Arial" w:hAnsi="Arial" w:eastAsia="Arial"/>
          <w:sz w:val="21"/>
        </w:rPr>
        <w:t>Phần hiển thị cho người dùng cuối chỉ cần các trường bên dưới. Các field khác trong response dùng để hỗ trợ xử lý, fallback hoặc logic nội bộ của client.</w:t>
      </w:r>
    </w:p>
    <w:p>
      <w:r>
        <w:rPr>
          <w:rFonts w:ascii="Arial" w:hAnsi="Arial" w:eastAsia="Arial"/>
          <w:sz w:val="21"/>
        </w:rPr>
        <w:t>Ví dụ layout card tương ứng:</w:t>
      </w:r>
    </w:p>
    <w:p>
      <w:pPr>
        <w:spacing w:before="60" w:after="120"/>
        <w:ind w:left="360"/>
      </w:pPr>
      <w:r>
        <w:rPr>
          <w:rFonts w:ascii="Consolas" w:hAnsi="Consolas" w:eastAsia="Consolas"/>
          <w:sz w:val="17"/>
        </w:rPr>
        <w:t>Gói cơ bản</w:t>
        <w:br/>
        <w:t>Thời gian sử dụng                         3 tháng</w:t>
        <w:br/>
        <w:t>Lượt ký số                              1 - 100 lượt</w:t>
        <w:br/>
        <w:t>Phí dịch vụ                            1.000.000đ</w:t>
        <w:br/>
        <w:br/>
        <w:t>Gói cơ bản</w:t>
        <w:br/>
        <w:t>Thời gian sử dụng                         6 tháng</w:t>
        <w:br/>
        <w:t>Số chứng thư                         1 - 300 chứng thư</w:t>
        <w:br/>
        <w:t>Phí dịch vụ                            6.000.000đ</w:t>
        <w:br/>
        <w:br/>
        <w:t>Gói cơ bản</w:t>
        <w:br/>
        <w:t>Thời gian sử dụng                        12 tháng</w:t>
        <w:br/>
        <w:t>Lượt ký số                           Không giới hạn</w:t>
        <w:br/>
        <w:t>Phí dịch vụ                           10.000.000đ</w:t>
      </w:r>
    </w:p>
    <w:tbl>
      <w:tblPr>
        <w:tblStyle w:val="TableGrid"/>
        <w:tblW w:type="auto" w:w="0"/>
        <w:tblLook w:firstColumn="1" w:firstRow="1" w:lastColumn="0" w:lastRow="0" w:noHBand="0" w:noVBand="1" w:val="04A0"/>
      </w:tblPr>
      <w:tblGrid>
        <w:gridCol w:w="2578"/>
        <w:gridCol w:w="2578"/>
        <w:gridCol w:w="2578"/>
        <w:gridCol w:w="2578"/>
      </w:tblGrid>
      <w:tr>
        <w:tc>
          <w:tcPr>
            <w:tcW w:type="dxa" w:w="1984"/>
            <w:shd w:fill="D9EAF7"/>
          </w:tcPr>
          <w:p>
            <w:pPr>
              <w:spacing w:after="0"/>
            </w:pPr>
            <w:r/>
            <w:r>
              <w:rPr>
                <w:rFonts w:ascii="Arial" w:hAnsi="Arial" w:eastAsia="Arial"/>
                <w:b/>
                <w:sz w:val="18"/>
              </w:rPr>
              <w:t>Vị trí trên card</w:t>
            </w:r>
          </w:p>
        </w:tc>
        <w:tc>
          <w:tcPr>
            <w:tcW w:type="dxa" w:w="2381"/>
            <w:shd w:fill="D9EAF7"/>
          </w:tcPr>
          <w:p>
            <w:pPr>
              <w:spacing w:after="0"/>
            </w:pPr>
            <w:r/>
            <w:r>
              <w:rPr>
                <w:rFonts w:ascii="Arial" w:hAnsi="Arial" w:eastAsia="Arial"/>
                <w:b/>
                <w:sz w:val="18"/>
              </w:rPr>
              <w:t>Field lấy từ API</w:t>
            </w:r>
          </w:p>
        </w:tc>
        <w:tc>
          <w:tcPr>
            <w:tcW w:type="dxa" w:w="3969"/>
            <w:shd w:fill="D9EAF7"/>
          </w:tcPr>
          <w:p>
            <w:pPr>
              <w:spacing w:after="0"/>
            </w:pPr>
            <w:r/>
            <w:r>
              <w:rPr>
                <w:rFonts w:ascii="Arial" w:hAnsi="Arial" w:eastAsia="Arial"/>
                <w:b/>
                <w:sz w:val="18"/>
              </w:rPr>
              <w:t>Cách hiển thị</w:t>
            </w:r>
          </w:p>
        </w:tc>
        <w:tc>
          <w:tcPr>
            <w:tcW w:type="dxa" w:w="1701"/>
            <w:shd w:fill="D9EAF7"/>
          </w:tcPr>
          <w:p>
            <w:pPr>
              <w:spacing w:after="0"/>
            </w:pPr>
            <w:r/>
            <w:r>
              <w:rPr>
                <w:rFonts w:ascii="Arial" w:hAnsi="Arial" w:eastAsia="Arial"/>
                <w:b/>
                <w:sz w:val="18"/>
              </w:rPr>
              <w:t>Màu chú thích</w:t>
            </w:r>
          </w:p>
        </w:tc>
      </w:tr>
      <w:tr>
        <w:tc>
          <w:tcPr>
            <w:tcW w:type="dxa" w:w="1984"/>
            <w:vAlign w:val="top"/>
            <w:shd w:fill="D9EAF7"/>
          </w:tcPr>
          <w:p>
            <w:pPr>
              <w:spacing w:after="0"/>
            </w:pPr>
            <w:r/>
            <w:r>
              <w:rPr>
                <w:rFonts w:ascii="Arial" w:hAnsi="Arial" w:eastAsia="Arial"/>
                <w:b w:val="0"/>
                <w:sz w:val="18"/>
              </w:rPr>
              <w:t>Tên gói</w:t>
            </w:r>
          </w:p>
        </w:tc>
        <w:tc>
          <w:tcPr>
            <w:tcW w:type="dxa" w:w="2381"/>
            <w:vAlign w:val="top"/>
            <w:shd w:fill="D9EAF7"/>
          </w:tcPr>
          <w:p>
            <w:pPr>
              <w:spacing w:after="0"/>
            </w:pPr>
            <w:r/>
            <w:r>
              <w:rPr>
                <w:rFonts w:ascii="Arial" w:hAnsi="Arial" w:eastAsia="Arial"/>
                <w:b w:val="0"/>
                <w:sz w:val="18"/>
              </w:rPr>
              <w:t>planName</w:t>
            </w:r>
          </w:p>
        </w:tc>
        <w:tc>
          <w:tcPr>
            <w:tcW w:type="dxa" w:w="3969"/>
            <w:vAlign w:val="top"/>
            <w:shd w:fill="D9EAF7"/>
          </w:tcPr>
          <w:p>
            <w:pPr>
              <w:spacing w:after="0"/>
            </w:pPr>
            <w:r/>
            <w:r>
              <w:rPr>
                <w:rFonts w:ascii="Arial" w:hAnsi="Arial" w:eastAsia="Arial"/>
                <w:b w:val="0"/>
                <w:sz w:val="18"/>
              </w:rPr>
              <w:t>Hiển thị làm tiêu đề card, ví dụ: Gói cơ bản.</w:t>
            </w:r>
          </w:p>
        </w:tc>
        <w:tc>
          <w:tcPr>
            <w:tcW w:type="dxa" w:w="1701"/>
            <w:vAlign w:val="top"/>
            <w:shd w:fill="D9EAF7"/>
          </w:tcPr>
          <w:p>
            <w:pPr>
              <w:spacing w:after="0"/>
            </w:pPr>
            <w:r/>
            <w:r>
              <w:rPr>
                <w:rFonts w:ascii="Arial" w:hAnsi="Arial" w:eastAsia="Arial"/>
                <w:b w:val="0"/>
                <w:sz w:val="18"/>
              </w:rPr>
              <w:t>Màu xanh: field cần hiển thị.</w:t>
            </w:r>
          </w:p>
        </w:tc>
      </w:tr>
      <w:tr>
        <w:tc>
          <w:tcPr>
            <w:tcW w:type="dxa" w:w="1984"/>
            <w:vAlign w:val="top"/>
            <w:shd w:fill="D9EAF7"/>
          </w:tcPr>
          <w:p>
            <w:pPr>
              <w:spacing w:after="0"/>
            </w:pPr>
            <w:r/>
            <w:r>
              <w:rPr>
                <w:rFonts w:ascii="Arial" w:hAnsi="Arial" w:eastAsia="Arial"/>
                <w:b w:val="0"/>
                <w:sz w:val="18"/>
              </w:rPr>
              <w:t>Thời gian sử dụng</w:t>
            </w:r>
          </w:p>
        </w:tc>
        <w:tc>
          <w:tcPr>
            <w:tcW w:type="dxa" w:w="2381"/>
            <w:vAlign w:val="top"/>
            <w:shd w:fill="D9EAF7"/>
          </w:tcPr>
          <w:p>
            <w:pPr>
              <w:spacing w:after="0"/>
            </w:pPr>
            <w:r/>
            <w:r>
              <w:rPr>
                <w:rFonts w:ascii="Arial" w:hAnsi="Arial" w:eastAsia="Arial"/>
                <w:b w:val="0"/>
                <w:sz w:val="18"/>
              </w:rPr>
              <w:t>durationValue + durationUnit</w:t>
            </w:r>
          </w:p>
        </w:tc>
        <w:tc>
          <w:tcPr>
            <w:tcW w:type="dxa" w:w="3969"/>
            <w:vAlign w:val="top"/>
            <w:shd w:fill="D9EAF7"/>
          </w:tcPr>
          <w:p>
            <w:pPr>
              <w:spacing w:after="0"/>
            </w:pPr>
            <w:r/>
            <w:r>
              <w:rPr>
                <w:rFonts w:ascii="Arial" w:hAnsi="Arial" w:eastAsia="Arial"/>
                <w:b w:val="0"/>
                <w:sz w:val="18"/>
              </w:rPr>
              <w:t>Ghép thành '&lt;durationValue&gt; &lt;durationUnit&gt;', ví dụ: 3 tháng, 6 tháng, 12 tháng.</w:t>
            </w:r>
          </w:p>
        </w:tc>
        <w:tc>
          <w:tcPr>
            <w:tcW w:type="dxa" w:w="1701"/>
            <w:vAlign w:val="top"/>
            <w:shd w:fill="D9EAF7"/>
          </w:tcPr>
          <w:p>
            <w:pPr>
              <w:spacing w:after="0"/>
            </w:pPr>
            <w:r/>
            <w:r>
              <w:rPr>
                <w:rFonts w:ascii="Arial" w:hAnsi="Arial" w:eastAsia="Arial"/>
                <w:b w:val="0"/>
                <w:sz w:val="18"/>
              </w:rPr>
              <w:t>Màu xanh: field cần hiển thị.</w:t>
            </w:r>
          </w:p>
        </w:tc>
      </w:tr>
      <w:tr>
        <w:tc>
          <w:tcPr>
            <w:tcW w:type="dxa" w:w="1984"/>
            <w:vAlign w:val="top"/>
            <w:shd w:fill="D9EAF7"/>
          </w:tcPr>
          <w:p>
            <w:pPr>
              <w:spacing w:after="0"/>
            </w:pPr>
            <w:r/>
            <w:r>
              <w:rPr>
                <w:rFonts w:ascii="Arial" w:hAnsi="Arial" w:eastAsia="Arial"/>
                <w:b w:val="0"/>
                <w:sz w:val="18"/>
              </w:rPr>
              <w:t>Chỉ tiêu sử dụng</w:t>
            </w:r>
          </w:p>
        </w:tc>
        <w:tc>
          <w:tcPr>
            <w:tcW w:type="dxa" w:w="2381"/>
            <w:vAlign w:val="top"/>
            <w:shd w:fill="D9EAF7"/>
          </w:tcPr>
          <w:p>
            <w:pPr>
              <w:spacing w:after="0"/>
            </w:pPr>
            <w:r/>
            <w:r>
              <w:rPr>
                <w:rFonts w:ascii="Arial" w:hAnsi="Arial" w:eastAsia="Arial"/>
                <w:b w:val="0"/>
                <w:sz w:val="18"/>
              </w:rPr>
              <w:t>pricingMetricLabel + rangeLabel</w:t>
            </w:r>
          </w:p>
        </w:tc>
        <w:tc>
          <w:tcPr>
            <w:tcW w:type="dxa" w:w="3969"/>
            <w:vAlign w:val="top"/>
            <w:shd w:fill="D9EAF7"/>
          </w:tcPr>
          <w:p>
            <w:pPr>
              <w:spacing w:after="0"/>
            </w:pPr>
            <w:r/>
            <w:r>
              <w:rPr>
                <w:rFonts w:ascii="Arial" w:hAnsi="Arial" w:eastAsia="Arial"/>
                <w:b w:val="0"/>
                <w:sz w:val="18"/>
              </w:rPr>
              <w:t>Label bên trái lấy theo pricingMetricLabel. Giá trị bên phải lấy rangeLabel và thêm đơn vị phù hợp: 'lượt' với SIGNING_COUNT, 'chứng thư' với CERTIFICATE_COUNT.</w:t>
            </w:r>
          </w:p>
        </w:tc>
        <w:tc>
          <w:tcPr>
            <w:tcW w:type="dxa" w:w="1701"/>
            <w:vAlign w:val="top"/>
            <w:shd w:fill="D9EAF7"/>
          </w:tcPr>
          <w:p>
            <w:pPr>
              <w:spacing w:after="0"/>
            </w:pPr>
            <w:r/>
            <w:r>
              <w:rPr>
                <w:rFonts w:ascii="Arial" w:hAnsi="Arial" w:eastAsia="Arial"/>
                <w:b w:val="0"/>
                <w:sz w:val="18"/>
              </w:rPr>
              <w:t>Màu xanh: field cần hiển thị.</w:t>
            </w:r>
          </w:p>
        </w:tc>
      </w:tr>
      <w:tr>
        <w:tc>
          <w:tcPr>
            <w:tcW w:type="dxa" w:w="1984"/>
            <w:vAlign w:val="top"/>
            <w:shd w:fill="FCE4D6"/>
          </w:tcPr>
          <w:p>
            <w:pPr>
              <w:spacing w:after="0"/>
            </w:pPr>
            <w:r/>
            <w:r>
              <w:rPr>
                <w:rFonts w:ascii="Arial" w:hAnsi="Arial" w:eastAsia="Arial"/>
                <w:b w:val="0"/>
                <w:sz w:val="18"/>
              </w:rPr>
              <w:t>Phí dịch vụ</w:t>
            </w:r>
          </w:p>
        </w:tc>
        <w:tc>
          <w:tcPr>
            <w:tcW w:type="dxa" w:w="2381"/>
            <w:vAlign w:val="top"/>
            <w:shd w:fill="FCE4D6"/>
          </w:tcPr>
          <w:p>
            <w:pPr>
              <w:spacing w:after="0"/>
            </w:pPr>
            <w:r/>
            <w:r>
              <w:rPr>
                <w:rFonts w:ascii="Arial" w:hAnsi="Arial" w:eastAsia="Arial"/>
                <w:b w:val="0"/>
                <w:sz w:val="18"/>
              </w:rPr>
              <w:t>totalPriceFormatted</w:t>
            </w:r>
          </w:p>
        </w:tc>
        <w:tc>
          <w:tcPr>
            <w:tcW w:type="dxa" w:w="3969"/>
            <w:vAlign w:val="top"/>
            <w:shd w:fill="FCE4D6"/>
          </w:tcPr>
          <w:p>
            <w:pPr>
              <w:spacing w:after="0"/>
            </w:pPr>
            <w:r/>
            <w:r>
              <w:rPr>
                <w:rFonts w:ascii="Arial" w:hAnsi="Arial" w:eastAsia="Arial"/>
                <w:b w:val="0"/>
                <w:sz w:val="18"/>
              </w:rPr>
              <w:t>Hiển thị giá đã format, ví dụ: 1.000.000đ. Dùng totalPrice nếu cần tính toán.</w:t>
            </w:r>
          </w:p>
        </w:tc>
        <w:tc>
          <w:tcPr>
            <w:tcW w:type="dxa" w:w="1701"/>
            <w:vAlign w:val="top"/>
            <w:shd w:fill="FCE4D6"/>
          </w:tcPr>
          <w:p>
            <w:pPr>
              <w:spacing w:after="0"/>
            </w:pPr>
            <w:r/>
            <w:r>
              <w:rPr>
                <w:rFonts w:ascii="Arial" w:hAnsi="Arial" w:eastAsia="Arial"/>
                <w:b w:val="0"/>
                <w:sz w:val="18"/>
              </w:rPr>
              <w:t>Màu đỏ: field giá cần nhấn mạnh.</w:t>
            </w:r>
          </w:p>
        </w:tc>
      </w:tr>
    </w:tbl>
    <w:p>
      <w:pPr>
        <w:pStyle w:val="Heading1"/>
      </w:pPr>
      <w:r>
        <w:t>6. Chi tiết trường response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701"/>
            <w:shd w:fill="D9EAF7"/>
            <w:vAlign w:val="center"/>
          </w:tcPr>
          <w:p>
            <w:pPr>
              <w:spacing w:after="0"/>
            </w:pPr>
            <w:r/>
            <w:r>
              <w:rPr>
                <w:rFonts w:ascii="Arial" w:hAnsi="Arial" w:eastAsia="Arial"/>
                <w:b/>
                <w:sz w:val="18"/>
              </w:rPr>
              <w:t>Trường</w:t>
            </w:r>
          </w:p>
        </w:tc>
        <w:tc>
          <w:tcPr>
            <w:tcW w:type="dxa" w:w="1417"/>
            <w:shd w:fill="D9EAF7"/>
            <w:vAlign w:val="center"/>
          </w:tcPr>
          <w:p>
            <w:pPr>
              <w:spacing w:after="0"/>
            </w:pPr>
            <w:r/>
            <w:r>
              <w:rPr>
                <w:rFonts w:ascii="Arial" w:hAnsi="Arial" w:eastAsia="Arial"/>
                <w:b/>
                <w:sz w:val="18"/>
              </w:rPr>
              <w:t>Kiểu</w:t>
            </w:r>
          </w:p>
        </w:tc>
        <w:tc>
          <w:tcPr>
            <w:tcW w:type="dxa" w:w="1134"/>
            <w:shd w:fill="D9EAF7"/>
            <w:vAlign w:val="center"/>
          </w:tcPr>
          <w:p>
            <w:pPr>
              <w:spacing w:after="0"/>
            </w:pPr>
            <w:r/>
            <w:r>
              <w:rPr>
                <w:rFonts w:ascii="Arial" w:hAnsi="Arial" w:eastAsia="Arial"/>
                <w:b/>
                <w:sz w:val="18"/>
              </w:rPr>
              <w:t>Bắt buộc</w:t>
            </w:r>
          </w:p>
        </w:tc>
        <w:tc>
          <w:tcPr>
            <w:tcW w:type="dxa" w:w="1984"/>
            <w:shd w:fill="D9EAF7"/>
            <w:vAlign w:val="center"/>
          </w:tcPr>
          <w:p>
            <w:pPr>
              <w:spacing w:after="0"/>
            </w:pPr>
            <w:r/>
            <w:r>
              <w:rPr>
                <w:rFonts w:ascii="Arial" w:hAnsi="Arial" w:eastAsia="Arial"/>
                <w:b/>
                <w:sz w:val="18"/>
              </w:rPr>
              <w:t>Nguồn dữ liệu</w:t>
            </w:r>
          </w:p>
        </w:tc>
        <w:tc>
          <w:tcPr>
            <w:tcW w:type="dxa" w:w="3969"/>
            <w:shd w:fill="D9EAF7"/>
            <w:vAlign w:val="center"/>
          </w:tcPr>
          <w:p>
            <w:pPr>
              <w:spacing w:after="0"/>
            </w:pPr>
            <w:r/>
            <w:r>
              <w:rPr>
                <w:rFonts w:ascii="Arial" w:hAnsi="Arial" w:eastAsia="Arial"/>
                <w:b/>
                <w:sz w:val="18"/>
              </w:rPr>
              <w:t>Ý nghĩa và cách dùng</w:t>
            </w:r>
          </w:p>
        </w:tc>
      </w:tr>
      <w:tr>
        <w:tc>
          <w:tcPr>
            <w:tcW w:type="dxa" w:w="1701"/>
            <w:vAlign w:val="top"/>
            <w:shd w:fill="F2F2F2"/>
          </w:tcPr>
          <w:p>
            <w:pPr>
              <w:spacing w:after="0"/>
            </w:pPr>
            <w:r/>
            <w:r>
              <w:rPr>
                <w:rFonts w:ascii="Arial" w:hAnsi="Arial" w:eastAsia="Arial"/>
                <w:b w:val="0"/>
                <w:sz w:val="18"/>
              </w:rPr>
              <w:t>subjectType</w:t>
            </w:r>
          </w:p>
        </w:tc>
        <w:tc>
          <w:tcPr>
            <w:tcW w:type="dxa" w:w="1417"/>
            <w:vAlign w:val="top"/>
            <w:shd w:fill="F2F2F2"/>
          </w:tcPr>
          <w:p>
            <w:pPr>
              <w:spacing w:after="0"/>
            </w:pPr>
            <w:r/>
            <w:r>
              <w:rPr>
                <w:rFonts w:ascii="Arial" w:hAnsi="Arial" w:eastAsia="Arial"/>
                <w:b w:val="0"/>
                <w:sz w:val="18"/>
              </w:rPr>
              <w:t>string</w:t>
            </w:r>
          </w:p>
        </w:tc>
        <w:tc>
          <w:tcPr>
            <w:tcW w:type="dxa" w:w="1134"/>
            <w:vAlign w:val="top"/>
            <w:shd w:fill="F2F2F2"/>
          </w:tcPr>
          <w:p>
            <w:pPr>
              <w:spacing w:after="0"/>
            </w:pPr>
            <w:r/>
            <w:r>
              <w:rPr>
                <w:rFonts w:ascii="Arial" w:hAnsi="Arial" w:eastAsia="Arial"/>
                <w:b w:val="0"/>
                <w:sz w:val="18"/>
              </w:rPr>
              <w:t>Có</w:t>
            </w:r>
          </w:p>
        </w:tc>
        <w:tc>
          <w:tcPr>
            <w:tcW w:type="dxa" w:w="1984"/>
            <w:vAlign w:val="top"/>
            <w:shd w:fill="F2F2F2"/>
          </w:tcPr>
          <w:p>
            <w:pPr>
              <w:spacing w:after="0"/>
            </w:pPr>
            <w:r/>
            <w:r>
              <w:rPr>
                <w:rFonts w:ascii="Arial" w:hAnsi="Arial" w:eastAsia="Arial"/>
                <w:b w:val="0"/>
                <w:sz w:val="18"/>
              </w:rPr>
              <w:t>plan_pricing_rules.subject_type</w:t>
            </w:r>
          </w:p>
        </w:tc>
        <w:tc>
          <w:tcPr>
            <w:tcW w:type="dxa" w:w="3969"/>
            <w:vAlign w:val="top"/>
            <w:shd w:fill="F2F2F2"/>
          </w:tcPr>
          <w:p>
            <w:pPr>
              <w:spacing w:after="0"/>
            </w:pPr>
            <w:r/>
            <w:r>
              <w:rPr>
                <w:rFonts w:ascii="Arial" w:hAnsi="Arial" w:eastAsia="Arial"/>
                <w:b w:val="0"/>
                <w:sz w:val="18"/>
              </w:rPr>
              <w:t>Loại chủ thể áp dụng giá. Giá trị hợp lệ theo enum: INDIVIDUAL, ORGANIZATION, INDIVIDUAL_OF_ORG.</w:t>
            </w:r>
          </w:p>
        </w:tc>
      </w:tr>
      <w:tr>
        <w:tc>
          <w:tcPr>
            <w:tcW w:type="dxa" w:w="1701"/>
            <w:vAlign w:val="top"/>
            <w:shd w:fill="F2F2F2"/>
          </w:tcPr>
          <w:p>
            <w:pPr>
              <w:spacing w:after="0"/>
            </w:pPr>
            <w:r/>
            <w:r>
              <w:rPr>
                <w:rFonts w:ascii="Arial" w:hAnsi="Arial" w:eastAsia="Arial"/>
                <w:b w:val="0"/>
                <w:sz w:val="18"/>
              </w:rPr>
              <w:t>subjectLabel</w:t>
            </w:r>
          </w:p>
        </w:tc>
        <w:tc>
          <w:tcPr>
            <w:tcW w:type="dxa" w:w="1417"/>
            <w:vAlign w:val="top"/>
            <w:shd w:fill="F2F2F2"/>
          </w:tcPr>
          <w:p>
            <w:pPr>
              <w:spacing w:after="0"/>
            </w:pPr>
            <w:r/>
            <w:r>
              <w:rPr>
                <w:rFonts w:ascii="Arial" w:hAnsi="Arial" w:eastAsia="Arial"/>
                <w:b w:val="0"/>
                <w:sz w:val="18"/>
              </w:rPr>
              <w:t>string</w:t>
            </w:r>
          </w:p>
        </w:tc>
        <w:tc>
          <w:tcPr>
            <w:tcW w:type="dxa" w:w="1134"/>
            <w:vAlign w:val="top"/>
            <w:shd w:fill="F2F2F2"/>
          </w:tcPr>
          <w:p>
            <w:pPr>
              <w:spacing w:after="0"/>
            </w:pPr>
            <w:r/>
            <w:r>
              <w:rPr>
                <w:rFonts w:ascii="Arial" w:hAnsi="Arial" w:eastAsia="Arial"/>
                <w:b w:val="0"/>
                <w:sz w:val="18"/>
              </w:rPr>
              <w:t>Có</w:t>
            </w:r>
          </w:p>
        </w:tc>
        <w:tc>
          <w:tcPr>
            <w:tcW w:type="dxa" w:w="1984"/>
            <w:vAlign w:val="top"/>
            <w:shd w:fill="F2F2F2"/>
          </w:tcPr>
          <w:p>
            <w:pPr>
              <w:spacing w:after="0"/>
            </w:pPr>
            <w:r/>
            <w:r>
              <w:rPr>
                <w:rFonts w:ascii="Arial" w:hAnsi="Arial" w:eastAsia="Arial"/>
                <w:b w:val="0"/>
                <w:sz w:val="18"/>
              </w:rPr>
              <w:t>Mapping từ subjectType</w:t>
            </w:r>
          </w:p>
        </w:tc>
        <w:tc>
          <w:tcPr>
            <w:tcW w:type="dxa" w:w="3969"/>
            <w:vAlign w:val="top"/>
            <w:shd w:fill="F2F2F2"/>
          </w:tcPr>
          <w:p>
            <w:pPr>
              <w:spacing w:after="0"/>
            </w:pPr>
            <w:r/>
            <w:r>
              <w:rPr>
                <w:rFonts w:ascii="Arial" w:hAnsi="Arial" w:eastAsia="Arial"/>
                <w:b w:val="0"/>
                <w:sz w:val="18"/>
              </w:rPr>
              <w:t>Nhãn tiếng Việt để hiển thị. INDIVIDUAL = Cá nhân; ORGANIZATION = Tổ chức; INDIVIDUAL_OF_ORG = Cá nhân thuộc tổ chức. Nếu giá trị lạ, API trả lại nguyên subjectType.</w:t>
            </w:r>
          </w:p>
        </w:tc>
      </w:tr>
      <w:tr>
        <w:tc>
          <w:tcPr>
            <w:tcW w:type="dxa" w:w="1701"/>
            <w:vAlign w:val="top"/>
            <w:shd w:fill="D9EAF7"/>
          </w:tcPr>
          <w:p>
            <w:pPr>
              <w:spacing w:after="0"/>
            </w:pPr>
            <w:r/>
            <w:r>
              <w:rPr>
                <w:rFonts w:ascii="Arial" w:hAnsi="Arial" w:eastAsia="Arial"/>
                <w:b w:val="0"/>
                <w:sz w:val="18"/>
              </w:rPr>
              <w:t>planName</w:t>
            </w:r>
          </w:p>
        </w:tc>
        <w:tc>
          <w:tcPr>
            <w:tcW w:type="dxa" w:w="1417"/>
            <w:vAlign w:val="top"/>
            <w:shd w:fill="D9EAF7"/>
          </w:tcPr>
          <w:p>
            <w:pPr>
              <w:spacing w:after="0"/>
            </w:pPr>
            <w:r/>
            <w:r>
              <w:rPr>
                <w:rFonts w:ascii="Arial" w:hAnsi="Arial" w:eastAsia="Arial"/>
                <w:b w:val="0"/>
                <w:sz w:val="18"/>
              </w:rPr>
              <w:t>string</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plan_templates.plan_name</w:t>
            </w:r>
          </w:p>
        </w:tc>
        <w:tc>
          <w:tcPr>
            <w:tcW w:type="dxa" w:w="3969"/>
            <w:vAlign w:val="top"/>
            <w:shd w:fill="D9EAF7"/>
          </w:tcPr>
          <w:p>
            <w:pPr>
              <w:spacing w:after="0"/>
            </w:pPr>
            <w:r/>
            <w:r>
              <w:rPr>
                <w:rFonts w:ascii="Arial" w:hAnsi="Arial" w:eastAsia="Arial"/>
                <w:b w:val="0"/>
                <w:sz w:val="18"/>
              </w:rPr>
              <w:t>Tên gói dịch vụ chứa pricing rule. Client có thể nhóm các dòng giá theo planName nếu muốn hiển thị theo gói.</w:t>
            </w:r>
          </w:p>
        </w:tc>
      </w:tr>
      <w:tr>
        <w:tc>
          <w:tcPr>
            <w:tcW w:type="dxa" w:w="1701"/>
            <w:vAlign w:val="top"/>
            <w:shd w:fill="D9EAF7"/>
          </w:tcPr>
          <w:p>
            <w:pPr>
              <w:spacing w:after="0"/>
            </w:pPr>
            <w:r/>
            <w:r>
              <w:rPr>
                <w:rFonts w:ascii="Arial" w:hAnsi="Arial" w:eastAsia="Arial"/>
                <w:b w:val="0"/>
                <w:sz w:val="18"/>
              </w:rPr>
              <w:t>durationValue</w:t>
            </w:r>
          </w:p>
        </w:tc>
        <w:tc>
          <w:tcPr>
            <w:tcW w:type="dxa" w:w="1417"/>
            <w:vAlign w:val="top"/>
            <w:shd w:fill="D9EAF7"/>
          </w:tcPr>
          <w:p>
            <w:pPr>
              <w:spacing w:after="0"/>
            </w:pPr>
            <w:r/>
            <w:r>
              <w:rPr>
                <w:rFonts w:ascii="Arial" w:hAnsi="Arial" w:eastAsia="Arial"/>
                <w:b w:val="0"/>
                <w:sz w:val="18"/>
              </w:rPr>
              <w:t>integer</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plan_pricing_rules.certificate_validity_value</w:t>
            </w:r>
          </w:p>
        </w:tc>
        <w:tc>
          <w:tcPr>
            <w:tcW w:type="dxa" w:w="3969"/>
            <w:vAlign w:val="top"/>
            <w:shd w:fill="D9EAF7"/>
          </w:tcPr>
          <w:p>
            <w:pPr>
              <w:spacing w:after="0"/>
            </w:pPr>
            <w:r/>
            <w:r>
              <w:rPr>
                <w:rFonts w:ascii="Arial" w:hAnsi="Arial" w:eastAsia="Arial"/>
                <w:b w:val="0"/>
                <w:sz w:val="18"/>
              </w:rPr>
              <w:t>Số lượng đơn vị hiệu lực của chứng thư/gói. Ví dụ 12 nếu durationUnit là tháng.</w:t>
            </w:r>
          </w:p>
        </w:tc>
      </w:tr>
      <w:tr>
        <w:tc>
          <w:tcPr>
            <w:tcW w:type="dxa" w:w="1701"/>
            <w:vAlign w:val="top"/>
            <w:shd w:fill="D9EAF7"/>
          </w:tcPr>
          <w:p>
            <w:pPr>
              <w:spacing w:after="0"/>
            </w:pPr>
            <w:r/>
            <w:r>
              <w:rPr>
                <w:rFonts w:ascii="Arial" w:hAnsi="Arial" w:eastAsia="Arial"/>
                <w:b w:val="0"/>
                <w:sz w:val="18"/>
              </w:rPr>
              <w:t>durationUnit</w:t>
            </w:r>
          </w:p>
        </w:tc>
        <w:tc>
          <w:tcPr>
            <w:tcW w:type="dxa" w:w="1417"/>
            <w:vAlign w:val="top"/>
            <w:shd w:fill="D9EAF7"/>
          </w:tcPr>
          <w:p>
            <w:pPr>
              <w:spacing w:after="0"/>
            </w:pPr>
            <w:r/>
            <w:r>
              <w:rPr>
                <w:rFonts w:ascii="Arial" w:hAnsi="Arial" w:eastAsia="Arial"/>
                <w:b w:val="0"/>
                <w:sz w:val="18"/>
              </w:rPr>
              <w:t>string</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Mapping từ certificate_validity_unit</w:t>
            </w:r>
          </w:p>
        </w:tc>
        <w:tc>
          <w:tcPr>
            <w:tcW w:type="dxa" w:w="3969"/>
            <w:vAlign w:val="top"/>
            <w:shd w:fill="D9EAF7"/>
          </w:tcPr>
          <w:p>
            <w:pPr>
              <w:spacing w:after="0"/>
            </w:pPr>
            <w:r/>
            <w:r>
              <w:rPr>
                <w:rFonts w:ascii="Arial" w:hAnsi="Arial" w:eastAsia="Arial"/>
                <w:b w:val="0"/>
                <w:sz w:val="18"/>
              </w:rPr>
              <w:t>Đơn vị thời hạn đã chuyển sang nhãn hiển thị tiếng Việt: DAY = ngày, MONTH = tháng, YEAR = năm. Nếu giá trị lạ, API trả lại nguyên mã.</w:t>
            </w:r>
          </w:p>
        </w:tc>
      </w:tr>
      <w:tr>
        <w:tc>
          <w:tcPr>
            <w:tcW w:type="dxa" w:w="1701"/>
            <w:vAlign w:val="top"/>
            <w:shd w:fill="D9EAF7"/>
          </w:tcPr>
          <w:p>
            <w:pPr>
              <w:spacing w:after="0"/>
            </w:pPr>
            <w:r/>
            <w:r>
              <w:rPr>
                <w:rFonts w:ascii="Arial" w:hAnsi="Arial" w:eastAsia="Arial"/>
                <w:b w:val="0"/>
                <w:sz w:val="18"/>
              </w:rPr>
              <w:t>pricingMetric</w:t>
            </w:r>
          </w:p>
        </w:tc>
        <w:tc>
          <w:tcPr>
            <w:tcW w:type="dxa" w:w="1417"/>
            <w:vAlign w:val="top"/>
            <w:shd w:fill="D9EAF7"/>
          </w:tcPr>
          <w:p>
            <w:pPr>
              <w:spacing w:after="0"/>
            </w:pPr>
            <w:r/>
            <w:r>
              <w:rPr>
                <w:rFonts w:ascii="Arial" w:hAnsi="Arial" w:eastAsia="Arial"/>
                <w:b w:val="0"/>
                <w:sz w:val="18"/>
              </w:rPr>
              <w:t>string</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plan_pricing_rules.pricing_metric</w:t>
            </w:r>
          </w:p>
        </w:tc>
        <w:tc>
          <w:tcPr>
            <w:tcW w:type="dxa" w:w="3969"/>
            <w:vAlign w:val="top"/>
            <w:shd w:fill="D9EAF7"/>
          </w:tcPr>
          <w:p>
            <w:pPr>
              <w:spacing w:after="0"/>
            </w:pPr>
            <w:r/>
            <w:r>
              <w:rPr>
                <w:rFonts w:ascii="Arial" w:hAnsi="Arial" w:eastAsia="Arial"/>
                <w:b w:val="0"/>
                <w:sz w:val="18"/>
              </w:rPr>
              <w:t>Cách tính hoặc đơn vị định giá. Giá trị hiện có: CERTIFICATE_COUNT hoặc SIGNING_COUNT.</w:t>
            </w:r>
          </w:p>
        </w:tc>
      </w:tr>
      <w:tr>
        <w:tc>
          <w:tcPr>
            <w:tcW w:type="dxa" w:w="1701"/>
            <w:vAlign w:val="top"/>
            <w:shd w:fill="D9EAF7"/>
          </w:tcPr>
          <w:p>
            <w:pPr>
              <w:spacing w:after="0"/>
            </w:pPr>
            <w:r/>
            <w:r>
              <w:rPr>
                <w:rFonts w:ascii="Arial" w:hAnsi="Arial" w:eastAsia="Arial"/>
                <w:b w:val="0"/>
                <w:sz w:val="18"/>
              </w:rPr>
              <w:t>pricingMetricLabel</w:t>
            </w:r>
          </w:p>
        </w:tc>
        <w:tc>
          <w:tcPr>
            <w:tcW w:type="dxa" w:w="1417"/>
            <w:vAlign w:val="top"/>
            <w:shd w:fill="D9EAF7"/>
          </w:tcPr>
          <w:p>
            <w:pPr>
              <w:spacing w:after="0"/>
            </w:pPr>
            <w:r/>
            <w:r>
              <w:rPr>
                <w:rFonts w:ascii="Arial" w:hAnsi="Arial" w:eastAsia="Arial"/>
                <w:b w:val="0"/>
                <w:sz w:val="18"/>
              </w:rPr>
              <w:t>string</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Mapping từ pricingMetric</w:t>
            </w:r>
          </w:p>
        </w:tc>
        <w:tc>
          <w:tcPr>
            <w:tcW w:type="dxa" w:w="3969"/>
            <w:vAlign w:val="top"/>
            <w:shd w:fill="D9EAF7"/>
          </w:tcPr>
          <w:p>
            <w:pPr>
              <w:spacing w:after="0"/>
            </w:pPr>
            <w:r/>
            <w:r>
              <w:rPr>
                <w:rFonts w:ascii="Arial" w:hAnsi="Arial" w:eastAsia="Arial"/>
                <w:b w:val="0"/>
                <w:sz w:val="18"/>
              </w:rPr>
              <w:t>Label tiếng Việt để hiển thị ở dòng chỉ tiêu sử dụng: CERTIFICATE_COUNT = Số chứng thư; SIGNING_COUNT = Lượt ký số. Nếu giá trị lạ, API trả lại nguyên mã.</w:t>
            </w:r>
          </w:p>
        </w:tc>
      </w:tr>
      <w:tr>
        <w:tc>
          <w:tcPr>
            <w:tcW w:type="dxa" w:w="1701"/>
            <w:vAlign w:val="top"/>
            <w:shd w:fill="F2F2F2"/>
          </w:tcPr>
          <w:p>
            <w:pPr>
              <w:spacing w:after="0"/>
            </w:pPr>
            <w:r/>
            <w:r>
              <w:rPr>
                <w:rFonts w:ascii="Arial" w:hAnsi="Arial" w:eastAsia="Arial"/>
                <w:b w:val="0"/>
                <w:sz w:val="18"/>
              </w:rPr>
              <w:t>rangeMin</w:t>
            </w:r>
          </w:p>
        </w:tc>
        <w:tc>
          <w:tcPr>
            <w:tcW w:type="dxa" w:w="1417"/>
            <w:vAlign w:val="top"/>
            <w:shd w:fill="F2F2F2"/>
          </w:tcPr>
          <w:p>
            <w:pPr>
              <w:spacing w:after="0"/>
            </w:pPr>
            <w:r/>
            <w:r>
              <w:rPr>
                <w:rFonts w:ascii="Arial" w:hAnsi="Arial" w:eastAsia="Arial"/>
                <w:b w:val="0"/>
                <w:sz w:val="18"/>
              </w:rPr>
              <w:t>integer</w:t>
            </w:r>
          </w:p>
        </w:tc>
        <w:tc>
          <w:tcPr>
            <w:tcW w:type="dxa" w:w="1134"/>
            <w:vAlign w:val="top"/>
            <w:shd w:fill="F2F2F2"/>
          </w:tcPr>
          <w:p>
            <w:pPr>
              <w:spacing w:after="0"/>
            </w:pPr>
            <w:r/>
            <w:r>
              <w:rPr>
                <w:rFonts w:ascii="Arial" w:hAnsi="Arial" w:eastAsia="Arial"/>
                <w:b w:val="0"/>
                <w:sz w:val="18"/>
              </w:rPr>
              <w:t>Có</w:t>
            </w:r>
          </w:p>
        </w:tc>
        <w:tc>
          <w:tcPr>
            <w:tcW w:type="dxa" w:w="1984"/>
            <w:vAlign w:val="top"/>
            <w:shd w:fill="F2F2F2"/>
          </w:tcPr>
          <w:p>
            <w:pPr>
              <w:spacing w:after="0"/>
            </w:pPr>
            <w:r/>
            <w:r>
              <w:rPr>
                <w:rFonts w:ascii="Arial" w:hAnsi="Arial" w:eastAsia="Arial"/>
                <w:b w:val="0"/>
                <w:sz w:val="18"/>
              </w:rPr>
              <w:t>plan_pricing_rules.range_min</w:t>
            </w:r>
          </w:p>
        </w:tc>
        <w:tc>
          <w:tcPr>
            <w:tcW w:type="dxa" w:w="3969"/>
            <w:vAlign w:val="top"/>
            <w:shd w:fill="F2F2F2"/>
          </w:tcPr>
          <w:p>
            <w:pPr>
              <w:spacing w:after="0"/>
            </w:pPr>
            <w:r/>
            <w:r>
              <w:rPr>
                <w:rFonts w:ascii="Arial" w:hAnsi="Arial" w:eastAsia="Arial"/>
                <w:b w:val="0"/>
                <w:sz w:val="18"/>
              </w:rPr>
              <w:t>Ngưỡng tối thiểu của bậc giá. Cách hiểu phụ thuộc pricingMetric: số chứng thư hoặc số lượt ký.</w:t>
            </w:r>
          </w:p>
        </w:tc>
      </w:tr>
      <w:tr>
        <w:tc>
          <w:tcPr>
            <w:tcW w:type="dxa" w:w="1701"/>
            <w:vAlign w:val="top"/>
            <w:shd w:fill="F2F2F2"/>
          </w:tcPr>
          <w:p>
            <w:pPr>
              <w:spacing w:after="0"/>
            </w:pPr>
            <w:r/>
            <w:r>
              <w:rPr>
                <w:rFonts w:ascii="Arial" w:hAnsi="Arial" w:eastAsia="Arial"/>
                <w:b w:val="0"/>
                <w:sz w:val="18"/>
              </w:rPr>
              <w:t>rangeMax</w:t>
            </w:r>
          </w:p>
        </w:tc>
        <w:tc>
          <w:tcPr>
            <w:tcW w:type="dxa" w:w="1417"/>
            <w:vAlign w:val="top"/>
            <w:shd w:fill="F2F2F2"/>
          </w:tcPr>
          <w:p>
            <w:pPr>
              <w:spacing w:after="0"/>
            </w:pPr>
            <w:r/>
            <w:r>
              <w:rPr>
                <w:rFonts w:ascii="Arial" w:hAnsi="Arial" w:eastAsia="Arial"/>
                <w:b w:val="0"/>
                <w:sz w:val="18"/>
              </w:rPr>
              <w:t>integer hoặc null</w:t>
            </w:r>
          </w:p>
        </w:tc>
        <w:tc>
          <w:tcPr>
            <w:tcW w:type="dxa" w:w="1134"/>
            <w:vAlign w:val="top"/>
            <w:shd w:fill="F2F2F2"/>
          </w:tcPr>
          <w:p>
            <w:pPr>
              <w:spacing w:after="0"/>
            </w:pPr>
            <w:r/>
            <w:r>
              <w:rPr>
                <w:rFonts w:ascii="Arial" w:hAnsi="Arial" w:eastAsia="Arial"/>
                <w:b w:val="0"/>
                <w:sz w:val="18"/>
              </w:rPr>
              <w:t>Không</w:t>
            </w:r>
          </w:p>
        </w:tc>
        <w:tc>
          <w:tcPr>
            <w:tcW w:type="dxa" w:w="1984"/>
            <w:vAlign w:val="top"/>
            <w:shd w:fill="F2F2F2"/>
          </w:tcPr>
          <w:p>
            <w:pPr>
              <w:spacing w:after="0"/>
            </w:pPr>
            <w:r/>
            <w:r>
              <w:rPr>
                <w:rFonts w:ascii="Arial" w:hAnsi="Arial" w:eastAsia="Arial"/>
                <w:b w:val="0"/>
                <w:sz w:val="18"/>
              </w:rPr>
              <w:t>plan_pricing_rules.range_max</w:t>
            </w:r>
          </w:p>
        </w:tc>
        <w:tc>
          <w:tcPr>
            <w:tcW w:type="dxa" w:w="3969"/>
            <w:vAlign w:val="top"/>
            <w:shd w:fill="F2F2F2"/>
          </w:tcPr>
          <w:p>
            <w:pPr>
              <w:spacing w:after="0"/>
            </w:pPr>
            <w:r/>
            <w:r>
              <w:rPr>
                <w:rFonts w:ascii="Arial" w:hAnsi="Arial" w:eastAsia="Arial"/>
                <w:b w:val="0"/>
                <w:sz w:val="18"/>
              </w:rPr>
              <w:t>Ngưỡng tối đa của bậc giá. Null nghĩa là không giới hạn trên.</w:t>
            </w:r>
          </w:p>
        </w:tc>
      </w:tr>
      <w:tr>
        <w:tc>
          <w:tcPr>
            <w:tcW w:type="dxa" w:w="1701"/>
            <w:vAlign w:val="top"/>
            <w:shd w:fill="D9EAF7"/>
          </w:tcPr>
          <w:p>
            <w:pPr>
              <w:spacing w:after="0"/>
            </w:pPr>
            <w:r/>
            <w:r>
              <w:rPr>
                <w:rFonts w:ascii="Arial" w:hAnsi="Arial" w:eastAsia="Arial"/>
                <w:b w:val="0"/>
                <w:sz w:val="18"/>
              </w:rPr>
              <w:t>rangeLabel</w:t>
            </w:r>
          </w:p>
        </w:tc>
        <w:tc>
          <w:tcPr>
            <w:tcW w:type="dxa" w:w="1417"/>
            <w:vAlign w:val="top"/>
            <w:shd w:fill="D9EAF7"/>
          </w:tcPr>
          <w:p>
            <w:pPr>
              <w:spacing w:after="0"/>
            </w:pPr>
            <w:r/>
            <w:r>
              <w:rPr>
                <w:rFonts w:ascii="Arial" w:hAnsi="Arial" w:eastAsia="Arial"/>
                <w:b w:val="0"/>
                <w:sz w:val="18"/>
              </w:rPr>
              <w:t>string</w:t>
            </w:r>
          </w:p>
        </w:tc>
        <w:tc>
          <w:tcPr>
            <w:tcW w:type="dxa" w:w="1134"/>
            <w:vAlign w:val="top"/>
            <w:shd w:fill="D9EAF7"/>
          </w:tcPr>
          <w:p>
            <w:pPr>
              <w:spacing w:after="0"/>
            </w:pPr>
            <w:r/>
            <w:r>
              <w:rPr>
                <w:rFonts w:ascii="Arial" w:hAnsi="Arial" w:eastAsia="Arial"/>
                <w:b w:val="0"/>
                <w:sz w:val="18"/>
              </w:rPr>
              <w:t>Có</w:t>
            </w:r>
          </w:p>
        </w:tc>
        <w:tc>
          <w:tcPr>
            <w:tcW w:type="dxa" w:w="1984"/>
            <w:vAlign w:val="top"/>
            <w:shd w:fill="D9EAF7"/>
          </w:tcPr>
          <w:p>
            <w:pPr>
              <w:spacing w:after="0"/>
            </w:pPr>
            <w:r/>
            <w:r>
              <w:rPr>
                <w:rFonts w:ascii="Arial" w:hAnsi="Arial" w:eastAsia="Arial"/>
                <w:b w:val="0"/>
                <w:sz w:val="18"/>
              </w:rPr>
              <w:t>API tự tạo từ rangeMin/rangeMax</w:t>
            </w:r>
          </w:p>
        </w:tc>
        <w:tc>
          <w:tcPr>
            <w:tcW w:type="dxa" w:w="3969"/>
            <w:vAlign w:val="top"/>
            <w:shd w:fill="D9EAF7"/>
          </w:tcPr>
          <w:p>
            <w:pPr>
              <w:spacing w:after="0"/>
            </w:pPr>
            <w:r/>
            <w:r>
              <w:rPr>
                <w:rFonts w:ascii="Arial" w:hAnsi="Arial" w:eastAsia="Arial"/>
                <w:b w:val="0"/>
                <w:sz w:val="18"/>
              </w:rPr>
              <w:t>Chuỗi hiển thị khoảng sử dụng. Khi render card, ghép thêm đơn vị theo pricingMetric: lượt với SIGNING_COUNT, chứng thư với CERTIFICATE_COUNT. Nếu rangeMax null: Không giới hạn.</w:t>
            </w:r>
          </w:p>
        </w:tc>
      </w:tr>
      <w:tr>
        <w:tc>
          <w:tcPr>
            <w:tcW w:type="dxa" w:w="1701"/>
            <w:vAlign w:val="top"/>
            <w:shd w:fill="FCE4D6"/>
          </w:tcPr>
          <w:p>
            <w:pPr>
              <w:spacing w:after="0"/>
            </w:pPr>
            <w:r/>
            <w:r>
              <w:rPr>
                <w:rFonts w:ascii="Arial" w:hAnsi="Arial" w:eastAsia="Arial"/>
                <w:b w:val="0"/>
                <w:sz w:val="18"/>
              </w:rPr>
              <w:t>totalPrice</w:t>
            </w:r>
          </w:p>
        </w:tc>
        <w:tc>
          <w:tcPr>
            <w:tcW w:type="dxa" w:w="1417"/>
            <w:vAlign w:val="top"/>
            <w:shd w:fill="FCE4D6"/>
          </w:tcPr>
          <w:p>
            <w:pPr>
              <w:spacing w:after="0"/>
            </w:pPr>
            <w:r/>
            <w:r>
              <w:rPr>
                <w:rFonts w:ascii="Arial" w:hAnsi="Arial" w:eastAsia="Arial"/>
                <w:b w:val="0"/>
                <w:sz w:val="18"/>
              </w:rPr>
              <w:t>number</w:t>
            </w:r>
          </w:p>
        </w:tc>
        <w:tc>
          <w:tcPr>
            <w:tcW w:type="dxa" w:w="1134"/>
            <w:vAlign w:val="top"/>
            <w:shd w:fill="FCE4D6"/>
          </w:tcPr>
          <w:p>
            <w:pPr>
              <w:spacing w:after="0"/>
            </w:pPr>
            <w:r/>
            <w:r>
              <w:rPr>
                <w:rFonts w:ascii="Arial" w:hAnsi="Arial" w:eastAsia="Arial"/>
                <w:b w:val="0"/>
                <w:sz w:val="18"/>
              </w:rPr>
              <w:t>Có</w:t>
            </w:r>
          </w:p>
        </w:tc>
        <w:tc>
          <w:tcPr>
            <w:tcW w:type="dxa" w:w="1984"/>
            <w:vAlign w:val="top"/>
            <w:shd w:fill="FCE4D6"/>
          </w:tcPr>
          <w:p>
            <w:pPr>
              <w:spacing w:after="0"/>
            </w:pPr>
            <w:r/>
            <w:r>
              <w:rPr>
                <w:rFonts w:ascii="Arial" w:hAnsi="Arial" w:eastAsia="Arial"/>
                <w:b w:val="0"/>
                <w:sz w:val="18"/>
              </w:rPr>
              <w:t>plan_pricing_rules.total_price</w:t>
            </w:r>
          </w:p>
        </w:tc>
        <w:tc>
          <w:tcPr>
            <w:tcW w:type="dxa" w:w="3969"/>
            <w:vAlign w:val="top"/>
            <w:shd w:fill="FCE4D6"/>
          </w:tcPr>
          <w:p>
            <w:pPr>
              <w:spacing w:after="0"/>
            </w:pPr>
            <w:r/>
            <w:r>
              <w:rPr>
                <w:rFonts w:ascii="Arial" w:hAnsi="Arial" w:eastAsia="Arial"/>
                <w:b w:val="0"/>
                <w:sz w:val="18"/>
              </w:rPr>
              <w:t>Giá tổng dạng số thập phân BigDecimal. Dùng cho tính toán/so sánh/lưu đơn hàng; không cần hiển thị nếu đã dùng totalPriceFormatted.</w:t>
            </w:r>
          </w:p>
        </w:tc>
      </w:tr>
      <w:tr>
        <w:tc>
          <w:tcPr>
            <w:tcW w:type="dxa" w:w="1701"/>
            <w:vAlign w:val="top"/>
            <w:shd w:fill="FCE4D6"/>
          </w:tcPr>
          <w:p>
            <w:pPr>
              <w:spacing w:after="0"/>
            </w:pPr>
            <w:r/>
            <w:r>
              <w:rPr>
                <w:rFonts w:ascii="Arial" w:hAnsi="Arial" w:eastAsia="Arial"/>
                <w:b w:val="0"/>
                <w:sz w:val="18"/>
              </w:rPr>
              <w:t>totalPriceFormatted</w:t>
            </w:r>
          </w:p>
        </w:tc>
        <w:tc>
          <w:tcPr>
            <w:tcW w:type="dxa" w:w="1417"/>
            <w:vAlign w:val="top"/>
            <w:shd w:fill="FCE4D6"/>
          </w:tcPr>
          <w:p>
            <w:pPr>
              <w:spacing w:after="0"/>
            </w:pPr>
            <w:r/>
            <w:r>
              <w:rPr>
                <w:rFonts w:ascii="Arial" w:hAnsi="Arial" w:eastAsia="Arial"/>
                <w:b w:val="0"/>
                <w:sz w:val="18"/>
              </w:rPr>
              <w:t>string</w:t>
            </w:r>
          </w:p>
        </w:tc>
        <w:tc>
          <w:tcPr>
            <w:tcW w:type="dxa" w:w="1134"/>
            <w:vAlign w:val="top"/>
            <w:shd w:fill="FCE4D6"/>
          </w:tcPr>
          <w:p>
            <w:pPr>
              <w:spacing w:after="0"/>
            </w:pPr>
            <w:r/>
            <w:r>
              <w:rPr>
                <w:rFonts w:ascii="Arial" w:hAnsi="Arial" w:eastAsia="Arial"/>
                <w:b w:val="0"/>
                <w:sz w:val="18"/>
              </w:rPr>
              <w:t>Có</w:t>
            </w:r>
          </w:p>
        </w:tc>
        <w:tc>
          <w:tcPr>
            <w:tcW w:type="dxa" w:w="1984"/>
            <w:vAlign w:val="top"/>
            <w:shd w:fill="FCE4D6"/>
          </w:tcPr>
          <w:p>
            <w:pPr>
              <w:spacing w:after="0"/>
            </w:pPr>
            <w:r/>
            <w:r>
              <w:rPr>
                <w:rFonts w:ascii="Arial" w:hAnsi="Arial" w:eastAsia="Arial"/>
                <w:b w:val="0"/>
                <w:sz w:val="18"/>
              </w:rPr>
              <w:t>API format từ totalPrice</w:t>
            </w:r>
          </w:p>
        </w:tc>
        <w:tc>
          <w:tcPr>
            <w:tcW w:type="dxa" w:w="3969"/>
            <w:vAlign w:val="top"/>
            <w:shd w:fill="FCE4D6"/>
          </w:tcPr>
          <w:p>
            <w:pPr>
              <w:spacing w:after="0"/>
            </w:pPr>
            <w:r/>
            <w:r>
              <w:rPr>
                <w:rFonts w:ascii="Arial" w:hAnsi="Arial" w:eastAsia="Arial"/>
                <w:b w:val="0"/>
                <w:sz w:val="18"/>
              </w:rPr>
              <w:t>Giá đã format theo locale vi-VN, bỏ phần thập phân và thêm ký hiệu đ. Đây là field hiển thị ở dòng Phí dịch vụ và nên được nhấn mạnh bằng màu đỏ.</w:t>
            </w:r>
          </w:p>
        </w:tc>
      </w:tr>
    </w:tbl>
    <w:p>
      <w:r>
        <w:br/>
        <w:t xml:space="preserve">Chú thích màu trong bảng: </w:t>
      </w:r>
      <w:r>
        <w:rPr>
          <w:color w:val="0070C0"/>
        </w:rPr>
        <w:t xml:space="preserve">xanh = field cần hiển thị trên card; </w:t>
      </w:r>
      <w:r>
        <w:rPr>
          <w:color w:val="C00000"/>
        </w:rPr>
        <w:t xml:space="preserve">đỏ = field giá cần nhấn mạnh; </w:t>
      </w:r>
      <w:r>
        <w:t>xám = field hỗ trợ/fallback, thường không cần hiện trực tiếp.</w:t>
      </w:r>
    </w:p>
    <w:p>
      <w:pPr>
        <w:pStyle w:val="Heading1"/>
      </w:pPr>
      <w:r>
        <w:t>7. Danh mục giá trị enum cần biết</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pPr>
              <w:spacing w:after="0"/>
            </w:pPr>
            <w:r/>
            <w:r>
              <w:rPr>
                <w:rFonts w:ascii="Arial" w:hAnsi="Arial" w:eastAsia="Arial"/>
                <w:b/>
                <w:sz w:val="18"/>
              </w:rPr>
              <w:t>Nhóm</w:t>
            </w:r>
          </w:p>
        </w:tc>
        <w:tc>
          <w:tcPr>
            <w:tcW w:type="dxa" w:w="2268"/>
            <w:shd w:fill="D9EAF7"/>
            <w:vAlign w:val="center"/>
          </w:tcPr>
          <w:p>
            <w:pPr>
              <w:spacing w:after="0"/>
            </w:pPr>
            <w:r/>
            <w:r>
              <w:rPr>
                <w:rFonts w:ascii="Arial" w:hAnsi="Arial" w:eastAsia="Arial"/>
                <w:b/>
                <w:sz w:val="18"/>
              </w:rPr>
              <w:t>Giá trị</w:t>
            </w:r>
          </w:p>
        </w:tc>
        <w:tc>
          <w:tcPr>
            <w:tcW w:type="dxa" w:w="4535"/>
            <w:shd w:fill="D9EAF7"/>
            <w:vAlign w:val="center"/>
          </w:tcPr>
          <w:p>
            <w:pPr>
              <w:spacing w:after="0"/>
            </w:pPr>
            <w:r/>
            <w:r>
              <w:rPr>
                <w:rFonts w:ascii="Arial" w:hAnsi="Arial" w:eastAsia="Arial"/>
                <w:b/>
                <w:sz w:val="18"/>
              </w:rPr>
              <w:t>Giải thích</w:t>
            </w:r>
          </w:p>
        </w:tc>
      </w:tr>
      <w:tr>
        <w:tc>
          <w:tcPr>
            <w:tcW w:type="dxa" w:w="2268"/>
            <w:vAlign w:val="top"/>
          </w:tcPr>
          <w:p>
            <w:pPr>
              <w:spacing w:after="0"/>
            </w:pPr>
            <w:r/>
            <w:r>
              <w:rPr>
                <w:rFonts w:ascii="Arial" w:hAnsi="Arial" w:eastAsia="Arial"/>
                <w:b w:val="0"/>
                <w:sz w:val="18"/>
              </w:rPr>
              <w:t>subjectType</w:t>
            </w:r>
          </w:p>
        </w:tc>
        <w:tc>
          <w:tcPr>
            <w:tcW w:type="dxa" w:w="2268"/>
            <w:vAlign w:val="top"/>
          </w:tcPr>
          <w:p>
            <w:pPr>
              <w:spacing w:after="0"/>
            </w:pPr>
            <w:r/>
            <w:r>
              <w:rPr>
                <w:rFonts w:ascii="Arial" w:hAnsi="Arial" w:eastAsia="Arial"/>
                <w:b w:val="0"/>
                <w:sz w:val="18"/>
              </w:rPr>
              <w:t>INDIVIDUAL</w:t>
            </w:r>
          </w:p>
        </w:tc>
        <w:tc>
          <w:tcPr>
            <w:tcW w:type="dxa" w:w="4535"/>
            <w:vAlign w:val="top"/>
          </w:tcPr>
          <w:p>
            <w:pPr>
              <w:spacing w:after="0"/>
            </w:pPr>
            <w:r/>
            <w:r>
              <w:rPr>
                <w:rFonts w:ascii="Arial" w:hAnsi="Arial" w:eastAsia="Arial"/>
                <w:b w:val="0"/>
                <w:sz w:val="18"/>
              </w:rPr>
              <w:t>Chứng thư/gói dành cho cá nhân.</w:t>
            </w:r>
          </w:p>
        </w:tc>
      </w:tr>
      <w:tr>
        <w:tc>
          <w:tcPr>
            <w:tcW w:type="dxa" w:w="2268"/>
            <w:vAlign w:val="top"/>
          </w:tcPr>
          <w:p>
            <w:pPr>
              <w:spacing w:after="0"/>
            </w:pPr>
            <w:r/>
            <w:r>
              <w:rPr>
                <w:rFonts w:ascii="Arial" w:hAnsi="Arial" w:eastAsia="Arial"/>
                <w:b w:val="0"/>
                <w:sz w:val="18"/>
              </w:rPr>
              <w:t>subjectType</w:t>
            </w:r>
          </w:p>
        </w:tc>
        <w:tc>
          <w:tcPr>
            <w:tcW w:type="dxa" w:w="2268"/>
            <w:vAlign w:val="top"/>
          </w:tcPr>
          <w:p>
            <w:pPr>
              <w:spacing w:after="0"/>
            </w:pPr>
            <w:r/>
            <w:r>
              <w:rPr>
                <w:rFonts w:ascii="Arial" w:hAnsi="Arial" w:eastAsia="Arial"/>
                <w:b w:val="0"/>
                <w:sz w:val="18"/>
              </w:rPr>
              <w:t>ORGANIZATION</w:t>
            </w:r>
          </w:p>
        </w:tc>
        <w:tc>
          <w:tcPr>
            <w:tcW w:type="dxa" w:w="4535"/>
            <w:vAlign w:val="top"/>
          </w:tcPr>
          <w:p>
            <w:pPr>
              <w:spacing w:after="0"/>
            </w:pPr>
            <w:r/>
            <w:r>
              <w:rPr>
                <w:rFonts w:ascii="Arial" w:hAnsi="Arial" w:eastAsia="Arial"/>
                <w:b w:val="0"/>
                <w:sz w:val="18"/>
              </w:rPr>
              <w:t>Chứng thư/gói dành cho tổ chức.</w:t>
            </w:r>
          </w:p>
        </w:tc>
      </w:tr>
      <w:tr>
        <w:tc>
          <w:tcPr>
            <w:tcW w:type="dxa" w:w="2268"/>
            <w:vAlign w:val="top"/>
          </w:tcPr>
          <w:p>
            <w:pPr>
              <w:spacing w:after="0"/>
            </w:pPr>
            <w:r/>
            <w:r>
              <w:rPr>
                <w:rFonts w:ascii="Arial" w:hAnsi="Arial" w:eastAsia="Arial"/>
                <w:b w:val="0"/>
                <w:sz w:val="18"/>
              </w:rPr>
              <w:t>subjectType</w:t>
            </w:r>
          </w:p>
        </w:tc>
        <w:tc>
          <w:tcPr>
            <w:tcW w:type="dxa" w:w="2268"/>
            <w:vAlign w:val="top"/>
          </w:tcPr>
          <w:p>
            <w:pPr>
              <w:spacing w:after="0"/>
            </w:pPr>
            <w:r/>
            <w:r>
              <w:rPr>
                <w:rFonts w:ascii="Arial" w:hAnsi="Arial" w:eastAsia="Arial"/>
                <w:b w:val="0"/>
                <w:sz w:val="18"/>
              </w:rPr>
              <w:t>INDIVIDUAL_OF_ORG</w:t>
            </w:r>
          </w:p>
        </w:tc>
        <w:tc>
          <w:tcPr>
            <w:tcW w:type="dxa" w:w="4535"/>
            <w:vAlign w:val="top"/>
          </w:tcPr>
          <w:p>
            <w:pPr>
              <w:spacing w:after="0"/>
            </w:pPr>
            <w:r/>
            <w:r>
              <w:rPr>
                <w:rFonts w:ascii="Arial" w:hAnsi="Arial" w:eastAsia="Arial"/>
                <w:b w:val="0"/>
                <w:sz w:val="18"/>
              </w:rPr>
              <w:t>Chứng thư/gói dành cho cá nhân thuộc tổ chức.</w:t>
            </w:r>
          </w:p>
        </w:tc>
      </w:tr>
      <w:tr>
        <w:tc>
          <w:tcPr>
            <w:tcW w:type="dxa" w:w="2268"/>
            <w:vAlign w:val="top"/>
          </w:tcPr>
          <w:p>
            <w:pPr>
              <w:spacing w:after="0"/>
            </w:pPr>
            <w:r/>
            <w:r>
              <w:rPr>
                <w:rFonts w:ascii="Arial" w:hAnsi="Arial" w:eastAsia="Arial"/>
                <w:b w:val="0"/>
                <w:sz w:val="18"/>
              </w:rPr>
              <w:t>certificateValidityUnit</w:t>
            </w:r>
          </w:p>
        </w:tc>
        <w:tc>
          <w:tcPr>
            <w:tcW w:type="dxa" w:w="2268"/>
            <w:vAlign w:val="top"/>
          </w:tcPr>
          <w:p>
            <w:pPr>
              <w:spacing w:after="0"/>
            </w:pPr>
            <w:r/>
            <w:r>
              <w:rPr>
                <w:rFonts w:ascii="Arial" w:hAnsi="Arial" w:eastAsia="Arial"/>
                <w:b w:val="0"/>
                <w:sz w:val="18"/>
              </w:rPr>
              <w:t>DAY</w:t>
            </w:r>
          </w:p>
        </w:tc>
        <w:tc>
          <w:tcPr>
            <w:tcW w:type="dxa" w:w="4535"/>
            <w:vAlign w:val="top"/>
          </w:tcPr>
          <w:p>
            <w:pPr>
              <w:spacing w:after="0"/>
            </w:pPr>
            <w:r/>
            <w:r>
              <w:rPr>
                <w:rFonts w:ascii="Arial" w:hAnsi="Arial" w:eastAsia="Arial"/>
                <w:b w:val="0"/>
                <w:sz w:val="18"/>
              </w:rPr>
              <w:t>Hiệu lực tính theo ngày, response trả durationUnit = ngày.</w:t>
            </w:r>
          </w:p>
        </w:tc>
      </w:tr>
      <w:tr>
        <w:tc>
          <w:tcPr>
            <w:tcW w:type="dxa" w:w="2268"/>
            <w:vAlign w:val="top"/>
          </w:tcPr>
          <w:p>
            <w:pPr>
              <w:spacing w:after="0"/>
            </w:pPr>
            <w:r/>
            <w:r>
              <w:rPr>
                <w:rFonts w:ascii="Arial" w:hAnsi="Arial" w:eastAsia="Arial"/>
                <w:b w:val="0"/>
                <w:sz w:val="18"/>
              </w:rPr>
              <w:t>certificateValidityUnit</w:t>
            </w:r>
          </w:p>
        </w:tc>
        <w:tc>
          <w:tcPr>
            <w:tcW w:type="dxa" w:w="2268"/>
            <w:vAlign w:val="top"/>
          </w:tcPr>
          <w:p>
            <w:pPr>
              <w:spacing w:after="0"/>
            </w:pPr>
            <w:r/>
            <w:r>
              <w:rPr>
                <w:rFonts w:ascii="Arial" w:hAnsi="Arial" w:eastAsia="Arial"/>
                <w:b w:val="0"/>
                <w:sz w:val="18"/>
              </w:rPr>
              <w:t>MONTH</w:t>
            </w:r>
          </w:p>
        </w:tc>
        <w:tc>
          <w:tcPr>
            <w:tcW w:type="dxa" w:w="4535"/>
            <w:vAlign w:val="top"/>
          </w:tcPr>
          <w:p>
            <w:pPr>
              <w:spacing w:after="0"/>
            </w:pPr>
            <w:r/>
            <w:r>
              <w:rPr>
                <w:rFonts w:ascii="Arial" w:hAnsi="Arial" w:eastAsia="Arial"/>
                <w:b w:val="0"/>
                <w:sz w:val="18"/>
              </w:rPr>
              <w:t>Hiệu lực tính theo tháng, response trả durationUnit = tháng.</w:t>
            </w:r>
          </w:p>
        </w:tc>
      </w:tr>
      <w:tr>
        <w:tc>
          <w:tcPr>
            <w:tcW w:type="dxa" w:w="2268"/>
            <w:vAlign w:val="top"/>
          </w:tcPr>
          <w:p>
            <w:pPr>
              <w:spacing w:after="0"/>
            </w:pPr>
            <w:r/>
            <w:r>
              <w:rPr>
                <w:rFonts w:ascii="Arial" w:hAnsi="Arial" w:eastAsia="Arial"/>
                <w:b w:val="0"/>
                <w:sz w:val="18"/>
              </w:rPr>
              <w:t>certificateValidityUnit</w:t>
            </w:r>
          </w:p>
        </w:tc>
        <w:tc>
          <w:tcPr>
            <w:tcW w:type="dxa" w:w="2268"/>
            <w:vAlign w:val="top"/>
          </w:tcPr>
          <w:p>
            <w:pPr>
              <w:spacing w:after="0"/>
            </w:pPr>
            <w:r/>
            <w:r>
              <w:rPr>
                <w:rFonts w:ascii="Arial" w:hAnsi="Arial" w:eastAsia="Arial"/>
                <w:b w:val="0"/>
                <w:sz w:val="18"/>
              </w:rPr>
              <w:t>YEAR</w:t>
            </w:r>
          </w:p>
        </w:tc>
        <w:tc>
          <w:tcPr>
            <w:tcW w:type="dxa" w:w="4535"/>
            <w:vAlign w:val="top"/>
          </w:tcPr>
          <w:p>
            <w:pPr>
              <w:spacing w:after="0"/>
            </w:pPr>
            <w:r/>
            <w:r>
              <w:rPr>
                <w:rFonts w:ascii="Arial" w:hAnsi="Arial" w:eastAsia="Arial"/>
                <w:b w:val="0"/>
                <w:sz w:val="18"/>
              </w:rPr>
              <w:t>Hiệu lực tính theo năm, response trả durationUnit = năm.</w:t>
            </w:r>
          </w:p>
        </w:tc>
      </w:tr>
      <w:tr>
        <w:tc>
          <w:tcPr>
            <w:tcW w:type="dxa" w:w="2268"/>
            <w:vAlign w:val="top"/>
          </w:tcPr>
          <w:p>
            <w:pPr>
              <w:spacing w:after="0"/>
            </w:pPr>
            <w:r/>
            <w:r>
              <w:rPr>
                <w:rFonts w:ascii="Arial" w:hAnsi="Arial" w:eastAsia="Arial"/>
                <w:b w:val="0"/>
                <w:sz w:val="18"/>
              </w:rPr>
              <w:t>pricingMetric</w:t>
            </w:r>
          </w:p>
        </w:tc>
        <w:tc>
          <w:tcPr>
            <w:tcW w:type="dxa" w:w="2268"/>
            <w:vAlign w:val="top"/>
          </w:tcPr>
          <w:p>
            <w:pPr>
              <w:spacing w:after="0"/>
            </w:pPr>
            <w:r/>
            <w:r>
              <w:rPr>
                <w:rFonts w:ascii="Arial" w:hAnsi="Arial" w:eastAsia="Arial"/>
                <w:b w:val="0"/>
                <w:sz w:val="18"/>
              </w:rPr>
              <w:t>CERTIFICATE_COUNT</w:t>
            </w:r>
          </w:p>
        </w:tc>
        <w:tc>
          <w:tcPr>
            <w:tcW w:type="dxa" w:w="4535"/>
            <w:vAlign w:val="top"/>
          </w:tcPr>
          <w:p>
            <w:pPr>
              <w:spacing w:after="0"/>
            </w:pPr>
            <w:r/>
            <w:r>
              <w:rPr>
                <w:rFonts w:ascii="Arial" w:hAnsi="Arial" w:eastAsia="Arial"/>
                <w:b w:val="0"/>
                <w:sz w:val="18"/>
              </w:rPr>
              <w:t>Bậc giá dựa trên số lượng chứng thư.</w:t>
            </w:r>
          </w:p>
        </w:tc>
      </w:tr>
      <w:tr>
        <w:tc>
          <w:tcPr>
            <w:tcW w:type="dxa" w:w="2268"/>
            <w:vAlign w:val="top"/>
          </w:tcPr>
          <w:p>
            <w:pPr>
              <w:spacing w:after="0"/>
            </w:pPr>
            <w:r/>
            <w:r>
              <w:rPr>
                <w:rFonts w:ascii="Arial" w:hAnsi="Arial" w:eastAsia="Arial"/>
                <w:b w:val="0"/>
                <w:sz w:val="18"/>
              </w:rPr>
              <w:t>pricingMetric</w:t>
            </w:r>
          </w:p>
        </w:tc>
        <w:tc>
          <w:tcPr>
            <w:tcW w:type="dxa" w:w="2268"/>
            <w:vAlign w:val="top"/>
          </w:tcPr>
          <w:p>
            <w:pPr>
              <w:spacing w:after="0"/>
            </w:pPr>
            <w:r/>
            <w:r>
              <w:rPr>
                <w:rFonts w:ascii="Arial" w:hAnsi="Arial" w:eastAsia="Arial"/>
                <w:b w:val="0"/>
                <w:sz w:val="18"/>
              </w:rPr>
              <w:t>SIGNING_COUNT</w:t>
            </w:r>
          </w:p>
        </w:tc>
        <w:tc>
          <w:tcPr>
            <w:tcW w:type="dxa" w:w="4535"/>
            <w:vAlign w:val="top"/>
          </w:tcPr>
          <w:p>
            <w:pPr>
              <w:spacing w:after="0"/>
            </w:pPr>
            <w:r/>
            <w:r>
              <w:rPr>
                <w:rFonts w:ascii="Arial" w:hAnsi="Arial" w:eastAsia="Arial"/>
                <w:b w:val="0"/>
                <w:sz w:val="18"/>
              </w:rPr>
              <w:t>Bậc giá dựa trên số lượt ký số.</w:t>
            </w:r>
          </w:p>
        </w:tc>
      </w:tr>
      <w:tr>
        <w:tc>
          <w:tcPr>
            <w:tcW w:type="dxa" w:w="2268"/>
            <w:vAlign w:val="top"/>
          </w:tcPr>
          <w:p>
            <w:pPr>
              <w:spacing w:after="0"/>
            </w:pPr>
            <w:r/>
            <w:r>
              <w:rPr>
                <w:rFonts w:ascii="Arial" w:hAnsi="Arial" w:eastAsia="Arial"/>
                <w:b w:val="0"/>
                <w:sz w:val="18"/>
              </w:rPr>
              <w:t>scheduleStatus được public API lấy</w:t>
            </w:r>
          </w:p>
        </w:tc>
        <w:tc>
          <w:tcPr>
            <w:tcW w:type="dxa" w:w="2268"/>
            <w:vAlign w:val="top"/>
          </w:tcPr>
          <w:p>
            <w:pPr>
              <w:spacing w:after="0"/>
            </w:pPr>
            <w:r/>
            <w:r>
              <w:rPr>
                <w:rFonts w:ascii="Arial" w:hAnsi="Arial" w:eastAsia="Arial"/>
                <w:b w:val="0"/>
                <w:sz w:val="18"/>
              </w:rPr>
              <w:t>ACTIVE</w:t>
            </w:r>
          </w:p>
        </w:tc>
        <w:tc>
          <w:tcPr>
            <w:tcW w:type="dxa" w:w="4535"/>
            <w:vAlign w:val="top"/>
          </w:tcPr>
          <w:p>
            <w:pPr>
              <w:spacing w:after="0"/>
            </w:pPr>
            <w:r/>
            <w:r>
              <w:rPr>
                <w:rFonts w:ascii="Arial" w:hAnsi="Arial" w:eastAsia="Arial"/>
                <w:b w:val="0"/>
                <w:sz w:val="18"/>
              </w:rPr>
              <w:t>Lịch gói đang áp dụng.</w:t>
            </w:r>
          </w:p>
        </w:tc>
      </w:tr>
      <w:tr>
        <w:tc>
          <w:tcPr>
            <w:tcW w:type="dxa" w:w="2268"/>
            <w:vAlign w:val="top"/>
          </w:tcPr>
          <w:p>
            <w:pPr>
              <w:spacing w:after="0"/>
            </w:pPr>
            <w:r/>
            <w:r>
              <w:rPr>
                <w:rFonts w:ascii="Arial" w:hAnsi="Arial" w:eastAsia="Arial"/>
                <w:b w:val="0"/>
                <w:sz w:val="18"/>
              </w:rPr>
              <w:t>scheduleStatus được public API lấy</w:t>
            </w:r>
          </w:p>
        </w:tc>
        <w:tc>
          <w:tcPr>
            <w:tcW w:type="dxa" w:w="2268"/>
            <w:vAlign w:val="top"/>
          </w:tcPr>
          <w:p>
            <w:pPr>
              <w:spacing w:after="0"/>
            </w:pPr>
            <w:r/>
            <w:r>
              <w:rPr>
                <w:rFonts w:ascii="Arial" w:hAnsi="Arial" w:eastAsia="Arial"/>
                <w:b w:val="0"/>
                <w:sz w:val="18"/>
              </w:rPr>
              <w:t>APPROVED</w:t>
            </w:r>
          </w:p>
        </w:tc>
        <w:tc>
          <w:tcPr>
            <w:tcW w:type="dxa" w:w="4535"/>
            <w:vAlign w:val="top"/>
          </w:tcPr>
          <w:p>
            <w:pPr>
              <w:spacing w:after="0"/>
            </w:pPr>
            <w:r/>
            <w:r>
              <w:rPr>
                <w:rFonts w:ascii="Arial" w:hAnsi="Arial" w:eastAsia="Arial"/>
                <w:b w:val="0"/>
                <w:sz w:val="18"/>
              </w:rPr>
              <w:t>Lịch gói đã duyệt và có applyFrom không sau ngày hiện tại.</w:t>
            </w:r>
          </w:p>
        </w:tc>
      </w:tr>
    </w:tbl>
    <w:p/>
    <w:p>
      <w:pPr>
        <w:pStyle w:val="Heading1"/>
      </w:pPr>
      <w:r>
        <w:t>8. Trường không có trong response</w:t>
      </w:r>
    </w:p>
    <w:p>
      <w:r>
        <w:t>Một số trường tồn tại trong database/entity nhưng không được API này trả về. Các bên tích hợp không nên phụ thuộc vào các trường này khi gọi /plans/pricing:</w:t>
      </w:r>
    </w:p>
    <w:p>
      <w:pPr>
        <w:pStyle w:val="ListBullet"/>
        <w:spacing w:after="40"/>
      </w:pPr>
      <w:r>
        <w:t>planPricingRuleId: ID pricing rule không được trả về ở endpoint này.</w:t>
      </w:r>
    </w:p>
    <w:p>
      <w:pPr>
        <w:pStyle w:val="ListBullet"/>
        <w:spacing w:after="40"/>
      </w:pPr>
      <w:r>
        <w:t>planTemplateId, planCode, description, customerSegment, templateScope, status: metadata của plan template không được trả về.</w:t>
      </w:r>
    </w:p>
    <w:p>
      <w:pPr>
        <w:pStyle w:val="ListBullet"/>
        <w:spacing w:after="40"/>
      </w:pPr>
      <w:r>
        <w:t>unitPrice, currency, quotaTotal, sortOrder, isActive: thông tin nội bộ của pricing rule không được trả về.</w:t>
      </w:r>
    </w:p>
    <w:p>
      <w:pPr>
        <w:pStyle w:val="ListBullet"/>
        <w:spacing w:after="40"/>
      </w:pPr>
      <w:r>
        <w:t>retailPlanScheduleId, applyFrom, applyTo: thông tin lịch áp dụng không được trả về.</w:t>
      </w:r>
    </w:p>
    <w:p>
      <w:pPr>
        <w:pStyle w:val="Heading1"/>
      </w:pPr>
      <w:r>
        <w:t>9. Mã lỗi và trường hợp rỗng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835"/>
            <w:shd w:fill="D9EAF7"/>
            <w:vAlign w:val="center"/>
          </w:tcPr>
          <w:p>
            <w:pPr>
              <w:spacing w:after="0"/>
            </w:pPr>
            <w:r/>
            <w:r>
              <w:rPr>
                <w:rFonts w:ascii="Arial" w:hAnsi="Arial" w:eastAsia="Arial"/>
                <w:b/>
                <w:sz w:val="18"/>
              </w:rPr>
              <w:t>Tình huống</w:t>
            </w:r>
          </w:p>
        </w:tc>
        <w:tc>
          <w:tcPr>
            <w:tcW w:type="dxa" w:w="1417"/>
            <w:shd w:fill="D9EAF7"/>
            <w:vAlign w:val="center"/>
          </w:tcPr>
          <w:p>
            <w:pPr>
              <w:spacing w:after="0"/>
            </w:pPr>
            <w:r/>
            <w:r>
              <w:rPr>
                <w:rFonts w:ascii="Arial" w:hAnsi="Arial" w:eastAsia="Arial"/>
                <w:b/>
                <w:sz w:val="18"/>
              </w:rPr>
              <w:t>HTTP status</w:t>
            </w:r>
          </w:p>
        </w:tc>
        <w:tc>
          <w:tcPr>
            <w:tcW w:type="dxa" w:w="2268"/>
            <w:shd w:fill="D9EAF7"/>
            <w:vAlign w:val="center"/>
          </w:tcPr>
          <w:p>
            <w:pPr>
              <w:spacing w:after="0"/>
            </w:pPr>
            <w:r/>
            <w:r>
              <w:rPr>
                <w:rFonts w:ascii="Arial" w:hAnsi="Arial" w:eastAsia="Arial"/>
                <w:b/>
                <w:sz w:val="18"/>
              </w:rPr>
              <w:t>Body dự kiến</w:t>
            </w:r>
          </w:p>
        </w:tc>
        <w:tc>
          <w:tcPr>
            <w:tcW w:type="dxa" w:w="2835"/>
            <w:shd w:fill="D9EAF7"/>
            <w:vAlign w:val="center"/>
          </w:tcPr>
          <w:p>
            <w:pPr>
              <w:spacing w:after="0"/>
            </w:pPr>
            <w:r/>
            <w:r>
              <w:rPr>
                <w:rFonts w:ascii="Arial" w:hAnsi="Arial" w:eastAsia="Arial"/>
                <w:b/>
                <w:sz w:val="18"/>
              </w:rPr>
              <w:t>Ghi chú</w:t>
            </w:r>
          </w:p>
        </w:tc>
      </w:tr>
      <w:tr>
        <w:tc>
          <w:tcPr>
            <w:tcW w:type="dxa" w:w="2835"/>
            <w:vAlign w:val="top"/>
          </w:tcPr>
          <w:p>
            <w:pPr>
              <w:spacing w:after="0"/>
            </w:pPr>
            <w:r/>
            <w:r>
              <w:rPr>
                <w:rFonts w:ascii="Arial" w:hAnsi="Arial" w:eastAsia="Arial"/>
                <w:b w:val="0"/>
                <w:sz w:val="18"/>
              </w:rPr>
              <w:t>Có dữ liệu hợp lệ</w:t>
            </w:r>
          </w:p>
        </w:tc>
        <w:tc>
          <w:tcPr>
            <w:tcW w:type="dxa" w:w="1417"/>
            <w:vAlign w:val="top"/>
          </w:tcPr>
          <w:p>
            <w:pPr>
              <w:spacing w:after="0"/>
            </w:pPr>
            <w:r/>
            <w:r>
              <w:rPr>
                <w:rFonts w:ascii="Arial" w:hAnsi="Arial" w:eastAsia="Arial"/>
                <w:b w:val="0"/>
                <w:sz w:val="18"/>
              </w:rPr>
              <w:t>200</w:t>
            </w:r>
          </w:p>
        </w:tc>
        <w:tc>
          <w:tcPr>
            <w:tcW w:type="dxa" w:w="2268"/>
            <w:vAlign w:val="top"/>
          </w:tcPr>
          <w:p>
            <w:pPr>
              <w:spacing w:after="0"/>
            </w:pPr>
            <w:r/>
            <w:r>
              <w:rPr>
                <w:rFonts w:ascii="Arial" w:hAnsi="Arial" w:eastAsia="Arial"/>
                <w:b w:val="0"/>
                <w:sz w:val="18"/>
              </w:rPr>
              <w:t>Mảng JSON có phần tử</w:t>
            </w:r>
          </w:p>
        </w:tc>
        <w:tc>
          <w:tcPr>
            <w:tcW w:type="dxa" w:w="2835"/>
            <w:vAlign w:val="top"/>
          </w:tcPr>
          <w:p>
            <w:pPr>
              <w:spacing w:after="0"/>
            </w:pPr>
            <w:r/>
            <w:r>
              <w:rPr>
                <w:rFonts w:ascii="Arial" w:hAnsi="Arial" w:eastAsia="Arial"/>
                <w:b w:val="0"/>
                <w:sz w:val="18"/>
              </w:rPr>
              <w:t>Mỗi phần tử là một PricingRuleItem.</w:t>
            </w:r>
          </w:p>
        </w:tc>
      </w:tr>
      <w:tr>
        <w:tc>
          <w:tcPr>
            <w:tcW w:type="dxa" w:w="2835"/>
            <w:vAlign w:val="top"/>
          </w:tcPr>
          <w:p>
            <w:pPr>
              <w:spacing w:after="0"/>
            </w:pPr>
            <w:r/>
            <w:r>
              <w:rPr>
                <w:rFonts w:ascii="Arial" w:hAnsi="Arial" w:eastAsia="Arial"/>
                <w:b w:val="0"/>
                <w:sz w:val="18"/>
              </w:rPr>
              <w:t>Không có schedule/pricing rule phù hợp</w:t>
            </w:r>
          </w:p>
        </w:tc>
        <w:tc>
          <w:tcPr>
            <w:tcW w:type="dxa" w:w="1417"/>
            <w:vAlign w:val="top"/>
          </w:tcPr>
          <w:p>
            <w:pPr>
              <w:spacing w:after="0"/>
            </w:pPr>
            <w:r/>
            <w:r>
              <w:rPr>
                <w:rFonts w:ascii="Arial" w:hAnsi="Arial" w:eastAsia="Arial"/>
                <w:b w:val="0"/>
                <w:sz w:val="18"/>
              </w:rPr>
              <w:t>200</w:t>
            </w:r>
          </w:p>
        </w:tc>
        <w:tc>
          <w:tcPr>
            <w:tcW w:type="dxa" w:w="2268"/>
            <w:vAlign w:val="top"/>
          </w:tcPr>
          <w:p>
            <w:pPr>
              <w:spacing w:after="0"/>
            </w:pPr>
            <w:r/>
            <w:r>
              <w:rPr>
                <w:rFonts w:ascii="Arial" w:hAnsi="Arial" w:eastAsia="Arial"/>
                <w:b w:val="0"/>
                <w:sz w:val="18"/>
              </w:rPr>
              <w:t>[]</w:t>
            </w:r>
          </w:p>
        </w:tc>
        <w:tc>
          <w:tcPr>
            <w:tcW w:type="dxa" w:w="2835"/>
            <w:vAlign w:val="top"/>
          </w:tcPr>
          <w:p>
            <w:pPr>
              <w:spacing w:after="0"/>
            </w:pPr>
            <w:r/>
            <w:r>
              <w:rPr>
                <w:rFonts w:ascii="Arial" w:hAnsi="Arial" w:eastAsia="Arial"/>
                <w:b w:val="0"/>
                <w:sz w:val="18"/>
              </w:rPr>
              <w:t>Đây là trạng thái hợp lệ; client nên hiển thị thông báo chưa có gói khả dụng.</w:t>
            </w:r>
          </w:p>
        </w:tc>
      </w:tr>
      <w:tr>
        <w:tc>
          <w:tcPr>
            <w:tcW w:type="dxa" w:w="2835"/>
            <w:vAlign w:val="top"/>
          </w:tcPr>
          <w:p>
            <w:pPr>
              <w:spacing w:after="0"/>
            </w:pPr>
            <w:r/>
            <w:r>
              <w:rPr>
                <w:rFonts w:ascii="Arial" w:hAnsi="Arial" w:eastAsia="Arial"/>
                <w:b w:val="0"/>
                <w:sz w:val="18"/>
              </w:rPr>
              <w:t>Sai method, ví dụ POST</w:t>
            </w:r>
          </w:p>
        </w:tc>
        <w:tc>
          <w:tcPr>
            <w:tcW w:type="dxa" w:w="1417"/>
            <w:vAlign w:val="top"/>
          </w:tcPr>
          <w:p>
            <w:pPr>
              <w:spacing w:after="0"/>
            </w:pPr>
            <w:r/>
            <w:r>
              <w:rPr>
                <w:rFonts w:ascii="Arial" w:hAnsi="Arial" w:eastAsia="Arial"/>
                <w:b w:val="0"/>
                <w:sz w:val="18"/>
              </w:rPr>
              <w:t>405</w:t>
            </w:r>
          </w:p>
        </w:tc>
        <w:tc>
          <w:tcPr>
            <w:tcW w:type="dxa" w:w="2268"/>
            <w:vAlign w:val="top"/>
          </w:tcPr>
          <w:p>
            <w:pPr>
              <w:spacing w:after="0"/>
            </w:pPr>
            <w:r/>
            <w:r>
              <w:rPr>
                <w:rFonts w:ascii="Arial" w:hAnsi="Arial" w:eastAsia="Arial"/>
                <w:b w:val="0"/>
                <w:sz w:val="18"/>
              </w:rPr>
              <w:t>Theo chuẩn Spring MVC</w:t>
            </w:r>
          </w:p>
        </w:tc>
        <w:tc>
          <w:tcPr>
            <w:tcW w:type="dxa" w:w="2835"/>
            <w:vAlign w:val="top"/>
          </w:tcPr>
          <w:p>
            <w:pPr>
              <w:spacing w:after="0"/>
            </w:pPr>
            <w:r/>
            <w:r>
              <w:rPr>
                <w:rFonts w:ascii="Arial" w:hAnsi="Arial" w:eastAsia="Arial"/>
                <w:b w:val="0"/>
                <w:sz w:val="18"/>
              </w:rPr>
              <w:t>Endpoint chỉ hỗ trợ GET.</w:t>
            </w:r>
          </w:p>
        </w:tc>
      </w:tr>
      <w:tr>
        <w:tc>
          <w:tcPr>
            <w:tcW w:type="dxa" w:w="2835"/>
            <w:vAlign w:val="top"/>
          </w:tcPr>
          <w:p>
            <w:pPr>
              <w:spacing w:after="0"/>
            </w:pPr>
            <w:r/>
            <w:r>
              <w:rPr>
                <w:rFonts w:ascii="Arial" w:hAnsi="Arial" w:eastAsia="Arial"/>
                <w:b w:val="0"/>
                <w:sz w:val="18"/>
              </w:rPr>
              <w:t>Lỗi hệ thống/backend/database</w:t>
            </w:r>
          </w:p>
        </w:tc>
        <w:tc>
          <w:tcPr>
            <w:tcW w:type="dxa" w:w="1417"/>
            <w:vAlign w:val="top"/>
          </w:tcPr>
          <w:p>
            <w:pPr>
              <w:spacing w:after="0"/>
            </w:pPr>
            <w:r/>
            <w:r>
              <w:rPr>
                <w:rFonts w:ascii="Arial" w:hAnsi="Arial" w:eastAsia="Arial"/>
                <w:b w:val="0"/>
                <w:sz w:val="18"/>
              </w:rPr>
              <w:t>5xx</w:t>
            </w:r>
          </w:p>
        </w:tc>
        <w:tc>
          <w:tcPr>
            <w:tcW w:type="dxa" w:w="2268"/>
            <w:vAlign w:val="top"/>
          </w:tcPr>
          <w:p>
            <w:pPr>
              <w:spacing w:after="0"/>
            </w:pPr>
            <w:r/>
            <w:r>
              <w:rPr>
                <w:rFonts w:ascii="Arial" w:hAnsi="Arial" w:eastAsia="Arial"/>
                <w:b w:val="0"/>
                <w:sz w:val="18"/>
              </w:rPr>
              <w:t>Theo cơ chế lỗi chung của backend</w:t>
            </w:r>
          </w:p>
        </w:tc>
        <w:tc>
          <w:tcPr>
            <w:tcW w:type="dxa" w:w="2835"/>
            <w:vAlign w:val="top"/>
          </w:tcPr>
          <w:p>
            <w:pPr>
              <w:spacing w:after="0"/>
            </w:pPr>
            <w:r/>
            <w:r>
              <w:rPr>
                <w:rFonts w:ascii="Arial" w:hAnsi="Arial" w:eastAsia="Arial"/>
                <w:b w:val="0"/>
                <w:sz w:val="18"/>
              </w:rPr>
              <w:t>Client nên retry có kiểm soát hoặc hiển thị lỗi tạm thời.</w:t>
            </w:r>
          </w:p>
        </w:tc>
      </w:tr>
    </w:tbl>
    <w:p/>
    <w:p>
      <w:pPr>
        <w:pStyle w:val="Heading1"/>
      </w:pPr>
      <w:r>
        <w:t>10. Khuyến nghị cho bên tích hợp</w:t>
      </w:r>
    </w:p>
    <w:p>
      <w:pPr>
        <w:pStyle w:val="ListBullet"/>
        <w:spacing w:after="40"/>
      </w:pPr>
      <w:r>
        <w:t>Dùng totalPrice để tính toán, so sánh, lưu đơn hàng; dùng totalPriceFormatted chỉ để hiển thị.</w:t>
      </w:r>
    </w:p>
    <w:p>
      <w:pPr>
        <w:pStyle w:val="ListBullet"/>
        <w:spacing w:after="40"/>
      </w:pPr>
      <w:r>
        <w:t>Không parse ngược totalPriceFormatted vì chuỗi phụ thuộc định dạng locale.</w:t>
      </w:r>
    </w:p>
    <w:p>
      <w:pPr>
        <w:pStyle w:val="ListBullet"/>
        <w:spacing w:after="40"/>
      </w:pPr>
      <w:r>
        <w:t>Không giả định planName là duy nhất tuyệt đối; nếu cần định danh ổn định hơn, cần bổ sung API trả planTemplateId hoặc pricingRuleId.</w:t>
      </w:r>
    </w:p>
    <w:p>
      <w:pPr>
        <w:pStyle w:val="ListBullet"/>
        <w:spacing w:after="40"/>
      </w:pPr>
      <w:r>
        <w:t>Client nên xử lý rangeMax = null như gói không giới hạn trên.</w:t>
      </w:r>
    </w:p>
    <w:p>
      <w:pPr>
        <w:pStyle w:val="ListBullet"/>
        <w:spacing w:after="40"/>
      </w:pPr>
      <w:r>
        <w:t>Client nên chịu được việc xuất hiện subjectType, pricingMetric hoặc durationUnit mới trong tương lai bằng cách hiển thị fallback từ chính mã trả về.</w:t>
      </w:r>
    </w:p>
    <w:p>
      <w:pPr>
        <w:pStyle w:val="ListBullet"/>
        <w:spacing w:after="40"/>
      </w:pPr>
      <w:r>
        <w:t>Vì endpoint public và không có phân trang, không gửi dữ liệu nhạy cảm vào query/header khi gọi API này.</w:t>
      </w:r>
    </w:p>
    <w:p>
      <w:pPr>
        <w:pStyle w:val="Heading1"/>
      </w:pPr>
      <w:r>
        <w:t>11. Tóm tắt luồng xử lý nội bộ</w:t>
      </w:r>
    </w:p>
    <w:p>
      <w:pPr>
        <w:spacing w:before="60" w:after="120"/>
        <w:ind w:left="227" w:right="113"/>
      </w:pPr>
      <w:r/>
      <w:r>
        <w:rPr>
          <w:rFonts w:ascii="Consolas" w:hAnsi="Consolas" w:eastAsia="Consolas"/>
          <w:sz w:val="17"/>
        </w:rPr>
        <w:t>Client</w:t>
        <w:br/>
        <w:t xml:space="preserve">  -&gt; GET http://10.30.21.123:8123/api/v1/public/plans/pricing</w:t>
        <w:br/>
        <w:t xml:space="preserve">  -&gt; PublicPlanController.getPublicPlanPricing()</w:t>
        <w:br/>
        <w:t xml:space="preserve">  -&gt; RetailPlanScheduleRepository.findCurrentlyApplicableWithPricingRules([ACTIVE, APPROVED], today)</w:t>
        <w:br/>
        <w:t xml:space="preserve">  -&gt; Filter pricingRules: isActive == true and totalPrice != null</w:t>
        <w:br/>
        <w:t xml:space="preserve">  -&gt; Sort by subject order and sortOrder</w:t>
        <w:br/>
        <w:t xml:space="preserve">  -&gt; Return JSON array of PricingRuleItem</w:t>
      </w:r>
    </w:p>
    <w:p>
      <w:pPr>
        <w:pStyle w:val="Heading1"/>
      </w:pPr>
      <w:r>
        <w:t>12. Checklist tích hợp nhanh</w:t>
      </w:r>
    </w:p>
    <w:p>
      <w:pPr>
        <w:pStyle w:val="ListBullet"/>
        <w:spacing w:after="40"/>
      </w:pPr>
      <w:r>
        <w:t>Xác nhận URL public thực tế với đội deploy: domain + port/front proxy.</w:t>
      </w:r>
    </w:p>
    <w:p>
      <w:pPr>
        <w:pStyle w:val="ListBullet"/>
        <w:spacing w:after="40"/>
      </w:pPr>
      <w:r>
        <w:t>Gọi thử GET và kiểm tra response là JSON array.</w:t>
      </w:r>
    </w:p>
    <w:p>
      <w:pPr>
        <w:pStyle w:val="ListBullet"/>
        <w:spacing w:after="40"/>
      </w:pPr>
      <w:r>
        <w:t>Hiển thị theo planName và subjectLabel nếu cần giao diện bảng giá.</w:t>
      </w:r>
    </w:p>
    <w:p>
      <w:pPr>
        <w:pStyle w:val="ListBullet"/>
        <w:spacing w:after="40"/>
      </w:pPr>
      <w:r>
        <w:t>Lưu totalPrice dạng number khi người dùng chọn bậc giá.</w:t>
      </w:r>
    </w:p>
    <w:p>
      <w:pPr>
        <w:pStyle w:val="ListBullet"/>
        <w:spacing w:after="40"/>
      </w:pPr>
      <w:r>
        <w:t>Xử lý response [] và lỗi 5xx trong giao diện.</w:t>
      </w:r>
    </w:p>
    <w:p/>
    <w:p>
      <w:pPr>
        <w:jc w:val="right"/>
      </w:pPr>
      <w:r>
        <w:rPr>
          <w:i/>
        </w:rPr>
        <w:t>Tài liệu tạo từ source code và cấu hình deploy hiện tại.</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