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AF4BC">
      <w:pPr>
        <w:pStyle w:val="36"/>
        <w:jc w:val="left"/>
        <w:rPr>
          <w:rFonts w:hint="default" w:ascii="Times New Roman Regular" w:hAnsi="Times New Roman Regular" w:cs="Times New Roman Regular"/>
        </w:rPr>
      </w:pPr>
      <w:r>
        <w:rPr>
          <w:rFonts w:hint="default" w:ascii="Times New Roman Regular" w:hAnsi="Times New Roman Regular" w:cs="Times New Roman Regular"/>
        </w:rPr>
        <w:t>Weekly Progress Report</w:t>
      </w:r>
    </w:p>
    <w:p w14:paraId="7D5399ED">
      <w:pPr>
        <w:spacing w:after="40"/>
        <w:rPr>
          <w:rFonts w:hint="default" w:ascii="Times New Roman Regular" w:hAnsi="Times New Roman Regular" w:cs="Times New Roman Regular"/>
          <w:b/>
          <w:sz w:val="20"/>
          <w:lang w:val="en-US"/>
        </w:rPr>
      </w:pPr>
      <w:r>
        <w:rPr>
          <w:rFonts w:hint="default" w:ascii="Times New Roman Regular" w:hAnsi="Times New Roman Regular" w:cs="Times New Roman Regular"/>
          <w:b/>
          <w:sz w:val="20"/>
          <w:lang w:val="en-US"/>
        </w:rPr>
        <w:t xml:space="preserve">Name: </w:t>
      </w:r>
      <w:r>
        <w:rPr>
          <w:rFonts w:hint="default" w:ascii="Times New Roman" w:hAnsi="Times New Roman" w:cs="Times New Roman"/>
          <w:b w:val="0"/>
          <w:bCs/>
          <w:sz w:val="20"/>
          <w:lang w:val="en-US"/>
        </w:rPr>
        <w:t>Duong Phuong Thao</w:t>
      </w:r>
    </w:p>
    <w:p w14:paraId="37805022">
      <w:pPr>
        <w:spacing w:after="40"/>
        <w:rPr>
          <w:rFonts w:hint="default" w:ascii="Times New Roman Regular" w:hAnsi="Times New Roman Regular" w:cs="Times New Roman Regular"/>
        </w:rPr>
      </w:pPr>
      <w:r>
        <w:rPr>
          <w:rFonts w:hint="default" w:ascii="Times New Roman Regular" w:hAnsi="Times New Roman Regular" w:cs="Times New Roman Regular"/>
          <w:b/>
          <w:sz w:val="20"/>
        </w:rPr>
        <w:t>Project:</w:t>
      </w:r>
      <w:r>
        <w:rPr>
          <w:rFonts w:hint="default" w:ascii="Times New Roman Regular" w:hAnsi="Times New Roman Regular" w:cs="Times New Roman Regular"/>
          <w:b/>
          <w:sz w:val="20"/>
          <w:lang w:val="en-US"/>
        </w:rPr>
        <w:t xml:space="preserve"> </w:t>
      </w:r>
      <w:r>
        <w:rPr>
          <w:rFonts w:hint="default" w:ascii="Times New Roman" w:hAnsi="Times New Roman" w:eastAsia="Times New Roman"/>
          <w:b w:val="0"/>
          <w:i w:val="0"/>
          <w:color w:val="404040"/>
          <w:sz w:val="20"/>
        </w:rPr>
        <w:t>Research on Dynamic Churn Prediction for Micro Retail Customers and Adaptive Methods for Model Drift</w:t>
      </w:r>
    </w:p>
    <w:p w14:paraId="4DC968FD">
      <w:pPr>
        <w:spacing w:after="40"/>
        <w:rPr>
          <w:rFonts w:hint="default" w:ascii="Times New Roman Regular" w:hAnsi="Times New Roman Regular" w:cs="Times New Roman Regular"/>
        </w:rPr>
      </w:pPr>
      <w:r>
        <w:rPr>
          <w:rFonts w:hint="default" w:ascii="Times New Roman Regular" w:hAnsi="Times New Roman Regular" w:cs="Times New Roman Regular"/>
          <w:b/>
          <w:sz w:val="20"/>
        </w:rPr>
        <w:t xml:space="preserve">This week’s focus: </w:t>
      </w:r>
      <w:r>
        <w:rPr>
          <w:rFonts w:hint="default" w:ascii="Times New Roman Regular" w:hAnsi="Times New Roman Regular" w:cs="Times New Roman Regular"/>
          <w:sz w:val="20"/>
        </w:rPr>
        <w:t>Building the temporal backbone, engineering features, constructing dual-scheme churn labels, and assembling the final mo</w:t>
      </w:r>
      <w:bookmarkStart w:id="0" w:name="_GoBack"/>
      <w:bookmarkEnd w:id="0"/>
      <w:r>
        <w:rPr>
          <w:rFonts w:hint="default" w:ascii="Times New Roman Regular" w:hAnsi="Times New Roman Regular" w:cs="Times New Roman Regular"/>
          <w:sz w:val="20"/>
        </w:rPr>
        <w:t>deling-ready dataset.</w:t>
      </w:r>
    </w:p>
    <w:p w14:paraId="0436DC3C">
      <w:pPr>
        <w:spacing w:after="120"/>
        <w:rPr>
          <w:rFonts w:hint="default" w:ascii="Times New Roman Regular" w:hAnsi="Times New Roman Regular" w:cs="Times New Roman Regular"/>
        </w:rPr>
      </w:pPr>
      <w:r>
        <w:rPr>
          <w:rFonts w:hint="default" w:ascii="Times New Roman Regular" w:hAnsi="Times New Roman Regular" w:cs="Times New Roman Regular"/>
          <w:b/>
          <w:sz w:val="20"/>
        </w:rPr>
        <w:t xml:space="preserve">Date: </w:t>
      </w:r>
      <w:r>
        <w:rPr>
          <w:rFonts w:hint="default" w:ascii="Times New Roman Regular" w:hAnsi="Times New Roman Regular" w:cs="Times New Roman Regular"/>
          <w:sz w:val="20"/>
        </w:rPr>
        <w:t xml:space="preserve">Week of July </w:t>
      </w:r>
      <w:r>
        <w:rPr>
          <w:rFonts w:hint="default" w:ascii="Times New Roman Regular" w:hAnsi="Times New Roman Regular" w:cs="Times New Roman Regular"/>
          <w:sz w:val="20"/>
          <w:lang w:val="vi-VN"/>
        </w:rPr>
        <w:t>27</w:t>
      </w:r>
      <w:r>
        <w:rPr>
          <w:rFonts w:hint="default" w:ascii="Times New Roman Regular" w:hAnsi="Times New Roman Regular" w:cs="Times New Roman Regular"/>
          <w:sz w:val="20"/>
          <w:lang w:val="en-US"/>
        </w:rPr>
        <w:t xml:space="preserve"> </w:t>
      </w:r>
      <w:r>
        <w:rPr>
          <w:rFonts w:hint="default" w:ascii="Times New Roman Regular" w:hAnsi="Times New Roman Regular" w:cs="Times New Roman Regular"/>
          <w:sz w:val="20"/>
        </w:rPr>
        <w:t>–</w:t>
      </w:r>
      <w:r>
        <w:rPr>
          <w:rFonts w:hint="default" w:ascii="Times New Roman Regular" w:hAnsi="Times New Roman Regular" w:cs="Times New Roman Regular"/>
          <w:sz w:val="20"/>
          <w:lang w:val="vi-VN"/>
        </w:rPr>
        <w:t xml:space="preserve"> Aug 2</w:t>
      </w:r>
      <w:r>
        <w:rPr>
          <w:rFonts w:hint="default" w:ascii="Times New Roman Regular" w:hAnsi="Times New Roman Regular" w:cs="Times New Roman Regular"/>
          <w:sz w:val="20"/>
        </w:rPr>
        <w:t>, 2026</w:t>
      </w:r>
    </w:p>
    <w:p w14:paraId="2B65353F">
      <w:pPr>
        <w:pStyle w:val="3"/>
        <w:numPr>
          <w:ilvl w:val="0"/>
          <w:numId w:val="7"/>
        </w:numPr>
        <w:rPr>
          <w:rFonts w:hint="default" w:ascii="Times New Roman Regular" w:hAnsi="Times New Roman Regular" w:cs="Times New Roman Regular"/>
        </w:rPr>
      </w:pPr>
      <w:r>
        <w:rPr>
          <w:rFonts w:hint="default" w:ascii="Times New Roman Regular" w:hAnsi="Times New Roman Regular" w:cs="Times New Roman Regular"/>
        </w:rPr>
        <w:t>Temporal Structuring</w:t>
      </w:r>
    </w:p>
    <w:p w14:paraId="7398C95D">
      <w:pPr>
        <w:pStyle w:val="4"/>
        <w:rPr>
          <w:rFonts w:hint="default" w:ascii="Times New Roman Regular" w:hAnsi="Times New Roman Regular" w:cs="Times New Roman Regular"/>
        </w:rPr>
      </w:pPr>
      <w:r>
        <w:rPr>
          <w:rFonts w:hint="default" w:ascii="Times New Roman" w:hAnsi="Times New Roman Regular" w:cs="Times New Roman Regular"/>
          <w:lang w:val="vi-VN"/>
        </w:rPr>
        <w:t>1</w:t>
      </w:r>
      <w:r>
        <w:rPr>
          <w:rFonts w:hint="default" w:ascii="Times New Roman Regular" w:hAnsi="Times New Roman Regular" w:cs="Times New Roman Regular"/>
        </w:rPr>
        <w:t>.1 Design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2466"/>
        <w:gridCol w:w="4901"/>
      </w:tblGrid>
      <w:tr w14:paraId="4661A22F">
        <w:trPr>
          <w:jc w:val="center"/>
        </w:trPr>
        <w:tc>
          <w:tcPr>
            <w:tcW w:w="2268" w:type="dxa"/>
            <w:shd w:val="clear" w:color="auto" w:fill="2F5496"/>
          </w:tcPr>
          <w:p w14:paraId="182E4ADD">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Parameter</w:t>
            </w:r>
          </w:p>
        </w:tc>
        <w:tc>
          <w:tcPr>
            <w:tcW w:w="2551" w:type="dxa"/>
            <w:shd w:val="clear" w:color="auto" w:fill="2F5496"/>
          </w:tcPr>
          <w:p w14:paraId="71E8533A">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Value</w:t>
            </w:r>
          </w:p>
        </w:tc>
        <w:tc>
          <w:tcPr>
            <w:tcW w:w="5102" w:type="dxa"/>
            <w:shd w:val="clear" w:color="auto" w:fill="2F5496"/>
          </w:tcPr>
          <w:p w14:paraId="7630AB7E">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Rationale</w:t>
            </w:r>
          </w:p>
        </w:tc>
      </w:tr>
      <w:tr w14:paraId="1B80DCB4">
        <w:trPr>
          <w:jc w:val="center"/>
        </w:trPr>
        <w:tc>
          <w:tcPr>
            <w:tcW w:w="2268" w:type="dxa"/>
          </w:tcPr>
          <w:p w14:paraId="6F0165D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Data span</w:t>
            </w:r>
          </w:p>
        </w:tc>
        <w:tc>
          <w:tcPr>
            <w:tcW w:w="2551" w:type="dxa"/>
          </w:tcPr>
          <w:p w14:paraId="32A3D8E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2024-05-01 to 2026-05-31</w:t>
            </w:r>
          </w:p>
        </w:tc>
        <w:tc>
          <w:tcPr>
            <w:tcW w:w="5102" w:type="dxa"/>
          </w:tcPr>
          <w:p w14:paraId="25F0C50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Full 25-month cleaned dataset</w:t>
            </w:r>
          </w:p>
        </w:tc>
      </w:tr>
      <w:tr w14:paraId="1C6ECED9">
        <w:trPr>
          <w:jc w:val="center"/>
        </w:trPr>
        <w:tc>
          <w:tcPr>
            <w:tcW w:w="2268" w:type="dxa"/>
            <w:shd w:val="clear" w:color="auto" w:fill="F2F2F2"/>
          </w:tcPr>
          <w:p w14:paraId="2D9E44B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Observation window</w:t>
            </w:r>
          </w:p>
        </w:tc>
        <w:tc>
          <w:tcPr>
            <w:tcW w:w="2551" w:type="dxa"/>
            <w:shd w:val="clear" w:color="auto" w:fill="F2F2F2"/>
          </w:tcPr>
          <w:p w14:paraId="546BFA6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 days</w:t>
            </w:r>
          </w:p>
        </w:tc>
        <w:tc>
          <w:tcPr>
            <w:tcW w:w="5102" w:type="dxa"/>
            <w:shd w:val="clear" w:color="auto" w:fill="F2F2F2"/>
          </w:tcPr>
          <w:p w14:paraId="0146D5E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Captures seasonal repurchase cycles; aligns with L2 cap</w:t>
            </w:r>
          </w:p>
        </w:tc>
      </w:tr>
      <w:tr w14:paraId="3EF0C1BE">
        <w:trPr>
          <w:jc w:val="center"/>
        </w:trPr>
        <w:tc>
          <w:tcPr>
            <w:tcW w:w="2268" w:type="dxa"/>
          </w:tcPr>
          <w:p w14:paraId="42DB8F2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L1 label window</w:t>
            </w:r>
          </w:p>
        </w:tc>
        <w:tc>
          <w:tcPr>
            <w:tcW w:w="2551" w:type="dxa"/>
          </w:tcPr>
          <w:p w14:paraId="34636E8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30 days (fixed)</w:t>
            </w:r>
          </w:p>
        </w:tc>
        <w:tc>
          <w:tcPr>
            <w:tcW w:w="5102" w:type="dxa"/>
          </w:tcPr>
          <w:p w14:paraId="2702C84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Matches post-cleaning per-customer median IPI (30 days)</w:t>
            </w:r>
          </w:p>
        </w:tc>
      </w:tr>
      <w:tr w14:paraId="38B5B2E1">
        <w:trPr>
          <w:jc w:val="center"/>
        </w:trPr>
        <w:tc>
          <w:tcPr>
            <w:tcW w:w="2268" w:type="dxa"/>
            <w:shd w:val="clear" w:color="auto" w:fill="F2F2F2"/>
          </w:tcPr>
          <w:p w14:paraId="26F2FD9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L2 label window</w:t>
            </w:r>
          </w:p>
        </w:tc>
        <w:tc>
          <w:tcPr>
            <w:tcW w:w="2551" w:type="dxa"/>
            <w:shd w:val="clear" w:color="auto" w:fill="F2F2F2"/>
          </w:tcPr>
          <w:p w14:paraId="094E114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Up to 90 days</w:t>
            </w:r>
          </w:p>
        </w:tc>
        <w:tc>
          <w:tcPr>
            <w:tcW w:w="5102" w:type="dxa"/>
            <w:shd w:val="clear" w:color="auto" w:fill="F2F2F2"/>
          </w:tcPr>
          <w:p w14:paraId="0B3177C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Capped at observation window length to prevent label leakage</w:t>
            </w:r>
          </w:p>
        </w:tc>
      </w:tr>
      <w:tr w14:paraId="0A72FA90">
        <w:trPr>
          <w:jc w:val="center"/>
        </w:trPr>
        <w:tc>
          <w:tcPr>
            <w:tcW w:w="2268" w:type="dxa"/>
          </w:tcPr>
          <w:p w14:paraId="2F76D45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Prediction cadence</w:t>
            </w:r>
          </w:p>
        </w:tc>
        <w:tc>
          <w:tcPr>
            <w:tcW w:w="2551" w:type="dxa"/>
          </w:tcPr>
          <w:p w14:paraId="445602B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Monthly (1st of each month)</w:t>
            </w:r>
          </w:p>
        </w:tc>
        <w:tc>
          <w:tcPr>
            <w:tcW w:w="5102" w:type="dxa"/>
          </w:tcPr>
          <w:p w14:paraId="2A578C8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Balances temporal granularity with batch size</w:t>
            </w:r>
          </w:p>
        </w:tc>
      </w:tr>
    </w:tbl>
    <w:p w14:paraId="472B619F">
      <w:pPr>
        <w:rPr>
          <w:rFonts w:hint="default" w:ascii="Times New Roman Regular" w:hAnsi="Times New Roman Regular" w:cs="Times New Roman Regular"/>
        </w:rPr>
      </w:pPr>
    </w:p>
    <w:p w14:paraId="3C0828D9">
      <w:pPr>
        <w:pStyle w:val="4"/>
        <w:rPr>
          <w:rFonts w:hint="default" w:ascii="Times New Roman Regular" w:hAnsi="Times New Roman Regular" w:cs="Times New Roman Regular"/>
        </w:rPr>
      </w:pPr>
      <w:r>
        <w:rPr>
          <w:rFonts w:hint="default" w:ascii="Times New Roman" w:hAnsi="Times New Roman Regular" w:cs="Times New Roman Regular"/>
          <w:lang w:val="vi-VN"/>
        </w:rPr>
        <w:t>1</w:t>
      </w:r>
      <w:r>
        <w:rPr>
          <w:rFonts w:hint="default" w:ascii="Times New Roman Regular" w:hAnsi="Times New Roman Regular" w:cs="Times New Roman Regular"/>
        </w:rPr>
        <w:t>.2 Batch Overview</w:t>
      </w:r>
    </w:p>
    <w:p w14:paraId="66912F90">
      <w:pPr>
        <w:rPr>
          <w:rFonts w:hint="default" w:ascii="Times New Roman Regular" w:hAnsi="Times New Roman Regular" w:cs="Times New Roman Regular"/>
        </w:rPr>
      </w:pPr>
      <w:r>
        <w:rPr>
          <w:rFonts w:hint="default" w:ascii="Times New Roman Regular" w:hAnsi="Times New Roman Regular" w:cs="Times New Roman Regular"/>
        </w:rPr>
        <w:t>The pipeline produced 20 prediction points from 2024-08-01 to 2026-03-01, yielding 6,340,667 total batch assignments across 936,829 unique customers. 80,210 customers (7.9%) were never eligible because they had no purchase within any 90-day observation window — these are extremely sparse customers who purchased only once during the entire data span.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45C4C1CE">
        <w:trPr>
          <w:jc w:val="center"/>
        </w:trPr>
        <w:tc>
          <w:tcPr>
            <w:tcW w:w="4535" w:type="dxa"/>
            <w:shd w:val="clear" w:color="auto" w:fill="2F5496"/>
          </w:tcPr>
          <w:p w14:paraId="2E13847B">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Metric</w:t>
            </w:r>
          </w:p>
        </w:tc>
        <w:tc>
          <w:tcPr>
            <w:tcW w:w="4535" w:type="dxa"/>
            <w:shd w:val="clear" w:color="auto" w:fill="2F5496"/>
          </w:tcPr>
          <w:p w14:paraId="75DC56B2">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Value</w:t>
            </w:r>
          </w:p>
        </w:tc>
      </w:tr>
      <w:tr w14:paraId="5AB427AD">
        <w:trPr>
          <w:jc w:val="center"/>
        </w:trPr>
        <w:tc>
          <w:tcPr>
            <w:tcW w:w="4535" w:type="dxa"/>
          </w:tcPr>
          <w:p w14:paraId="5CC5D27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Total batch assignments</w:t>
            </w:r>
          </w:p>
        </w:tc>
        <w:tc>
          <w:tcPr>
            <w:tcW w:w="4535" w:type="dxa"/>
          </w:tcPr>
          <w:p w14:paraId="4B97780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6,340,667</w:t>
            </w:r>
          </w:p>
        </w:tc>
      </w:tr>
      <w:tr w14:paraId="02DD537F">
        <w:trPr>
          <w:jc w:val="center"/>
        </w:trPr>
        <w:tc>
          <w:tcPr>
            <w:tcW w:w="4535" w:type="dxa"/>
            <w:shd w:val="clear" w:color="auto" w:fill="F2F2F2"/>
          </w:tcPr>
          <w:p w14:paraId="4549CEA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Unique customers across all batches</w:t>
            </w:r>
          </w:p>
        </w:tc>
        <w:tc>
          <w:tcPr>
            <w:tcW w:w="4535" w:type="dxa"/>
            <w:shd w:val="clear" w:color="auto" w:fill="F2F2F2"/>
          </w:tcPr>
          <w:p w14:paraId="6DB4C18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936,829</w:t>
            </w:r>
          </w:p>
        </w:tc>
      </w:tr>
      <w:tr w14:paraId="4C0EE360">
        <w:trPr>
          <w:jc w:val="center"/>
        </w:trPr>
        <w:tc>
          <w:tcPr>
            <w:tcW w:w="4535" w:type="dxa"/>
          </w:tcPr>
          <w:p w14:paraId="74762CF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Customers never eligible</w:t>
            </w:r>
          </w:p>
        </w:tc>
        <w:tc>
          <w:tcPr>
            <w:tcW w:w="4535" w:type="dxa"/>
          </w:tcPr>
          <w:p w14:paraId="3287FFB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80,210 (7.9%)</w:t>
            </w:r>
          </w:p>
        </w:tc>
      </w:tr>
      <w:tr w14:paraId="6CE4284B">
        <w:trPr>
          <w:jc w:val="center"/>
        </w:trPr>
        <w:tc>
          <w:tcPr>
            <w:tcW w:w="4535" w:type="dxa"/>
            <w:shd w:val="clear" w:color="auto" w:fill="F2F2F2"/>
          </w:tcPr>
          <w:p w14:paraId="6DEB217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Median batch appearances per customer</w:t>
            </w:r>
          </w:p>
        </w:tc>
        <w:tc>
          <w:tcPr>
            <w:tcW w:w="4535" w:type="dxa"/>
            <w:shd w:val="clear" w:color="auto" w:fill="F2F2F2"/>
          </w:tcPr>
          <w:p w14:paraId="7594A51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w:t>
            </w:r>
          </w:p>
        </w:tc>
      </w:tr>
      <w:tr w14:paraId="256C5159">
        <w:trPr>
          <w:jc w:val="center"/>
        </w:trPr>
        <w:tc>
          <w:tcPr>
            <w:tcW w:w="4535" w:type="dxa"/>
          </w:tcPr>
          <w:p w14:paraId="7FCC232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Mean batch appearances per customer</w:t>
            </w:r>
          </w:p>
        </w:tc>
        <w:tc>
          <w:tcPr>
            <w:tcW w:w="4535" w:type="dxa"/>
          </w:tcPr>
          <w:p w14:paraId="239BDB1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6.8</w:t>
            </w:r>
          </w:p>
        </w:tc>
      </w:tr>
      <w:tr w14:paraId="68A728B8">
        <w:trPr>
          <w:jc w:val="center"/>
        </w:trPr>
        <w:tc>
          <w:tcPr>
            <w:tcW w:w="4535" w:type="dxa"/>
            <w:shd w:val="clear" w:color="auto" w:fill="F2F2F2"/>
          </w:tcPr>
          <w:p w14:paraId="717B812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Batch size range</w:t>
            </w:r>
          </w:p>
        </w:tc>
        <w:tc>
          <w:tcPr>
            <w:tcW w:w="4535" w:type="dxa"/>
            <w:shd w:val="clear" w:color="auto" w:fill="F2F2F2"/>
          </w:tcPr>
          <w:p w14:paraId="358F731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290,948 – 327,637</w:t>
            </w:r>
          </w:p>
        </w:tc>
      </w:tr>
    </w:tbl>
    <w:p w14:paraId="1BA82AF3">
      <w:pPr>
        <w:rPr>
          <w:rFonts w:hint="default" w:ascii="Times New Roman Regular" w:hAnsi="Times New Roman Regular" w:cs="Times New Roman Regular"/>
        </w:rPr>
      </w:pPr>
    </w:p>
    <w:p w14:paraId="29F57361">
      <w:pPr>
        <w:rPr>
          <w:rFonts w:hint="default" w:ascii="Times New Roman Regular" w:hAnsi="Times New Roman Regular" w:cs="Times New Roman Regular"/>
        </w:rPr>
      </w:pPr>
      <w:r>
        <w:rPr>
          <w:rFonts w:hint="default" w:ascii="Times New Roman Regular" w:hAnsi="Times New Roman Regular" w:cs="Times New Roman Regular"/>
        </w:rPr>
        <w:t>Batch sizes are stable across prediction points (CV &lt; 4%), with a slight dip in 2026-03-01 (290,948) as some customers’ last purchases fell outside the final observation window.</w:t>
      </w:r>
    </w:p>
    <w:p w14:paraId="0FD66ACC">
      <w:pPr>
        <w:pStyle w:val="4"/>
        <w:rPr>
          <w:rFonts w:hint="default" w:ascii="Times New Roman Regular" w:hAnsi="Times New Roman Regular" w:cs="Times New Roman Regular"/>
        </w:rPr>
      </w:pPr>
      <w:r>
        <w:rPr>
          <w:rFonts w:hint="default" w:ascii="Times New Roman" w:hAnsi="Times New Roman Regular" w:cs="Times New Roman Regular"/>
          <w:lang w:val="vi-VN"/>
        </w:rPr>
        <w:t>1</w:t>
      </w:r>
      <w:r>
        <w:rPr>
          <w:rFonts w:hint="default" w:ascii="Times New Roman Regular" w:hAnsi="Times New Roman Regular" w:cs="Times New Roman Regular"/>
        </w:rPr>
        <w:t>.3 Leakage Safeguards</w:t>
      </w:r>
    </w:p>
    <w:p w14:paraId="7EABF6B4">
      <w:pPr>
        <w:rPr>
          <w:rFonts w:hint="default" w:ascii="Times New Roman Regular" w:hAnsi="Times New Roman Regular" w:cs="Times New Roman Regular"/>
        </w:rPr>
      </w:pPr>
      <w:r>
        <w:rPr>
          <w:rFonts w:hint="default" w:ascii="Times New Roman Regular" w:hAnsi="Times New Roman Regular" w:cs="Times New Roman Regular"/>
        </w:rPr>
        <w:t>The temporal design enforces strict separation:</w:t>
      </w:r>
    </w:p>
    <w:p w14:paraId="600902D3">
      <w:pPr>
        <w:pStyle w:val="23"/>
        <w:rPr>
          <w:rFonts w:hint="default" w:ascii="Times New Roman Regular" w:hAnsi="Times New Roman Regular" w:cs="Times New Roman Regular"/>
        </w:rPr>
      </w:pPr>
      <w:r>
        <w:rPr>
          <w:rFonts w:hint="default" w:ascii="Times New Roman Regular" w:hAnsi="Times New Roman Regular" w:cs="Times New Roman Regular"/>
          <w:b/>
        </w:rPr>
        <w:t xml:space="preserve">Observation window: </w:t>
      </w:r>
      <w:r>
        <w:rPr>
          <w:rFonts w:hint="default" w:ascii="Times New Roman Regular" w:hAnsi="Times New Roman Regular" w:cs="Times New Roman Regular"/>
        </w:rPr>
        <w:t>[obs_start, obs_end) where obs_end == prediction_point — features use only data before the prediction point.</w:t>
      </w:r>
    </w:p>
    <w:p w14:paraId="42454D56">
      <w:pPr>
        <w:pStyle w:val="23"/>
        <w:rPr>
          <w:rFonts w:hint="default" w:ascii="Times New Roman Regular" w:hAnsi="Times New Roman Regular" w:cs="Times New Roman Regular"/>
        </w:rPr>
      </w:pPr>
      <w:r>
        <w:rPr>
          <w:rFonts w:hint="default" w:ascii="Times New Roman Regular" w:hAnsi="Times New Roman Regular" w:cs="Times New Roman Regular"/>
          <w:b/>
        </w:rPr>
        <w:t xml:space="preserve">Label window: </w:t>
      </w:r>
      <w:r>
        <w:rPr>
          <w:rFonts w:hint="default" w:ascii="Times New Roman Regular" w:hAnsi="Times New Roman Regular" w:cs="Times New Roman Regular"/>
        </w:rPr>
        <w:t>[prediction_point, label_end) — labels use only data after the prediction point.</w:t>
      </w:r>
    </w:p>
    <w:p w14:paraId="19BB8F7C">
      <w:pPr>
        <w:pStyle w:val="23"/>
        <w:rPr>
          <w:rFonts w:hint="default" w:ascii="Times New Roman Regular" w:hAnsi="Times New Roman Regular" w:cs="Times New Roman Regular"/>
        </w:rPr>
      </w:pPr>
      <w:r>
        <w:rPr>
          <w:rFonts w:hint="default" w:ascii="Times New Roman Regular" w:hAnsi="Times New Roman Regular" w:cs="Times New Roman Regular"/>
          <w:b/>
        </w:rPr>
        <w:t xml:space="preserve">No overlap: </w:t>
      </w:r>
      <w:r>
        <w:rPr>
          <w:rFonts w:hint="default" w:ascii="Times New Roman Regular" w:hAnsi="Times New Roman Regular" w:cs="Times New Roman Regular"/>
        </w:rPr>
        <w:t>The observation and label windows share no dates.</w:t>
      </w:r>
    </w:p>
    <w:p w14:paraId="5C9632D3">
      <w:pPr>
        <w:pStyle w:val="23"/>
        <w:rPr>
          <w:rFonts w:hint="default" w:ascii="Times New Roman Regular" w:hAnsi="Times New Roman Regular" w:cs="Times New Roman Regular"/>
        </w:rPr>
      </w:pPr>
      <w:r>
        <w:rPr>
          <w:rFonts w:hint="default" w:ascii="Times New Roman Regular" w:hAnsi="Times New Roman Regular" w:cs="Times New Roman Regular"/>
          <w:b/>
        </w:rPr>
        <w:t xml:space="preserve">Boundary exclusion: </w:t>
      </w:r>
      <w:r>
        <w:rPr>
          <w:rFonts w:hint="default" w:ascii="Times New Roman Regular" w:hAnsi="Times New Roman Regular" w:cs="Times New Roman Regular"/>
        </w:rPr>
        <w:t>The last usable prediction point (2026-03-01) was chosen so that even the longest L2 label window (90 days) ends within the data boundary (2026-05-30).</w:t>
      </w:r>
    </w:p>
    <w:p w14:paraId="71D0D66D">
      <w:pPr>
        <w:pStyle w:val="3"/>
        <w:rPr>
          <w:rFonts w:hint="default" w:ascii="Times New Roman Regular" w:hAnsi="Times New Roman Regular" w:cs="Times New Roman Regular"/>
        </w:rPr>
      </w:pPr>
      <w:r>
        <w:rPr>
          <w:rFonts w:hint="default" w:ascii="Times New Roman" w:hAnsi="Times New Roman Regular" w:cs="Times New Roman Regular"/>
          <w:lang w:val="vi-VN"/>
        </w:rPr>
        <w:t>2</w:t>
      </w:r>
      <w:r>
        <w:rPr>
          <w:rFonts w:hint="default" w:ascii="Times New Roman Regular" w:hAnsi="Times New Roman Regular" w:cs="Times New Roman Regular"/>
        </w:rPr>
        <w:t>. Feature Engineering</w:t>
      </w:r>
    </w:p>
    <w:p w14:paraId="50B27665">
      <w:pPr>
        <w:pStyle w:val="4"/>
        <w:rPr>
          <w:rFonts w:hint="default" w:ascii="Times New Roman Regular" w:hAnsi="Times New Roman Regular" w:cs="Times New Roman Regular"/>
        </w:rPr>
      </w:pPr>
      <w:r>
        <w:rPr>
          <w:rFonts w:hint="default" w:ascii="Times New Roman" w:hAnsi="Times New Roman Regular" w:cs="Times New Roman Regular"/>
          <w:lang w:val="vi-VN"/>
        </w:rPr>
        <w:t>2</w:t>
      </w:r>
      <w:r>
        <w:rPr>
          <w:rFonts w:hint="default" w:ascii="Times New Roman Regular" w:hAnsi="Times New Roman Regular" w:cs="Times New Roman Regular"/>
        </w:rPr>
        <w:t>.1 Feature Set (25 Features)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1110"/>
        <w:gridCol w:w="6537"/>
      </w:tblGrid>
      <w:tr w14:paraId="3873BAB8">
        <w:trPr>
          <w:jc w:val="center"/>
        </w:trPr>
        <w:tc>
          <w:tcPr>
            <w:tcW w:w="1984" w:type="dxa"/>
            <w:shd w:val="clear" w:color="auto" w:fill="2F5496"/>
          </w:tcPr>
          <w:p w14:paraId="38B0DD3C">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Category</w:t>
            </w:r>
          </w:p>
        </w:tc>
        <w:tc>
          <w:tcPr>
            <w:tcW w:w="1134" w:type="dxa"/>
            <w:shd w:val="clear" w:color="auto" w:fill="2F5496"/>
          </w:tcPr>
          <w:p w14:paraId="61A88558">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Count</w:t>
            </w:r>
          </w:p>
        </w:tc>
        <w:tc>
          <w:tcPr>
            <w:tcW w:w="6803" w:type="dxa"/>
            <w:shd w:val="clear" w:color="auto" w:fill="2F5496"/>
          </w:tcPr>
          <w:p w14:paraId="37B309C2">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Features</w:t>
            </w:r>
          </w:p>
        </w:tc>
      </w:tr>
      <w:tr w14:paraId="1FB68FC5">
        <w:trPr>
          <w:jc w:val="center"/>
        </w:trPr>
        <w:tc>
          <w:tcPr>
            <w:tcW w:w="1984" w:type="dxa"/>
          </w:tcPr>
          <w:p w14:paraId="434D07E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Customer-level</w:t>
            </w:r>
          </w:p>
        </w:tc>
        <w:tc>
          <w:tcPr>
            <w:tcW w:w="1134" w:type="dxa"/>
          </w:tcPr>
          <w:p w14:paraId="661AFEB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14</w:t>
            </w:r>
          </w:p>
        </w:tc>
        <w:tc>
          <w:tcPr>
            <w:tcW w:w="6803" w:type="dxa"/>
          </w:tcPr>
          <w:p w14:paraId="01824D5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recency, frequency, monetary, avg_monetary, ipi_mean, ipi_std, recent_activity, freq_decline_ratio, unique_products, avg_basket_size, total_qty, pay_ratio, debt_frequency, customer_tenure</w:t>
            </w:r>
          </w:p>
        </w:tc>
      </w:tr>
      <w:tr w14:paraId="7D3C2DEE">
        <w:trPr>
          <w:jc w:val="center"/>
        </w:trPr>
        <w:tc>
          <w:tcPr>
            <w:tcW w:w="1984" w:type="dxa"/>
            <w:shd w:val="clear" w:color="auto" w:fill="F2F2F2"/>
          </w:tcPr>
          <w:p w14:paraId="317F3B8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Store-level</w:t>
            </w:r>
          </w:p>
        </w:tc>
        <w:tc>
          <w:tcPr>
            <w:tcW w:w="1134" w:type="dxa"/>
            <w:shd w:val="clear" w:color="auto" w:fill="F2F2F2"/>
          </w:tcPr>
          <w:p w14:paraId="6648EF8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w:t>
            </w:r>
          </w:p>
        </w:tc>
        <w:tc>
          <w:tcPr>
            <w:tcW w:w="6803" w:type="dxa"/>
            <w:shd w:val="clear" w:color="auto" w:fill="F2F2F2"/>
          </w:tcPr>
          <w:p w14:paraId="02583CA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store_txn_volume, store_active_customers, store_median_ipi, recency_vs_store, frequency_vs_store, monetary_vs_store</w:t>
            </w:r>
          </w:p>
        </w:tc>
      </w:tr>
      <w:tr w14:paraId="64C9A723">
        <w:trPr>
          <w:jc w:val="center"/>
        </w:trPr>
        <w:tc>
          <w:tcPr>
            <w:tcW w:w="1984" w:type="dxa"/>
          </w:tcPr>
          <w:p w14:paraId="7FBD491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Time-level</w:t>
            </w:r>
          </w:p>
        </w:tc>
        <w:tc>
          <w:tcPr>
            <w:tcW w:w="1134" w:type="dxa"/>
          </w:tcPr>
          <w:p w14:paraId="0BF733B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w:t>
            </w:r>
          </w:p>
        </w:tc>
        <w:tc>
          <w:tcPr>
            <w:tcW w:w="6803" w:type="dxa"/>
          </w:tcPr>
          <w:p w14:paraId="28127AA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month, quarter, is_cny_season, is_double11, is_spring_festival</w:t>
            </w:r>
          </w:p>
        </w:tc>
      </w:tr>
    </w:tbl>
    <w:p w14:paraId="1F7D2263">
      <w:pPr>
        <w:rPr>
          <w:rFonts w:hint="default" w:ascii="Times New Roman Regular" w:hAnsi="Times New Roman Regular" w:cs="Times New Roman Regular"/>
        </w:rPr>
      </w:pPr>
    </w:p>
    <w:p w14:paraId="466519F4">
      <w:pPr>
        <w:rPr>
          <w:rFonts w:hint="default" w:ascii="Times New Roman Regular" w:hAnsi="Times New Roman Regular" w:cs="Times New Roman Regular"/>
        </w:rPr>
      </w:pPr>
      <w:r>
        <w:rPr>
          <w:rFonts w:hint="default" w:ascii="Times New Roman Regular" w:hAnsi="Times New Roman Regular" w:cs="Times New Roman Regular"/>
        </w:rPr>
        <w:t>Design rationale for key features:</w:t>
      </w:r>
    </w:p>
    <w:p w14:paraId="61FD71EE">
      <w:pPr>
        <w:pStyle w:val="23"/>
        <w:rPr>
          <w:rFonts w:hint="default" w:ascii="Times New Roman Regular" w:hAnsi="Times New Roman Regular" w:cs="Times New Roman Regular"/>
        </w:rPr>
      </w:pPr>
      <w:r>
        <w:rPr>
          <w:rFonts w:hint="default" w:ascii="Times New Roman Regular" w:hAnsi="Times New Roman Regular" w:cs="Times New Roman Regular"/>
          <w:b/>
        </w:rPr>
        <w:t>RFM features (recency, frequency, monetary, avg_monetary): Standard churn predictors</w:t>
      </w:r>
      <w:r>
        <w:rPr>
          <w:rFonts w:hint="default" w:ascii="Times New Roman Regular" w:hAnsi="Times New Roman Regular" w:cs="Times New Roman Regular"/>
          <w:b/>
          <w:vertAlign w:val="superscript"/>
        </w:rPr>
        <w:t xml:space="preserve"> [1, 2, 4]</w:t>
      </w:r>
      <w:r>
        <w:rPr>
          <w:rFonts w:hint="default" w:ascii="Times New Roman Regular" w:hAnsi="Times New Roman Regular" w:cs="Times New Roman Regular"/>
          <w:b/>
        </w:rPr>
        <w:t>. Computed strictly within the observation window.</w:t>
      </w:r>
    </w:p>
    <w:p w14:paraId="094D0804">
      <w:pPr>
        <w:pStyle w:val="23"/>
        <w:rPr>
          <w:rFonts w:hint="default" w:ascii="Times New Roman Regular" w:hAnsi="Times New Roman Regular" w:cs="Times New Roman Regular"/>
        </w:rPr>
      </w:pPr>
      <w:r>
        <w:rPr>
          <w:rFonts w:hint="default" w:ascii="Times New Roman Regular" w:hAnsi="Times New Roman Regular" w:cs="Times New Roman Regular"/>
          <w:b/>
        </w:rPr>
        <w:t xml:space="preserve">IPI features (ipi_mean, ipi_std): Capture repurchase regularity </w:t>
      </w:r>
      <w:r>
        <w:rPr>
          <w:rFonts w:hint="default" w:ascii="Times New Roman Regular" w:hAnsi="Times New Roman Regular" w:cs="Times New Roman Regular"/>
          <w:b/>
          <w:vertAlign w:val="superscript"/>
        </w:rPr>
        <w:t>[2, 4]</w:t>
      </w:r>
      <w:r>
        <w:rPr>
          <w:rFonts w:hint="default" w:ascii="Times New Roman Regular" w:hAnsi="Times New Roman Regular" w:cs="Times New Roman Regular"/>
          <w:b/>
        </w:rPr>
        <w:t>. Customers with only one purchase in the observation window get NaN (47.5% for ipi_mean, 63.5% for ipi_std) — deferred to XGBoost’s native missing-value handling rather than imputing</w:t>
      </w:r>
      <w:r>
        <w:rPr>
          <w:rFonts w:hint="default" w:ascii="Times New Roman Regular" w:hAnsi="Times New Roman Regular" w:cs="Times New Roman Regular"/>
          <w:b/>
          <w:vertAlign w:val="superscript"/>
        </w:rPr>
        <w:t xml:space="preserve"> [3]</w:t>
      </w:r>
      <w:r>
        <w:rPr>
          <w:rFonts w:hint="default" w:ascii="Times New Roman Regular" w:hAnsi="Times New Roman Regular" w:cs="Times New Roman Regular"/>
          <w:b/>
        </w:rPr>
        <w:t>.</w:t>
      </w:r>
    </w:p>
    <w:p w14:paraId="73C2AD20">
      <w:pPr>
        <w:pStyle w:val="23"/>
        <w:rPr>
          <w:rFonts w:hint="default" w:ascii="Times New Roman Regular" w:hAnsi="Times New Roman Regular" w:cs="Times New Roman Regular"/>
        </w:rPr>
      </w:pPr>
      <w:r>
        <w:rPr>
          <w:rFonts w:hint="default" w:ascii="Times New Roman Regular" w:hAnsi="Times New Roman Regular" w:cs="Times New Roman Regular"/>
          <w:b/>
        </w:rPr>
        <w:t>Trend features (recent_activity, freq_decline_ratio): Signal whether activity is accelerating or decelerating</w:t>
      </w:r>
      <w:r>
        <w:rPr>
          <w:rFonts w:hint="default" w:ascii="Times New Roman Regular" w:hAnsi="Times New Roman Regular" w:cs="Times New Roman Regular"/>
          <w:b/>
          <w:vertAlign w:val="superscript"/>
        </w:rPr>
        <w:t xml:space="preserve"> [1, 4]</w:t>
      </w:r>
      <w:r>
        <w:rPr>
          <w:rFonts w:hint="default" w:ascii="Times New Roman Regular" w:hAnsi="Times New Roman Regular" w:cs="Times New Roman Regular"/>
          <w:b/>
        </w:rPr>
        <w:t>. freq_decline_ratio compares 2nd-half to 1st-half frequency within the observation window.</w:t>
      </w:r>
    </w:p>
    <w:p w14:paraId="518747F3">
      <w:pPr>
        <w:pStyle w:val="23"/>
        <w:rPr>
          <w:rFonts w:hint="default" w:ascii="Times New Roman Regular" w:hAnsi="Times New Roman Regular" w:cs="Times New Roman Regular"/>
        </w:rPr>
      </w:pPr>
      <w:r>
        <w:rPr>
          <w:rFonts w:hint="default" w:ascii="Times New Roman Regular" w:hAnsi="Times New Roman Regular" w:cs="Times New Roman Regular"/>
          <w:b/>
        </w:rPr>
        <w:t xml:space="preserve">Store-context features (recency_vs_store, frequency_vs_store, monetary_vs_store): </w:t>
      </w:r>
      <w:r>
        <w:rPr>
          <w:rFonts w:hint="default" w:ascii="Times New Roman Regular" w:hAnsi="Times New Roman Regular" w:cs="Times New Roman Regular"/>
        </w:rPr>
        <w:t>Relative positioning against store medians — a customer with frequency = 2 means something different in a store where the median is 2 vs. 20.</w:t>
      </w:r>
    </w:p>
    <w:p w14:paraId="39E80646">
      <w:pPr>
        <w:pStyle w:val="23"/>
        <w:rPr>
          <w:rFonts w:hint="default" w:ascii="Times New Roman Regular" w:hAnsi="Times New Roman Regular" w:cs="Times New Roman Regular"/>
        </w:rPr>
      </w:pPr>
      <w:r>
        <w:rPr>
          <w:rFonts w:hint="default" w:ascii="Times New Roman Regular" w:hAnsi="Times New Roman Regular" w:cs="Times New Roman Regular"/>
          <w:b/>
        </w:rPr>
        <w:t xml:space="preserve">Seasonality features (is_cny_season, is_double11, is_spring_festival): </w:t>
      </w:r>
      <w:r>
        <w:rPr>
          <w:rFonts w:hint="default" w:ascii="Times New Roman Regular" w:hAnsi="Times New Roman Regular" w:cs="Times New Roman Regular"/>
        </w:rPr>
        <w:t>Binary flags for Chinese retail calendar events that affect purchasing patterns.</w:t>
      </w:r>
    </w:p>
    <w:p w14:paraId="30AC1B5C">
      <w:pPr>
        <w:pStyle w:val="4"/>
        <w:rPr>
          <w:rFonts w:hint="default" w:ascii="Times New Roman Regular" w:hAnsi="Times New Roman Regular" w:cs="Times New Roman Regular"/>
        </w:rPr>
      </w:pPr>
      <w:r>
        <w:rPr>
          <w:rFonts w:hint="default" w:ascii="Times New Roman" w:hAnsi="Times New Roman Regular" w:cs="Times New Roman Regular"/>
          <w:lang w:val="vi-VN"/>
        </w:rPr>
        <w:t>2</w:t>
      </w:r>
      <w:r>
        <w:rPr>
          <w:rFonts w:hint="default" w:ascii="Times New Roman Regular" w:hAnsi="Times New Roman Regular" w:cs="Times New Roman Regular"/>
        </w:rPr>
        <w:t>.2 Feature Statistics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17"/>
        <w:gridCol w:w="1701"/>
        <w:gridCol w:w="1134"/>
        <w:gridCol w:w="1417"/>
        <w:gridCol w:w="1134"/>
      </w:tblGrid>
      <w:tr w14:paraId="3558C410">
        <w:trPr>
          <w:jc w:val="center"/>
        </w:trPr>
        <w:tc>
          <w:tcPr>
            <w:tcW w:w="2268" w:type="dxa"/>
            <w:shd w:val="clear" w:color="auto" w:fill="2F5496"/>
          </w:tcPr>
          <w:p w14:paraId="6F2E1AB1">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Feature</w:t>
            </w:r>
          </w:p>
        </w:tc>
        <w:tc>
          <w:tcPr>
            <w:tcW w:w="1417" w:type="dxa"/>
            <w:shd w:val="clear" w:color="auto" w:fill="2F5496"/>
          </w:tcPr>
          <w:p w14:paraId="002C3D03">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Mean</w:t>
            </w:r>
          </w:p>
        </w:tc>
        <w:tc>
          <w:tcPr>
            <w:tcW w:w="1701" w:type="dxa"/>
            <w:shd w:val="clear" w:color="auto" w:fill="2F5496"/>
          </w:tcPr>
          <w:p w14:paraId="1123FFAB">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Std</w:t>
            </w:r>
          </w:p>
        </w:tc>
        <w:tc>
          <w:tcPr>
            <w:tcW w:w="1134" w:type="dxa"/>
            <w:shd w:val="clear" w:color="auto" w:fill="2F5496"/>
          </w:tcPr>
          <w:p w14:paraId="15506DE0">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Min</w:t>
            </w:r>
          </w:p>
        </w:tc>
        <w:tc>
          <w:tcPr>
            <w:tcW w:w="1417" w:type="dxa"/>
            <w:shd w:val="clear" w:color="auto" w:fill="2F5496"/>
          </w:tcPr>
          <w:p w14:paraId="3968327E">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Max</w:t>
            </w:r>
          </w:p>
        </w:tc>
        <w:tc>
          <w:tcPr>
            <w:tcW w:w="1134" w:type="dxa"/>
            <w:shd w:val="clear" w:color="auto" w:fill="2F5496"/>
          </w:tcPr>
          <w:p w14:paraId="3F3D3934">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NaN%</w:t>
            </w:r>
          </w:p>
        </w:tc>
      </w:tr>
      <w:tr w14:paraId="5EA6AAAA">
        <w:trPr>
          <w:jc w:val="center"/>
        </w:trPr>
        <w:tc>
          <w:tcPr>
            <w:tcW w:w="2268" w:type="dxa"/>
          </w:tcPr>
          <w:p w14:paraId="39688AD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recency</w:t>
            </w:r>
          </w:p>
        </w:tc>
        <w:tc>
          <w:tcPr>
            <w:tcW w:w="1417" w:type="dxa"/>
          </w:tcPr>
          <w:p w14:paraId="197A065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32.4</w:t>
            </w:r>
          </w:p>
        </w:tc>
        <w:tc>
          <w:tcPr>
            <w:tcW w:w="1701" w:type="dxa"/>
          </w:tcPr>
          <w:p w14:paraId="3B49B60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26.2</w:t>
            </w:r>
          </w:p>
        </w:tc>
        <w:tc>
          <w:tcPr>
            <w:tcW w:w="1134" w:type="dxa"/>
          </w:tcPr>
          <w:p w14:paraId="5B81304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w:t>
            </w:r>
          </w:p>
        </w:tc>
        <w:tc>
          <w:tcPr>
            <w:tcW w:w="1417" w:type="dxa"/>
          </w:tcPr>
          <w:p w14:paraId="24E9142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w:t>
            </w:r>
          </w:p>
        </w:tc>
        <w:tc>
          <w:tcPr>
            <w:tcW w:w="1134" w:type="dxa"/>
          </w:tcPr>
          <w:p w14:paraId="4BC6870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0.0%</w:t>
            </w:r>
          </w:p>
        </w:tc>
      </w:tr>
      <w:tr w14:paraId="7AF6764B">
        <w:trPr>
          <w:jc w:val="center"/>
        </w:trPr>
        <w:tc>
          <w:tcPr>
            <w:tcW w:w="2268" w:type="dxa"/>
            <w:shd w:val="clear" w:color="auto" w:fill="F2F2F2"/>
          </w:tcPr>
          <w:p w14:paraId="2EB3F76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frequency</w:t>
            </w:r>
          </w:p>
        </w:tc>
        <w:tc>
          <w:tcPr>
            <w:tcW w:w="1417" w:type="dxa"/>
            <w:shd w:val="clear" w:color="auto" w:fill="F2F2F2"/>
          </w:tcPr>
          <w:p w14:paraId="30019B3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5.6</w:t>
            </w:r>
          </w:p>
        </w:tc>
        <w:tc>
          <w:tcPr>
            <w:tcW w:w="1701" w:type="dxa"/>
            <w:shd w:val="clear" w:color="auto" w:fill="F2F2F2"/>
          </w:tcPr>
          <w:p w14:paraId="5C02234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54.8</w:t>
            </w:r>
          </w:p>
        </w:tc>
        <w:tc>
          <w:tcPr>
            <w:tcW w:w="1134" w:type="dxa"/>
            <w:shd w:val="clear" w:color="auto" w:fill="F2F2F2"/>
          </w:tcPr>
          <w:p w14:paraId="0688500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w:t>
            </w:r>
          </w:p>
        </w:tc>
        <w:tc>
          <w:tcPr>
            <w:tcW w:w="1417" w:type="dxa"/>
            <w:shd w:val="clear" w:color="auto" w:fill="F2F2F2"/>
          </w:tcPr>
          <w:p w14:paraId="370AD91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24,634</w:t>
            </w:r>
          </w:p>
        </w:tc>
        <w:tc>
          <w:tcPr>
            <w:tcW w:w="1134" w:type="dxa"/>
            <w:shd w:val="clear" w:color="auto" w:fill="F2F2F2"/>
          </w:tcPr>
          <w:p w14:paraId="5AF3DDF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0.0%</w:t>
            </w:r>
          </w:p>
        </w:tc>
      </w:tr>
      <w:tr w14:paraId="74C410FB">
        <w:trPr>
          <w:jc w:val="center"/>
        </w:trPr>
        <w:tc>
          <w:tcPr>
            <w:tcW w:w="2268" w:type="dxa"/>
          </w:tcPr>
          <w:p w14:paraId="313AFF4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monetary</w:t>
            </w:r>
          </w:p>
        </w:tc>
        <w:tc>
          <w:tcPr>
            <w:tcW w:w="1417" w:type="dxa"/>
          </w:tcPr>
          <w:p w14:paraId="5FDDA63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21,993</w:t>
            </w:r>
          </w:p>
        </w:tc>
        <w:tc>
          <w:tcPr>
            <w:tcW w:w="1701" w:type="dxa"/>
          </w:tcPr>
          <w:p w14:paraId="3583E49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3,655,801</w:t>
            </w:r>
          </w:p>
        </w:tc>
        <w:tc>
          <w:tcPr>
            <w:tcW w:w="1134" w:type="dxa"/>
          </w:tcPr>
          <w:p w14:paraId="22B46E1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w:t>
            </w:r>
          </w:p>
        </w:tc>
        <w:tc>
          <w:tcPr>
            <w:tcW w:w="1417" w:type="dxa"/>
          </w:tcPr>
          <w:p w14:paraId="2725F0D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2.7B</w:t>
            </w:r>
          </w:p>
        </w:tc>
        <w:tc>
          <w:tcPr>
            <w:tcW w:w="1134" w:type="dxa"/>
          </w:tcPr>
          <w:p w14:paraId="171CA7B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0.0%</w:t>
            </w:r>
          </w:p>
        </w:tc>
      </w:tr>
      <w:tr w14:paraId="21D4E373">
        <w:trPr>
          <w:jc w:val="center"/>
        </w:trPr>
        <w:tc>
          <w:tcPr>
            <w:tcW w:w="2268" w:type="dxa"/>
            <w:shd w:val="clear" w:color="auto" w:fill="F2F2F2"/>
          </w:tcPr>
          <w:p w14:paraId="038D522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avg_monetary</w:t>
            </w:r>
          </w:p>
        </w:tc>
        <w:tc>
          <w:tcPr>
            <w:tcW w:w="1417" w:type="dxa"/>
            <w:shd w:val="clear" w:color="auto" w:fill="F2F2F2"/>
          </w:tcPr>
          <w:p w14:paraId="00BBDB1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3,218</w:t>
            </w:r>
          </w:p>
        </w:tc>
        <w:tc>
          <w:tcPr>
            <w:tcW w:w="1701" w:type="dxa"/>
            <w:shd w:val="clear" w:color="auto" w:fill="F2F2F2"/>
          </w:tcPr>
          <w:p w14:paraId="1395B02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36,717</w:t>
            </w:r>
          </w:p>
        </w:tc>
        <w:tc>
          <w:tcPr>
            <w:tcW w:w="1134" w:type="dxa"/>
            <w:shd w:val="clear" w:color="auto" w:fill="F2F2F2"/>
          </w:tcPr>
          <w:p w14:paraId="436DA51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w:t>
            </w:r>
          </w:p>
        </w:tc>
        <w:tc>
          <w:tcPr>
            <w:tcW w:w="1417" w:type="dxa"/>
            <w:shd w:val="clear" w:color="auto" w:fill="F2F2F2"/>
          </w:tcPr>
          <w:p w14:paraId="5FA96ED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9.99M</w:t>
            </w:r>
          </w:p>
        </w:tc>
        <w:tc>
          <w:tcPr>
            <w:tcW w:w="1134" w:type="dxa"/>
            <w:shd w:val="clear" w:color="auto" w:fill="F2F2F2"/>
          </w:tcPr>
          <w:p w14:paraId="7089EF7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0.0%</w:t>
            </w:r>
          </w:p>
        </w:tc>
      </w:tr>
      <w:tr w14:paraId="300AEAD3">
        <w:trPr>
          <w:jc w:val="center"/>
        </w:trPr>
        <w:tc>
          <w:tcPr>
            <w:tcW w:w="2268" w:type="dxa"/>
          </w:tcPr>
          <w:p w14:paraId="77083DD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ipi_mean</w:t>
            </w:r>
          </w:p>
        </w:tc>
        <w:tc>
          <w:tcPr>
            <w:tcW w:w="1417" w:type="dxa"/>
          </w:tcPr>
          <w:p w14:paraId="27701AB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17.8</w:t>
            </w:r>
          </w:p>
        </w:tc>
        <w:tc>
          <w:tcPr>
            <w:tcW w:w="1701" w:type="dxa"/>
          </w:tcPr>
          <w:p w14:paraId="1D9AF13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15.4</w:t>
            </w:r>
          </w:p>
        </w:tc>
        <w:tc>
          <w:tcPr>
            <w:tcW w:w="1134" w:type="dxa"/>
          </w:tcPr>
          <w:p w14:paraId="4AB2A8D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w:t>
            </w:r>
          </w:p>
        </w:tc>
        <w:tc>
          <w:tcPr>
            <w:tcW w:w="1417" w:type="dxa"/>
          </w:tcPr>
          <w:p w14:paraId="725AC4E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89</w:t>
            </w:r>
          </w:p>
        </w:tc>
        <w:tc>
          <w:tcPr>
            <w:tcW w:w="1134" w:type="dxa"/>
          </w:tcPr>
          <w:p w14:paraId="124607D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47.5%</w:t>
            </w:r>
          </w:p>
        </w:tc>
      </w:tr>
      <w:tr w14:paraId="791EDAA7">
        <w:trPr>
          <w:jc w:val="center"/>
        </w:trPr>
        <w:tc>
          <w:tcPr>
            <w:tcW w:w="2268" w:type="dxa"/>
            <w:shd w:val="clear" w:color="auto" w:fill="F2F2F2"/>
          </w:tcPr>
          <w:p w14:paraId="437179A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ipi_std</w:t>
            </w:r>
          </w:p>
        </w:tc>
        <w:tc>
          <w:tcPr>
            <w:tcW w:w="1417" w:type="dxa"/>
            <w:shd w:val="clear" w:color="auto" w:fill="F2F2F2"/>
          </w:tcPr>
          <w:p w14:paraId="0D5C5A3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9.3</w:t>
            </w:r>
          </w:p>
        </w:tc>
        <w:tc>
          <w:tcPr>
            <w:tcW w:w="1701" w:type="dxa"/>
            <w:shd w:val="clear" w:color="auto" w:fill="F2F2F2"/>
          </w:tcPr>
          <w:p w14:paraId="10F34FD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8.2</w:t>
            </w:r>
          </w:p>
        </w:tc>
        <w:tc>
          <w:tcPr>
            <w:tcW w:w="1134" w:type="dxa"/>
            <w:shd w:val="clear" w:color="auto" w:fill="F2F2F2"/>
          </w:tcPr>
          <w:p w14:paraId="18BB03A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w:t>
            </w:r>
          </w:p>
        </w:tc>
        <w:tc>
          <w:tcPr>
            <w:tcW w:w="1417" w:type="dxa"/>
            <w:shd w:val="clear" w:color="auto" w:fill="F2F2F2"/>
          </w:tcPr>
          <w:p w14:paraId="790FB16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61.5</w:t>
            </w:r>
          </w:p>
        </w:tc>
        <w:tc>
          <w:tcPr>
            <w:tcW w:w="1134" w:type="dxa"/>
            <w:shd w:val="clear" w:color="auto" w:fill="F2F2F2"/>
          </w:tcPr>
          <w:p w14:paraId="343725B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63.5%</w:t>
            </w:r>
          </w:p>
        </w:tc>
      </w:tr>
      <w:tr w14:paraId="2F91B617">
        <w:trPr>
          <w:jc w:val="center"/>
        </w:trPr>
        <w:tc>
          <w:tcPr>
            <w:tcW w:w="2268" w:type="dxa"/>
          </w:tcPr>
          <w:p w14:paraId="204F189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recent_activity</w:t>
            </w:r>
          </w:p>
        </w:tc>
        <w:tc>
          <w:tcPr>
            <w:tcW w:w="1417" w:type="dxa"/>
          </w:tcPr>
          <w:p w14:paraId="45AA70F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1.8</w:t>
            </w:r>
          </w:p>
        </w:tc>
        <w:tc>
          <w:tcPr>
            <w:tcW w:w="1701" w:type="dxa"/>
          </w:tcPr>
          <w:p w14:paraId="37EE5A4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18.5</w:t>
            </w:r>
          </w:p>
        </w:tc>
        <w:tc>
          <w:tcPr>
            <w:tcW w:w="1134" w:type="dxa"/>
          </w:tcPr>
          <w:p w14:paraId="70EB1A3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w:t>
            </w:r>
          </w:p>
        </w:tc>
        <w:tc>
          <w:tcPr>
            <w:tcW w:w="1417" w:type="dxa"/>
          </w:tcPr>
          <w:p w14:paraId="288B756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10,306</w:t>
            </w:r>
          </w:p>
        </w:tc>
        <w:tc>
          <w:tcPr>
            <w:tcW w:w="1134" w:type="dxa"/>
          </w:tcPr>
          <w:p w14:paraId="5B9AA04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0.0%</w:t>
            </w:r>
          </w:p>
        </w:tc>
      </w:tr>
      <w:tr w14:paraId="5865CA60">
        <w:trPr>
          <w:jc w:val="center"/>
        </w:trPr>
        <w:tc>
          <w:tcPr>
            <w:tcW w:w="2268" w:type="dxa"/>
            <w:shd w:val="clear" w:color="auto" w:fill="F2F2F2"/>
          </w:tcPr>
          <w:p w14:paraId="130C929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freq_decline_ratio</w:t>
            </w:r>
          </w:p>
        </w:tc>
        <w:tc>
          <w:tcPr>
            <w:tcW w:w="1417" w:type="dxa"/>
            <w:shd w:val="clear" w:color="auto" w:fill="F2F2F2"/>
          </w:tcPr>
          <w:p w14:paraId="44D027D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1.1</w:t>
            </w:r>
          </w:p>
        </w:tc>
        <w:tc>
          <w:tcPr>
            <w:tcW w:w="1701" w:type="dxa"/>
            <w:shd w:val="clear" w:color="auto" w:fill="F2F2F2"/>
          </w:tcPr>
          <w:p w14:paraId="6A60CD1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1.2</w:t>
            </w:r>
          </w:p>
        </w:tc>
        <w:tc>
          <w:tcPr>
            <w:tcW w:w="1134" w:type="dxa"/>
            <w:shd w:val="clear" w:color="auto" w:fill="F2F2F2"/>
          </w:tcPr>
          <w:p w14:paraId="1FE614A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w:t>
            </w:r>
          </w:p>
        </w:tc>
        <w:tc>
          <w:tcPr>
            <w:tcW w:w="1417" w:type="dxa"/>
            <w:shd w:val="clear" w:color="auto" w:fill="F2F2F2"/>
          </w:tcPr>
          <w:p w14:paraId="37CB89A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1,106</w:t>
            </w:r>
          </w:p>
        </w:tc>
        <w:tc>
          <w:tcPr>
            <w:tcW w:w="1134" w:type="dxa"/>
            <w:shd w:val="clear" w:color="auto" w:fill="F2F2F2"/>
          </w:tcPr>
          <w:p w14:paraId="7F95796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0.0%</w:t>
            </w:r>
          </w:p>
        </w:tc>
      </w:tr>
      <w:tr w14:paraId="33C04B73">
        <w:trPr>
          <w:jc w:val="center"/>
        </w:trPr>
        <w:tc>
          <w:tcPr>
            <w:tcW w:w="2268" w:type="dxa"/>
          </w:tcPr>
          <w:p w14:paraId="684AC91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pay_ratio</w:t>
            </w:r>
          </w:p>
        </w:tc>
        <w:tc>
          <w:tcPr>
            <w:tcW w:w="1417" w:type="dxa"/>
          </w:tcPr>
          <w:p w14:paraId="0262D57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0.51</w:t>
            </w:r>
          </w:p>
        </w:tc>
        <w:tc>
          <w:tcPr>
            <w:tcW w:w="1701" w:type="dxa"/>
          </w:tcPr>
          <w:p w14:paraId="44C5D8F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44.5</w:t>
            </w:r>
          </w:p>
        </w:tc>
        <w:tc>
          <w:tcPr>
            <w:tcW w:w="1134" w:type="dxa"/>
          </w:tcPr>
          <w:p w14:paraId="5FC04FA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w:t>
            </w:r>
          </w:p>
        </w:tc>
        <w:tc>
          <w:tcPr>
            <w:tcW w:w="1417" w:type="dxa"/>
          </w:tcPr>
          <w:p w14:paraId="227C31B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64,350</w:t>
            </w:r>
          </w:p>
        </w:tc>
        <w:tc>
          <w:tcPr>
            <w:tcW w:w="1134" w:type="dxa"/>
          </w:tcPr>
          <w:p w14:paraId="43DE349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0.0%</w:t>
            </w:r>
          </w:p>
        </w:tc>
      </w:tr>
      <w:tr w14:paraId="373B0BEA">
        <w:trPr>
          <w:jc w:val="center"/>
        </w:trPr>
        <w:tc>
          <w:tcPr>
            <w:tcW w:w="2268" w:type="dxa"/>
            <w:shd w:val="clear" w:color="auto" w:fill="F2F2F2"/>
          </w:tcPr>
          <w:p w14:paraId="21F4B14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debt_frequency</w:t>
            </w:r>
          </w:p>
        </w:tc>
        <w:tc>
          <w:tcPr>
            <w:tcW w:w="1417" w:type="dxa"/>
            <w:shd w:val="clear" w:color="auto" w:fill="F2F2F2"/>
          </w:tcPr>
          <w:p w14:paraId="55FA6D7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0.51</w:t>
            </w:r>
          </w:p>
        </w:tc>
        <w:tc>
          <w:tcPr>
            <w:tcW w:w="1701" w:type="dxa"/>
            <w:shd w:val="clear" w:color="auto" w:fill="F2F2F2"/>
          </w:tcPr>
          <w:p w14:paraId="751DA6B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0.49</w:t>
            </w:r>
          </w:p>
        </w:tc>
        <w:tc>
          <w:tcPr>
            <w:tcW w:w="1134" w:type="dxa"/>
            <w:shd w:val="clear" w:color="auto" w:fill="F2F2F2"/>
          </w:tcPr>
          <w:p w14:paraId="69960A3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w:t>
            </w:r>
          </w:p>
        </w:tc>
        <w:tc>
          <w:tcPr>
            <w:tcW w:w="1417" w:type="dxa"/>
            <w:shd w:val="clear" w:color="auto" w:fill="F2F2F2"/>
          </w:tcPr>
          <w:p w14:paraId="7D674A1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1.0</w:t>
            </w:r>
          </w:p>
        </w:tc>
        <w:tc>
          <w:tcPr>
            <w:tcW w:w="1134" w:type="dxa"/>
            <w:shd w:val="clear" w:color="auto" w:fill="F2F2F2"/>
          </w:tcPr>
          <w:p w14:paraId="64E58F0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0.0%</w:t>
            </w:r>
          </w:p>
        </w:tc>
      </w:tr>
      <w:tr w14:paraId="1CC110F6">
        <w:trPr>
          <w:jc w:val="center"/>
        </w:trPr>
        <w:tc>
          <w:tcPr>
            <w:tcW w:w="2268" w:type="dxa"/>
          </w:tcPr>
          <w:p w14:paraId="0EF958C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customer_tenure</w:t>
            </w:r>
          </w:p>
        </w:tc>
        <w:tc>
          <w:tcPr>
            <w:tcW w:w="1417" w:type="dxa"/>
          </w:tcPr>
          <w:p w14:paraId="1441698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911</w:t>
            </w:r>
          </w:p>
        </w:tc>
        <w:tc>
          <w:tcPr>
            <w:tcW w:w="1701" w:type="dxa"/>
          </w:tcPr>
          <w:p w14:paraId="66C4481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863</w:t>
            </w:r>
          </w:p>
        </w:tc>
        <w:tc>
          <w:tcPr>
            <w:tcW w:w="1134" w:type="dxa"/>
          </w:tcPr>
          <w:p w14:paraId="0CC15CB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–658</w:t>
            </w:r>
          </w:p>
        </w:tc>
        <w:tc>
          <w:tcPr>
            <w:tcW w:w="1417" w:type="dxa"/>
          </w:tcPr>
          <w:p w14:paraId="29435B9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16,860</w:t>
            </w:r>
          </w:p>
        </w:tc>
        <w:tc>
          <w:tcPr>
            <w:tcW w:w="1134" w:type="dxa"/>
          </w:tcPr>
          <w:p w14:paraId="12A2F96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0.2%</w:t>
            </w:r>
          </w:p>
        </w:tc>
      </w:tr>
    </w:tbl>
    <w:p w14:paraId="257342C7">
      <w:pPr>
        <w:rPr>
          <w:rFonts w:hint="default" w:ascii="Times New Roman Regular" w:hAnsi="Times New Roman Regular" w:cs="Times New Roman Regular"/>
        </w:rPr>
      </w:pPr>
    </w:p>
    <w:p w14:paraId="57D2E5D3">
      <w:pPr>
        <w:rPr>
          <w:rFonts w:hint="default" w:ascii="Times New Roman Regular" w:hAnsi="Times New Roman Regular" w:cs="Times New Roman Regular"/>
        </w:rPr>
      </w:pPr>
      <w:r>
        <w:rPr>
          <w:rFonts w:hint="default" w:ascii="Times New Roman Regular" w:hAnsi="Times New Roman Regular" w:cs="Times New Roman Regular"/>
        </w:rPr>
        <w:t>Observations:</w:t>
      </w:r>
    </w:p>
    <w:p w14:paraId="6F7855B3">
      <w:pPr>
        <w:pStyle w:val="23"/>
        <w:rPr>
          <w:rFonts w:hint="default" w:ascii="Times New Roman Regular" w:hAnsi="Times New Roman Regular" w:cs="Times New Roman Regular"/>
        </w:rPr>
      </w:pPr>
      <w:r>
        <w:rPr>
          <w:rFonts w:hint="default" w:ascii="Times New Roman Regular" w:hAnsi="Times New Roman Regular" w:cs="Times New Roman Regular"/>
          <w:b/>
        </w:rPr>
        <w:t>Monetary skew is extreme: Mean 21,993 vs. max 2.7B. This reflects the long-tail nature of B2B wholesale. XGBoost is robust to this</w:t>
      </w:r>
      <w:r>
        <w:rPr>
          <w:rFonts w:hint="default" w:ascii="Times New Roman Regular" w:hAnsi="Times New Roman Regular" w:cs="Times New Roman Regular"/>
          <w:b/>
          <w:vertAlign w:val="superscript"/>
        </w:rPr>
        <w:t xml:space="preserve"> [3]</w:t>
      </w:r>
      <w:r>
        <w:rPr>
          <w:rFonts w:hint="default" w:ascii="Times New Roman Regular" w:hAnsi="Times New Roman Regular" w:cs="Times New Roman Regular"/>
          <w:b/>
        </w:rPr>
        <w:t>, but the LLM should consider log-transforming monetary features.</w:t>
      </w:r>
    </w:p>
    <w:p w14:paraId="3B1D08FA">
      <w:pPr>
        <w:pStyle w:val="23"/>
        <w:rPr>
          <w:rFonts w:hint="default" w:ascii="Times New Roman Regular" w:hAnsi="Times New Roman Regular" w:cs="Times New Roman Regular"/>
        </w:rPr>
      </w:pPr>
      <w:r>
        <w:rPr>
          <w:rFonts w:hint="default" w:ascii="Times New Roman Regular" w:hAnsi="Times New Roman Regular" w:cs="Times New Roman Regular"/>
          <w:b/>
        </w:rPr>
        <w:t xml:space="preserve">pay_ratio outliers: </w:t>
      </w:r>
      <w:r>
        <w:rPr>
          <w:rFonts w:hint="default" w:ascii="Times New Roman Regular" w:hAnsi="Times New Roman Regular" w:cs="Times New Roman Regular"/>
        </w:rPr>
        <w:t>Max 64,350 implies pay_amt &gt; bill_amt by a large factor, likely overpayments or credit adjustments. The mean (0.51) aligns with the ~55% zero pay_amt rate identified during profiling.</w:t>
      </w:r>
    </w:p>
    <w:p w14:paraId="14FBC23C">
      <w:pPr>
        <w:pStyle w:val="23"/>
        <w:rPr>
          <w:rFonts w:hint="default" w:ascii="Times New Roman Regular" w:hAnsi="Times New Roman Regular" w:cs="Times New Roman Regular"/>
        </w:rPr>
      </w:pPr>
      <w:r>
        <w:rPr>
          <w:rFonts w:hint="default" w:ascii="Times New Roman Regular" w:hAnsi="Times New Roman Regular" w:cs="Times New Roman Regular"/>
          <w:b/>
        </w:rPr>
        <w:t xml:space="preserve">Negative customer_tenure (–658 days): </w:t>
      </w:r>
      <w:r>
        <w:rPr>
          <w:rFonts w:hint="default" w:ascii="Times New Roman Regular" w:hAnsi="Times New Roman Regular" w:cs="Times New Roman Regular"/>
        </w:rPr>
        <w:t>0.2% of records have company_create dates after the prediction point. Flagged in Step 2 as pre-2010 date anomalies; deferred to model-level handling.</w:t>
      </w:r>
    </w:p>
    <w:p w14:paraId="05A08522">
      <w:pPr>
        <w:rPr>
          <w:rFonts w:hint="default" w:ascii="Times New Roman Regular" w:hAnsi="Times New Roman Regular" w:cs="Times New Roman Regular"/>
        </w:rPr>
      </w:pPr>
      <w:r>
        <w:rPr>
          <w:rFonts w:hint="default" w:ascii="Times New Roman Regular" w:hAnsi="Times New Roman Regular" w:cs="Times New Roman Regular"/>
          <w:b/>
        </w:rPr>
        <w:t xml:space="preserve">Output: </w:t>
      </w:r>
      <w:r>
        <w:rPr>
          <w:rFonts w:hint="default" w:ascii="Times New Roman Regular" w:hAnsi="Times New Roman Regular" w:cs="Times New Roman Regular"/>
        </w:rPr>
        <w:t>feature_matrix.parquet — 6,340,667 rows × 29 columns (4 keys + 25 features), 199.7 MB.</w:t>
      </w:r>
    </w:p>
    <w:p w14:paraId="5606B2CD">
      <w:pPr>
        <w:pStyle w:val="3"/>
        <w:rPr>
          <w:rFonts w:hint="default" w:ascii="Times New Roman Regular" w:hAnsi="Times New Roman Regular" w:cs="Times New Roman Regular"/>
        </w:rPr>
      </w:pPr>
      <w:r>
        <w:rPr>
          <w:rFonts w:hint="default" w:ascii="Times New Roman" w:hAnsi="Times New Roman Regular" w:cs="Times New Roman Regular"/>
          <w:lang w:val="vi-VN"/>
        </w:rPr>
        <w:t>3</w:t>
      </w:r>
      <w:r>
        <w:rPr>
          <w:rFonts w:hint="default" w:ascii="Times New Roman Regular" w:hAnsi="Times New Roman Regular" w:cs="Times New Roman Regular"/>
        </w:rPr>
        <w:t>. Label Construction</w:t>
      </w:r>
    </w:p>
    <w:p w14:paraId="46202471">
      <w:pPr>
        <w:pStyle w:val="4"/>
        <w:rPr>
          <w:rFonts w:hint="default" w:ascii="Times New Roman Regular" w:hAnsi="Times New Roman Regular" w:cs="Times New Roman Regular"/>
        </w:rPr>
      </w:pPr>
      <w:r>
        <w:rPr>
          <w:rFonts w:hint="default" w:ascii="Times New Roman" w:hAnsi="Times New Roman Regular" w:cs="Times New Roman Regular"/>
          <w:lang w:val="vi-VN"/>
        </w:rPr>
        <w:t>3</w:t>
      </w:r>
      <w:r>
        <w:rPr>
          <w:rFonts w:hint="default" w:ascii="Times New Roman Regular" w:hAnsi="Times New Roman Regular" w:cs="Times New Roman Regular"/>
        </w:rPr>
        <w:t>.1 Two Labeling Schemes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2457"/>
        <w:gridCol w:w="2459"/>
        <w:gridCol w:w="2735"/>
      </w:tblGrid>
      <w:tr w14:paraId="11F49119">
        <w:trPr>
          <w:jc w:val="center"/>
        </w:trPr>
        <w:tc>
          <w:tcPr>
            <w:tcW w:w="1984" w:type="dxa"/>
            <w:shd w:val="clear" w:color="auto" w:fill="2F5496"/>
          </w:tcPr>
          <w:p w14:paraId="18B21469">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Scheme</w:t>
            </w:r>
          </w:p>
        </w:tc>
        <w:tc>
          <w:tcPr>
            <w:tcW w:w="2551" w:type="dxa"/>
            <w:shd w:val="clear" w:color="auto" w:fill="2F5496"/>
          </w:tcPr>
          <w:p w14:paraId="0EC89D1C">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Definition</w:t>
            </w:r>
          </w:p>
        </w:tc>
        <w:tc>
          <w:tcPr>
            <w:tcW w:w="2551" w:type="dxa"/>
            <w:shd w:val="clear" w:color="auto" w:fill="2F5496"/>
          </w:tcPr>
          <w:p w14:paraId="515AC928">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Threshold</w:t>
            </w:r>
          </w:p>
        </w:tc>
        <w:tc>
          <w:tcPr>
            <w:tcW w:w="2835" w:type="dxa"/>
            <w:shd w:val="clear" w:color="auto" w:fill="2F5496"/>
          </w:tcPr>
          <w:p w14:paraId="2739BCC8">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Purpose</w:t>
            </w:r>
          </w:p>
        </w:tc>
      </w:tr>
      <w:tr w14:paraId="1CB7BBBD">
        <w:trPr>
          <w:jc w:val="center"/>
        </w:trPr>
        <w:tc>
          <w:tcPr>
            <w:tcW w:w="1984" w:type="dxa"/>
          </w:tcPr>
          <w:p w14:paraId="0517AC8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L1 (Fixed)</w:t>
            </w:r>
          </w:p>
        </w:tc>
        <w:tc>
          <w:tcPr>
            <w:tcW w:w="2551" w:type="dxa"/>
          </w:tcPr>
          <w:p w14:paraId="6F7CE6D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Churned if no purchase in [pp, pp + 30 days)</w:t>
            </w:r>
          </w:p>
        </w:tc>
        <w:tc>
          <w:tcPr>
            <w:tcW w:w="2551" w:type="dxa"/>
          </w:tcPr>
          <w:p w14:paraId="21608B5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30 days for all customers</w:t>
            </w:r>
          </w:p>
        </w:tc>
        <w:tc>
          <w:tcPr>
            <w:tcW w:w="2835" w:type="dxa"/>
          </w:tcPr>
          <w:p w14:paraId="09B4E7D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Baseline — simple, interpretable, industry-standard</w:t>
            </w:r>
          </w:p>
        </w:tc>
      </w:tr>
      <w:tr w14:paraId="24B0DA5D">
        <w:trPr>
          <w:jc w:val="center"/>
        </w:trPr>
        <w:tc>
          <w:tcPr>
            <w:tcW w:w="1984" w:type="dxa"/>
            <w:shd w:val="clear" w:color="auto" w:fill="F2F2F2"/>
          </w:tcPr>
          <w:p w14:paraId="6BD82AA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L2 (Category-level dynamic)</w:t>
            </w:r>
          </w:p>
        </w:tc>
        <w:tc>
          <w:tcPr>
            <w:tcW w:w="2551" w:type="dxa"/>
            <w:shd w:val="clear" w:color="auto" w:fill="F2F2F2"/>
          </w:tcPr>
          <w:p w14:paraId="4219863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Churned if no purchase in [pp, pp + τ_c)</w:t>
            </w:r>
          </w:p>
        </w:tc>
        <w:tc>
          <w:tcPr>
            <w:tcW w:w="2551" w:type="dxa"/>
            <w:shd w:val="clear" w:color="auto" w:fill="F2F2F2"/>
          </w:tcPr>
          <w:p w14:paraId="343C325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P95 of pooled IPIs per industry category, capped at 90 days</w:t>
            </w:r>
          </w:p>
        </w:tc>
        <w:tc>
          <w:tcPr>
            <w:tcW w:w="2835" w:type="dxa"/>
            <w:shd w:val="clear" w:color="auto" w:fill="F2F2F2"/>
          </w:tcPr>
          <w:p w14:paraId="11E12B8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Adapts to industry-specific repurchase cycles</w:t>
            </w:r>
          </w:p>
        </w:tc>
      </w:tr>
    </w:tbl>
    <w:p w14:paraId="56285FB6">
      <w:pPr>
        <w:rPr>
          <w:rFonts w:hint="default" w:ascii="Times New Roman Regular" w:hAnsi="Times New Roman Regular" w:cs="Times New Roman Regular"/>
        </w:rPr>
      </w:pPr>
    </w:p>
    <w:p w14:paraId="332151FD">
      <w:pPr>
        <w:rPr>
          <w:rFonts w:hint="default" w:ascii="Times New Roman Regular" w:hAnsi="Times New Roman Regular" w:cs="Times New Roman Regular"/>
        </w:rPr>
      </w:pPr>
      <w:r>
        <w:rPr>
          <w:rFonts w:hint="default" w:ascii="Times New Roman Regular" w:hAnsi="Times New Roman Regular" w:cs="Times New Roman Regular"/>
        </w:rPr>
        <w:t>L2 thresholds are computed using only IPIs observed before each prediction point (no future leakage)</w:t>
      </w:r>
      <w:r>
        <w:rPr>
          <w:rFonts w:hint="default" w:ascii="Times New Roman Regular" w:hAnsi="Times New Roman Regular" w:cs="Times New Roman Regular"/>
          <w:vertAlign w:val="superscript"/>
        </w:rPr>
        <w:t xml:space="preserve"> [2]</w:t>
      </w:r>
      <w:r>
        <w:rPr>
          <w:rFonts w:hint="default" w:ascii="Times New Roman Regular" w:hAnsi="Times New Roman Regular" w:cs="Times New Roman Regular"/>
        </w:rPr>
        <w:t>. Categories with fewer than 100 pooled IPIs fall back to the global P95 threshold — in practice, all 13 categories had sufficient data (420K–1.15M IPIs), so no fallback was triggered.</w:t>
      </w:r>
    </w:p>
    <w:p w14:paraId="140B31A5">
      <w:pPr>
        <w:pStyle w:val="4"/>
        <w:rPr>
          <w:rFonts w:hint="default" w:ascii="Times New Roman Regular" w:hAnsi="Times New Roman Regular" w:cs="Times New Roman Regular"/>
        </w:rPr>
      </w:pPr>
      <w:r>
        <w:rPr>
          <w:rFonts w:hint="default" w:ascii="Times New Roman" w:hAnsi="Times New Roman Regular" w:cs="Times New Roman Regular"/>
          <w:lang w:val="vi-VN"/>
        </w:rPr>
        <w:t>3</w:t>
      </w:r>
      <w:r>
        <w:rPr>
          <w:rFonts w:hint="default" w:ascii="Times New Roman Regular" w:hAnsi="Times New Roman Regular" w:cs="Times New Roman Regular"/>
        </w:rPr>
        <w:t>.2 Churn Rates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2551"/>
        <w:gridCol w:w="2551"/>
      </w:tblGrid>
      <w:tr w14:paraId="637353D0">
        <w:trPr>
          <w:jc w:val="center"/>
        </w:trPr>
        <w:tc>
          <w:tcPr>
            <w:tcW w:w="3969" w:type="dxa"/>
            <w:shd w:val="clear" w:color="auto" w:fill="2F5496"/>
          </w:tcPr>
          <w:p w14:paraId="6B8427D9">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Metric</w:t>
            </w:r>
          </w:p>
        </w:tc>
        <w:tc>
          <w:tcPr>
            <w:tcW w:w="2551" w:type="dxa"/>
            <w:shd w:val="clear" w:color="auto" w:fill="2F5496"/>
          </w:tcPr>
          <w:p w14:paraId="33F8F444">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L1</w:t>
            </w:r>
          </w:p>
        </w:tc>
        <w:tc>
          <w:tcPr>
            <w:tcW w:w="2551" w:type="dxa"/>
            <w:shd w:val="clear" w:color="auto" w:fill="2F5496"/>
          </w:tcPr>
          <w:p w14:paraId="29A84420">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L2</w:t>
            </w:r>
          </w:p>
        </w:tc>
      </w:tr>
      <w:tr w14:paraId="25E3A54B">
        <w:trPr>
          <w:jc w:val="center"/>
        </w:trPr>
        <w:tc>
          <w:tcPr>
            <w:tcW w:w="3969" w:type="dxa"/>
          </w:tcPr>
          <w:p w14:paraId="6AA5FB6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Overall churn rate</w:t>
            </w:r>
          </w:p>
        </w:tc>
        <w:tc>
          <w:tcPr>
            <w:tcW w:w="2551" w:type="dxa"/>
          </w:tcPr>
          <w:p w14:paraId="0F0CF23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60.4%</w:t>
            </w:r>
          </w:p>
        </w:tc>
        <w:tc>
          <w:tcPr>
            <w:tcW w:w="2551" w:type="dxa"/>
          </w:tcPr>
          <w:p w14:paraId="709362C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48.6%</w:t>
            </w:r>
          </w:p>
        </w:tc>
      </w:tr>
      <w:tr w14:paraId="760AB576">
        <w:trPr>
          <w:jc w:val="center"/>
        </w:trPr>
        <w:tc>
          <w:tcPr>
            <w:tcW w:w="3969" w:type="dxa"/>
            <w:shd w:val="clear" w:color="auto" w:fill="F2F2F2"/>
          </w:tcPr>
          <w:p w14:paraId="55D5CDF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Churn rate range across batches</w:t>
            </w:r>
          </w:p>
        </w:tc>
        <w:tc>
          <w:tcPr>
            <w:tcW w:w="2551" w:type="dxa"/>
            <w:shd w:val="clear" w:color="auto" w:fill="F2F2F2"/>
          </w:tcPr>
          <w:p w14:paraId="329F0C3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57.6% – 69.7%</w:t>
            </w:r>
          </w:p>
        </w:tc>
        <w:tc>
          <w:tcPr>
            <w:tcW w:w="2551" w:type="dxa"/>
            <w:shd w:val="clear" w:color="auto" w:fill="F2F2F2"/>
          </w:tcPr>
          <w:p w14:paraId="4CC0A1E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43.6% – 58.0%</w:t>
            </w:r>
          </w:p>
        </w:tc>
      </w:tr>
      <w:tr w14:paraId="4BA4D616">
        <w:trPr>
          <w:jc w:val="center"/>
        </w:trPr>
        <w:tc>
          <w:tcPr>
            <w:tcW w:w="3969" w:type="dxa"/>
          </w:tcPr>
          <w:p w14:paraId="23BFD0E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L1–L2 agreement</w:t>
            </w:r>
          </w:p>
        </w:tc>
        <w:tc>
          <w:tcPr>
            <w:tcW w:w="2551" w:type="dxa"/>
          </w:tcPr>
          <w:p w14:paraId="43CD323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88.2%</w:t>
            </w:r>
          </w:p>
        </w:tc>
        <w:tc>
          <w:tcPr>
            <w:tcW w:w="2551" w:type="dxa"/>
          </w:tcPr>
          <w:p w14:paraId="34DC717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w:t>
            </w:r>
          </w:p>
        </w:tc>
      </w:tr>
    </w:tbl>
    <w:p w14:paraId="279A140C">
      <w:pPr>
        <w:rPr>
          <w:rFonts w:hint="default" w:ascii="Times New Roman Regular" w:hAnsi="Times New Roman Regular" w:cs="Times New Roman Regular"/>
        </w:rPr>
      </w:pPr>
    </w:p>
    <w:p w14:paraId="7D86CC02">
      <w:pPr>
        <w:rPr>
          <w:rFonts w:hint="default" w:ascii="Times New Roman Regular" w:hAnsi="Times New Roman Regular" w:cs="Times New Roman Regular"/>
        </w:rPr>
      </w:pPr>
      <w:r>
        <w:rPr>
          <w:rFonts w:hint="default" w:ascii="Times New Roman Regular" w:hAnsi="Times New Roman Regular" w:cs="Times New Roman Regular"/>
        </w:rPr>
        <w:t>The L1 scheme labels ~12 percentage points more customers as churned than L2, which is expected: L2’s longer thresholds (up to 90 days vs. L1’s fixed 30 days) give customers more time to return before being labeled as churned.</w:t>
      </w:r>
    </w:p>
    <w:p w14:paraId="34DBFE86">
      <w:pPr>
        <w:rPr>
          <w:rFonts w:hint="default" w:ascii="Times New Roman Regular" w:hAnsi="Times New Roman Regular" w:cs="Times New Roman Regular"/>
        </w:rPr>
      </w:pPr>
      <w:r>
        <w:rPr>
          <w:rFonts w:hint="default" w:ascii="Times New Roman Regular" w:hAnsi="Times New Roman Regular" w:cs="Times New Roman Regular"/>
          <w:b/>
        </w:rPr>
        <w:t xml:space="preserve">The 2026-02-01 anomaly: L1 churn spiked to 69.7% while L2 remained stable at 46.7%, dropping agreement to 76.9%. This batch’s observation window (Nov 3 – Feb 1) captures the Chinese New Year period, when many SME customers pause purchasing. L1’s fixed 30-day window is too short to accommodate this seasonal gap, while L2’s category-level thresholds (many at 60–90 days) absorb it. This is precisely the type of seasonal misclassification that motivates the L2 scheme </w:t>
      </w:r>
      <w:r>
        <w:rPr>
          <w:rFonts w:hint="default" w:ascii="Times New Roman Regular" w:hAnsi="Times New Roman Regular" w:cs="Times New Roman Regular"/>
          <w:b/>
          <w:vertAlign w:val="superscript"/>
        </w:rPr>
        <w:t>[2]</w:t>
      </w:r>
      <w:r>
        <w:rPr>
          <w:rFonts w:hint="default" w:ascii="Times New Roman Regular" w:hAnsi="Times New Roman Regular" w:cs="Times New Roman Regular"/>
          <w:b/>
        </w:rPr>
        <w:t>.</w:t>
      </w:r>
    </w:p>
    <w:p w14:paraId="13B6FC37">
      <w:pPr>
        <w:pStyle w:val="4"/>
        <w:rPr>
          <w:rFonts w:hint="default" w:ascii="Times New Roman Regular" w:hAnsi="Times New Roman Regular" w:cs="Times New Roman Regular"/>
        </w:rPr>
      </w:pPr>
      <w:r>
        <w:rPr>
          <w:rFonts w:hint="default" w:ascii="Times New Roman" w:hAnsi="Times New Roman Regular" w:cs="Times New Roman Regular"/>
          <w:lang w:val="vi-VN"/>
        </w:rPr>
        <w:t>3</w:t>
      </w:r>
      <w:r>
        <w:rPr>
          <w:rFonts w:hint="default" w:ascii="Times New Roman Regular" w:hAnsi="Times New Roman Regular" w:cs="Times New Roman Regular"/>
        </w:rPr>
        <w:t>.3 L2 Category Thresholds (Latest Batch: 2026-03-01)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701"/>
        <w:gridCol w:w="3402"/>
      </w:tblGrid>
      <w:tr w14:paraId="14F0C5AE">
        <w:trPr>
          <w:jc w:val="center"/>
        </w:trPr>
        <w:tc>
          <w:tcPr>
            <w:tcW w:w="3402" w:type="dxa"/>
            <w:shd w:val="clear" w:color="auto" w:fill="2F5496"/>
          </w:tcPr>
          <w:p w14:paraId="24200079">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Category</w:t>
            </w:r>
          </w:p>
        </w:tc>
        <w:tc>
          <w:tcPr>
            <w:tcW w:w="1701" w:type="dxa"/>
            <w:shd w:val="clear" w:color="auto" w:fill="2F5496"/>
          </w:tcPr>
          <w:p w14:paraId="14AA9824">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Threshold</w:t>
            </w:r>
          </w:p>
        </w:tc>
        <w:tc>
          <w:tcPr>
            <w:tcW w:w="3402" w:type="dxa"/>
            <w:shd w:val="clear" w:color="auto" w:fill="2F5496"/>
          </w:tcPr>
          <w:p w14:paraId="398D7A91">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Capped?</w:t>
            </w:r>
          </w:p>
        </w:tc>
      </w:tr>
      <w:tr w14:paraId="0E63CB67">
        <w:trPr>
          <w:jc w:val="center"/>
        </w:trPr>
        <w:tc>
          <w:tcPr>
            <w:tcW w:w="3402" w:type="dxa"/>
          </w:tcPr>
          <w:p w14:paraId="2F810D2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医药器械 (Medical)</w:t>
            </w:r>
          </w:p>
        </w:tc>
        <w:tc>
          <w:tcPr>
            <w:tcW w:w="1701" w:type="dxa"/>
          </w:tcPr>
          <w:p w14:paraId="11518F7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 days</w:t>
            </w:r>
          </w:p>
        </w:tc>
        <w:tc>
          <w:tcPr>
            <w:tcW w:w="3402" w:type="dxa"/>
          </w:tcPr>
          <w:p w14:paraId="5EBC704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Yes (raw: 117 days)</w:t>
            </w:r>
          </w:p>
        </w:tc>
      </w:tr>
      <w:tr w14:paraId="5D0C0A0F">
        <w:trPr>
          <w:jc w:val="center"/>
        </w:trPr>
        <w:tc>
          <w:tcPr>
            <w:tcW w:w="3402" w:type="dxa"/>
            <w:shd w:val="clear" w:color="auto" w:fill="F2F2F2"/>
          </w:tcPr>
          <w:p w14:paraId="3DA5608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安防电子 (Security/Electronics)</w:t>
            </w:r>
          </w:p>
        </w:tc>
        <w:tc>
          <w:tcPr>
            <w:tcW w:w="1701" w:type="dxa"/>
            <w:shd w:val="clear" w:color="auto" w:fill="F2F2F2"/>
          </w:tcPr>
          <w:p w14:paraId="73C43EA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 days</w:t>
            </w:r>
          </w:p>
        </w:tc>
        <w:tc>
          <w:tcPr>
            <w:tcW w:w="3402" w:type="dxa"/>
            <w:shd w:val="clear" w:color="auto" w:fill="F2F2F2"/>
          </w:tcPr>
          <w:p w14:paraId="1A8D6C1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Yes (raw: 97 days)</w:t>
            </w:r>
          </w:p>
        </w:tc>
      </w:tr>
      <w:tr w14:paraId="666DA6E9">
        <w:trPr>
          <w:jc w:val="center"/>
        </w:trPr>
        <w:tc>
          <w:tcPr>
            <w:tcW w:w="3402" w:type="dxa"/>
          </w:tcPr>
          <w:p w14:paraId="56459A0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数码电器 (Digital/Appliances)</w:t>
            </w:r>
          </w:p>
        </w:tc>
        <w:tc>
          <w:tcPr>
            <w:tcW w:w="1701" w:type="dxa"/>
          </w:tcPr>
          <w:p w14:paraId="2A7C5BA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 days</w:t>
            </w:r>
          </w:p>
        </w:tc>
        <w:tc>
          <w:tcPr>
            <w:tcW w:w="3402" w:type="dxa"/>
          </w:tcPr>
          <w:p w14:paraId="5788416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Yes (raw: 103 days)</w:t>
            </w:r>
          </w:p>
        </w:tc>
      </w:tr>
      <w:tr w14:paraId="2451F22D">
        <w:trPr>
          <w:jc w:val="center"/>
        </w:trPr>
        <w:tc>
          <w:tcPr>
            <w:tcW w:w="3402" w:type="dxa"/>
            <w:shd w:val="clear" w:color="auto" w:fill="F2F2F2"/>
          </w:tcPr>
          <w:p w14:paraId="4AB79A1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美容配饰 (Beauty)</w:t>
            </w:r>
          </w:p>
        </w:tc>
        <w:tc>
          <w:tcPr>
            <w:tcW w:w="1701" w:type="dxa"/>
            <w:shd w:val="clear" w:color="auto" w:fill="F2F2F2"/>
          </w:tcPr>
          <w:p w14:paraId="2294750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 days</w:t>
            </w:r>
          </w:p>
        </w:tc>
        <w:tc>
          <w:tcPr>
            <w:tcW w:w="3402" w:type="dxa"/>
            <w:shd w:val="clear" w:color="auto" w:fill="F2F2F2"/>
          </w:tcPr>
          <w:p w14:paraId="2C47600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Yes (raw: 116 days)</w:t>
            </w:r>
          </w:p>
        </w:tc>
      </w:tr>
      <w:tr w14:paraId="108F0D1F">
        <w:trPr>
          <w:jc w:val="center"/>
        </w:trPr>
        <w:tc>
          <w:tcPr>
            <w:tcW w:w="3402" w:type="dxa"/>
          </w:tcPr>
          <w:p w14:paraId="30FB018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精细化工 (Fine Chemical)</w:t>
            </w:r>
          </w:p>
        </w:tc>
        <w:tc>
          <w:tcPr>
            <w:tcW w:w="1701" w:type="dxa"/>
          </w:tcPr>
          <w:p w14:paraId="5DC10C1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88 days</w:t>
            </w:r>
          </w:p>
        </w:tc>
        <w:tc>
          <w:tcPr>
            <w:tcW w:w="3402" w:type="dxa"/>
          </w:tcPr>
          <w:p w14:paraId="454D1FF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w:t>
            </w:r>
          </w:p>
        </w:tc>
      </w:tr>
      <w:tr w14:paraId="14DF37DF">
        <w:trPr>
          <w:jc w:val="center"/>
        </w:trPr>
        <w:tc>
          <w:tcPr>
            <w:tcW w:w="3402" w:type="dxa"/>
            <w:shd w:val="clear" w:color="auto" w:fill="F2F2F2"/>
          </w:tcPr>
          <w:p w14:paraId="4400B83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家居装饰 (Home Decor)</w:t>
            </w:r>
          </w:p>
        </w:tc>
        <w:tc>
          <w:tcPr>
            <w:tcW w:w="1701" w:type="dxa"/>
            <w:shd w:val="clear" w:color="auto" w:fill="F2F2F2"/>
          </w:tcPr>
          <w:p w14:paraId="7DEB4B5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87 days</w:t>
            </w:r>
          </w:p>
        </w:tc>
        <w:tc>
          <w:tcPr>
            <w:tcW w:w="3402" w:type="dxa"/>
            <w:shd w:val="clear" w:color="auto" w:fill="F2F2F2"/>
          </w:tcPr>
          <w:p w14:paraId="192A3E5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w:t>
            </w:r>
          </w:p>
        </w:tc>
      </w:tr>
      <w:tr w14:paraId="4E3CFA39">
        <w:trPr>
          <w:jc w:val="center"/>
        </w:trPr>
        <w:tc>
          <w:tcPr>
            <w:tcW w:w="3402" w:type="dxa"/>
          </w:tcPr>
          <w:p w14:paraId="571B99E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工业材料 (Industrial)</w:t>
            </w:r>
          </w:p>
        </w:tc>
        <w:tc>
          <w:tcPr>
            <w:tcW w:w="1701" w:type="dxa"/>
          </w:tcPr>
          <w:p w14:paraId="62A0C03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87 days</w:t>
            </w:r>
          </w:p>
        </w:tc>
        <w:tc>
          <w:tcPr>
            <w:tcW w:w="3402" w:type="dxa"/>
          </w:tcPr>
          <w:p w14:paraId="00573EF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w:t>
            </w:r>
          </w:p>
        </w:tc>
      </w:tr>
      <w:tr w14:paraId="4E11FD29">
        <w:trPr>
          <w:jc w:val="center"/>
        </w:trPr>
        <w:tc>
          <w:tcPr>
            <w:tcW w:w="3402" w:type="dxa"/>
            <w:shd w:val="clear" w:color="auto" w:fill="F2F2F2"/>
          </w:tcPr>
          <w:p w14:paraId="0214D6D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母婴用品 (Mother &amp; Baby)</w:t>
            </w:r>
          </w:p>
        </w:tc>
        <w:tc>
          <w:tcPr>
            <w:tcW w:w="1701" w:type="dxa"/>
            <w:shd w:val="clear" w:color="auto" w:fill="F2F2F2"/>
          </w:tcPr>
          <w:p w14:paraId="0880AA9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86 days</w:t>
            </w:r>
          </w:p>
        </w:tc>
        <w:tc>
          <w:tcPr>
            <w:tcW w:w="3402" w:type="dxa"/>
            <w:shd w:val="clear" w:color="auto" w:fill="F2F2F2"/>
          </w:tcPr>
          <w:p w14:paraId="2CECEDA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w:t>
            </w:r>
          </w:p>
        </w:tc>
      </w:tr>
      <w:tr w14:paraId="5E080D7E">
        <w:trPr>
          <w:jc w:val="center"/>
        </w:trPr>
        <w:tc>
          <w:tcPr>
            <w:tcW w:w="3402" w:type="dxa"/>
          </w:tcPr>
          <w:p w14:paraId="505A86D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文体用品 (Sports/Office)</w:t>
            </w:r>
          </w:p>
        </w:tc>
        <w:tc>
          <w:tcPr>
            <w:tcW w:w="1701" w:type="dxa"/>
          </w:tcPr>
          <w:p w14:paraId="1C0883E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83 days</w:t>
            </w:r>
          </w:p>
        </w:tc>
        <w:tc>
          <w:tcPr>
            <w:tcW w:w="3402" w:type="dxa"/>
          </w:tcPr>
          <w:p w14:paraId="610F19E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w:t>
            </w:r>
          </w:p>
        </w:tc>
      </w:tr>
      <w:tr w14:paraId="695EC6A9">
        <w:trPr>
          <w:jc w:val="center"/>
        </w:trPr>
        <w:tc>
          <w:tcPr>
            <w:tcW w:w="3402" w:type="dxa"/>
            <w:shd w:val="clear" w:color="auto" w:fill="F2F2F2"/>
          </w:tcPr>
          <w:p w14:paraId="3C9EBB6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商超 (Supermarket)</w:t>
            </w:r>
          </w:p>
        </w:tc>
        <w:tc>
          <w:tcPr>
            <w:tcW w:w="1701" w:type="dxa"/>
            <w:shd w:val="clear" w:color="auto" w:fill="F2F2F2"/>
          </w:tcPr>
          <w:p w14:paraId="071D8A2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69 days</w:t>
            </w:r>
          </w:p>
        </w:tc>
        <w:tc>
          <w:tcPr>
            <w:tcW w:w="3402" w:type="dxa"/>
            <w:shd w:val="clear" w:color="auto" w:fill="F2F2F2"/>
          </w:tcPr>
          <w:p w14:paraId="3B7C262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w:t>
            </w:r>
          </w:p>
        </w:tc>
      </w:tr>
      <w:tr w14:paraId="346307FB">
        <w:trPr>
          <w:jc w:val="center"/>
        </w:trPr>
        <w:tc>
          <w:tcPr>
            <w:tcW w:w="3402" w:type="dxa"/>
          </w:tcPr>
          <w:p w14:paraId="69C3B49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服装鞋帽 (Apparel)</w:t>
            </w:r>
          </w:p>
        </w:tc>
        <w:tc>
          <w:tcPr>
            <w:tcW w:w="1701" w:type="dxa"/>
          </w:tcPr>
          <w:p w14:paraId="4D2EC6D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62 days</w:t>
            </w:r>
          </w:p>
        </w:tc>
        <w:tc>
          <w:tcPr>
            <w:tcW w:w="3402" w:type="dxa"/>
          </w:tcPr>
          <w:p w14:paraId="3942238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w:t>
            </w:r>
          </w:p>
        </w:tc>
      </w:tr>
      <w:tr w14:paraId="21C8FCC3">
        <w:trPr>
          <w:jc w:val="center"/>
        </w:trPr>
        <w:tc>
          <w:tcPr>
            <w:tcW w:w="3402" w:type="dxa"/>
            <w:shd w:val="clear" w:color="auto" w:fill="F2F2F2"/>
          </w:tcPr>
          <w:p w14:paraId="5EA4F03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包装印刷 (Packaging)</w:t>
            </w:r>
          </w:p>
        </w:tc>
        <w:tc>
          <w:tcPr>
            <w:tcW w:w="1701" w:type="dxa"/>
            <w:shd w:val="clear" w:color="auto" w:fill="F2F2F2"/>
          </w:tcPr>
          <w:p w14:paraId="07AD02C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57 days</w:t>
            </w:r>
          </w:p>
        </w:tc>
        <w:tc>
          <w:tcPr>
            <w:tcW w:w="3402" w:type="dxa"/>
            <w:shd w:val="clear" w:color="auto" w:fill="F2F2F2"/>
          </w:tcPr>
          <w:p w14:paraId="37D8BAF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w:t>
            </w:r>
          </w:p>
        </w:tc>
      </w:tr>
      <w:tr w14:paraId="30F0E4EB">
        <w:trPr>
          <w:jc w:val="center"/>
        </w:trPr>
        <w:tc>
          <w:tcPr>
            <w:tcW w:w="3402" w:type="dxa"/>
          </w:tcPr>
          <w:p w14:paraId="3FB9975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食品饮料 (Food &amp; Beverage)</w:t>
            </w:r>
          </w:p>
        </w:tc>
        <w:tc>
          <w:tcPr>
            <w:tcW w:w="1701" w:type="dxa"/>
          </w:tcPr>
          <w:p w14:paraId="386BD71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57 days</w:t>
            </w:r>
          </w:p>
        </w:tc>
        <w:tc>
          <w:tcPr>
            <w:tcW w:w="3402" w:type="dxa"/>
          </w:tcPr>
          <w:p w14:paraId="10FC7A1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w:t>
            </w:r>
          </w:p>
        </w:tc>
      </w:tr>
    </w:tbl>
    <w:p w14:paraId="25890887">
      <w:pPr>
        <w:rPr>
          <w:rFonts w:hint="default" w:ascii="Times New Roman Regular" w:hAnsi="Times New Roman Regular" w:cs="Times New Roman Regular"/>
        </w:rPr>
      </w:pPr>
    </w:p>
    <w:p w14:paraId="7E5EDCC9">
      <w:pPr>
        <w:rPr>
          <w:rFonts w:hint="default" w:ascii="Times New Roman Regular" w:hAnsi="Times New Roman Regular" w:cs="Times New Roman Regular"/>
        </w:rPr>
      </w:pPr>
      <w:r>
        <w:rPr>
          <w:rFonts w:hint="default" w:ascii="Times New Roman Regular" w:hAnsi="Times New Roman Regular" w:cs="Times New Roman Regular"/>
        </w:rPr>
        <w:t>The thresholds form two natural clusters: high-consideration categories (Medical, Electronics, Beauty — 86–90 days) and high-frequency categories (Apparel, Packaging, Food — 57–69 days). This aligns with the industry IPI structure identified during profiling on July 12.</w:t>
      </w:r>
    </w:p>
    <w:p w14:paraId="596CE90E">
      <w:pPr>
        <w:pStyle w:val="4"/>
        <w:rPr>
          <w:rFonts w:hint="default" w:ascii="Times New Roman Regular" w:hAnsi="Times New Roman Regular" w:cs="Times New Roman Regular"/>
        </w:rPr>
      </w:pPr>
      <w:r>
        <w:rPr>
          <w:rFonts w:hint="default" w:ascii="Times New Roman" w:hAnsi="Times New Roman Regular" w:cs="Times New Roman Regular"/>
          <w:lang w:val="vi-VN"/>
        </w:rPr>
        <w:t>3</w:t>
      </w:r>
      <w:r>
        <w:rPr>
          <w:rFonts w:hint="default" w:ascii="Times New Roman Regular" w:hAnsi="Times New Roman Regular" w:cs="Times New Roman Regular"/>
        </w:rPr>
        <w:t>.4 L2 Threshold Stability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417"/>
        <w:gridCol w:w="1417"/>
        <w:gridCol w:w="1417"/>
        <w:gridCol w:w="1417"/>
      </w:tblGrid>
      <w:tr w14:paraId="646DD995">
        <w:trPr>
          <w:jc w:val="center"/>
        </w:trPr>
        <w:tc>
          <w:tcPr>
            <w:tcW w:w="2835" w:type="dxa"/>
            <w:shd w:val="clear" w:color="auto" w:fill="2F5496"/>
          </w:tcPr>
          <w:p w14:paraId="7F8775D3">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Category</w:t>
            </w:r>
          </w:p>
        </w:tc>
        <w:tc>
          <w:tcPr>
            <w:tcW w:w="1417" w:type="dxa"/>
            <w:shd w:val="clear" w:color="auto" w:fill="2F5496"/>
          </w:tcPr>
          <w:p w14:paraId="1DC27EB2">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Min tau</w:t>
            </w:r>
          </w:p>
        </w:tc>
        <w:tc>
          <w:tcPr>
            <w:tcW w:w="1417" w:type="dxa"/>
            <w:shd w:val="clear" w:color="auto" w:fill="2F5496"/>
          </w:tcPr>
          <w:p w14:paraId="2ECD0EDA">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Max tau</w:t>
            </w:r>
          </w:p>
        </w:tc>
        <w:tc>
          <w:tcPr>
            <w:tcW w:w="1417" w:type="dxa"/>
            <w:shd w:val="clear" w:color="auto" w:fill="2F5496"/>
          </w:tcPr>
          <w:p w14:paraId="6689AF86">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Range</w:t>
            </w:r>
          </w:p>
        </w:tc>
        <w:tc>
          <w:tcPr>
            <w:tcW w:w="1417" w:type="dxa"/>
            <w:shd w:val="clear" w:color="auto" w:fill="2F5496"/>
          </w:tcPr>
          <w:p w14:paraId="7A5A4739">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CV</w:t>
            </w:r>
          </w:p>
        </w:tc>
      </w:tr>
      <w:tr w14:paraId="1212343D">
        <w:trPr>
          <w:jc w:val="center"/>
        </w:trPr>
        <w:tc>
          <w:tcPr>
            <w:tcW w:w="2835" w:type="dxa"/>
          </w:tcPr>
          <w:p w14:paraId="4E8C7B8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食品饮料 (Food &amp; Bev)</w:t>
            </w:r>
          </w:p>
        </w:tc>
        <w:tc>
          <w:tcPr>
            <w:tcW w:w="1417" w:type="dxa"/>
          </w:tcPr>
          <w:p w14:paraId="1DC39D0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29 days</w:t>
            </w:r>
          </w:p>
        </w:tc>
        <w:tc>
          <w:tcPr>
            <w:tcW w:w="1417" w:type="dxa"/>
          </w:tcPr>
          <w:p w14:paraId="6865500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57 days</w:t>
            </w:r>
          </w:p>
        </w:tc>
        <w:tc>
          <w:tcPr>
            <w:tcW w:w="1417" w:type="dxa"/>
          </w:tcPr>
          <w:p w14:paraId="500D264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28 days</w:t>
            </w:r>
          </w:p>
        </w:tc>
        <w:tc>
          <w:tcPr>
            <w:tcW w:w="1417" w:type="dxa"/>
          </w:tcPr>
          <w:p w14:paraId="7DC54CB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18.4%</w:t>
            </w:r>
          </w:p>
        </w:tc>
      </w:tr>
      <w:tr w14:paraId="202FC006">
        <w:trPr>
          <w:jc w:val="center"/>
        </w:trPr>
        <w:tc>
          <w:tcPr>
            <w:tcW w:w="2835" w:type="dxa"/>
            <w:shd w:val="clear" w:color="auto" w:fill="F2F2F2"/>
          </w:tcPr>
          <w:p w14:paraId="7B7505F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包装印刷 (Packaging)</w:t>
            </w:r>
          </w:p>
        </w:tc>
        <w:tc>
          <w:tcPr>
            <w:tcW w:w="1417" w:type="dxa"/>
            <w:shd w:val="clear" w:color="auto" w:fill="F2F2F2"/>
          </w:tcPr>
          <w:p w14:paraId="4EBB17C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27 days</w:t>
            </w:r>
          </w:p>
        </w:tc>
        <w:tc>
          <w:tcPr>
            <w:tcW w:w="1417" w:type="dxa"/>
            <w:shd w:val="clear" w:color="auto" w:fill="F2F2F2"/>
          </w:tcPr>
          <w:p w14:paraId="11B2C19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57 days</w:t>
            </w:r>
          </w:p>
        </w:tc>
        <w:tc>
          <w:tcPr>
            <w:tcW w:w="1417" w:type="dxa"/>
            <w:shd w:val="clear" w:color="auto" w:fill="F2F2F2"/>
          </w:tcPr>
          <w:p w14:paraId="54C07B8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30 days</w:t>
            </w:r>
          </w:p>
        </w:tc>
        <w:tc>
          <w:tcPr>
            <w:tcW w:w="1417" w:type="dxa"/>
            <w:shd w:val="clear" w:color="auto" w:fill="F2F2F2"/>
          </w:tcPr>
          <w:p w14:paraId="7F24518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19.0%</w:t>
            </w:r>
          </w:p>
        </w:tc>
      </w:tr>
      <w:tr w14:paraId="6FA7E690">
        <w:trPr>
          <w:jc w:val="center"/>
        </w:trPr>
        <w:tc>
          <w:tcPr>
            <w:tcW w:w="2835" w:type="dxa"/>
          </w:tcPr>
          <w:p w14:paraId="5EC2E83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美容配饰 (Beauty)</w:t>
            </w:r>
          </w:p>
        </w:tc>
        <w:tc>
          <w:tcPr>
            <w:tcW w:w="1417" w:type="dxa"/>
          </w:tcPr>
          <w:p w14:paraId="23059CC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40 days</w:t>
            </w:r>
          </w:p>
        </w:tc>
        <w:tc>
          <w:tcPr>
            <w:tcW w:w="1417" w:type="dxa"/>
          </w:tcPr>
          <w:p w14:paraId="05B6484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 days</w:t>
            </w:r>
          </w:p>
        </w:tc>
        <w:tc>
          <w:tcPr>
            <w:tcW w:w="1417" w:type="dxa"/>
          </w:tcPr>
          <w:p w14:paraId="0C176EA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50 days</w:t>
            </w:r>
          </w:p>
        </w:tc>
        <w:tc>
          <w:tcPr>
            <w:tcW w:w="1417" w:type="dxa"/>
          </w:tcPr>
          <w:p w14:paraId="7A2B1B0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19.9%</w:t>
            </w:r>
          </w:p>
        </w:tc>
      </w:tr>
      <w:tr w14:paraId="4B9C8EC0">
        <w:trPr>
          <w:jc w:val="center"/>
        </w:trPr>
        <w:tc>
          <w:tcPr>
            <w:tcW w:w="2835" w:type="dxa"/>
            <w:shd w:val="clear" w:color="auto" w:fill="F2F2F2"/>
          </w:tcPr>
          <w:p w14:paraId="69B14E9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商超 (Supermarket)</w:t>
            </w:r>
          </w:p>
        </w:tc>
        <w:tc>
          <w:tcPr>
            <w:tcW w:w="1417" w:type="dxa"/>
            <w:shd w:val="clear" w:color="auto" w:fill="F2F2F2"/>
          </w:tcPr>
          <w:p w14:paraId="0B05B5B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30 days</w:t>
            </w:r>
          </w:p>
        </w:tc>
        <w:tc>
          <w:tcPr>
            <w:tcW w:w="1417" w:type="dxa"/>
            <w:shd w:val="clear" w:color="auto" w:fill="F2F2F2"/>
          </w:tcPr>
          <w:p w14:paraId="481A4B6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69 days</w:t>
            </w:r>
          </w:p>
        </w:tc>
        <w:tc>
          <w:tcPr>
            <w:tcW w:w="1417" w:type="dxa"/>
            <w:shd w:val="clear" w:color="auto" w:fill="F2F2F2"/>
          </w:tcPr>
          <w:p w14:paraId="095C232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39 days</w:t>
            </w:r>
          </w:p>
        </w:tc>
        <w:tc>
          <w:tcPr>
            <w:tcW w:w="1417" w:type="dxa"/>
            <w:shd w:val="clear" w:color="auto" w:fill="F2F2F2"/>
          </w:tcPr>
          <w:p w14:paraId="4351E0F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21.1%</w:t>
            </w:r>
          </w:p>
        </w:tc>
      </w:tr>
      <w:tr w14:paraId="30464EC4">
        <w:trPr>
          <w:jc w:val="center"/>
        </w:trPr>
        <w:tc>
          <w:tcPr>
            <w:tcW w:w="2835" w:type="dxa"/>
          </w:tcPr>
          <w:p w14:paraId="63E2131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母婴用品 (Mother &amp; Baby)</w:t>
            </w:r>
          </w:p>
        </w:tc>
        <w:tc>
          <w:tcPr>
            <w:tcW w:w="1417" w:type="dxa"/>
          </w:tcPr>
          <w:p w14:paraId="6599FC4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34 days</w:t>
            </w:r>
          </w:p>
        </w:tc>
        <w:tc>
          <w:tcPr>
            <w:tcW w:w="1417" w:type="dxa"/>
          </w:tcPr>
          <w:p w14:paraId="52B702D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86 days</w:t>
            </w:r>
          </w:p>
        </w:tc>
        <w:tc>
          <w:tcPr>
            <w:tcW w:w="1417" w:type="dxa"/>
          </w:tcPr>
          <w:p w14:paraId="3F11207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52 days</w:t>
            </w:r>
          </w:p>
        </w:tc>
        <w:tc>
          <w:tcPr>
            <w:tcW w:w="1417" w:type="dxa"/>
          </w:tcPr>
          <w:p w14:paraId="3DF47DF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22.6%</w:t>
            </w:r>
          </w:p>
        </w:tc>
      </w:tr>
      <w:tr w14:paraId="2B16D26B">
        <w:trPr>
          <w:jc w:val="center"/>
        </w:trPr>
        <w:tc>
          <w:tcPr>
            <w:tcW w:w="2835" w:type="dxa"/>
            <w:shd w:val="clear" w:color="auto" w:fill="F2F2F2"/>
          </w:tcPr>
          <w:p w14:paraId="0D7D048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文体用品 (Sports/Office)</w:t>
            </w:r>
          </w:p>
        </w:tc>
        <w:tc>
          <w:tcPr>
            <w:tcW w:w="1417" w:type="dxa"/>
            <w:shd w:val="clear" w:color="auto" w:fill="F2F2F2"/>
          </w:tcPr>
          <w:p w14:paraId="21ADC0C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34 days</w:t>
            </w:r>
          </w:p>
        </w:tc>
        <w:tc>
          <w:tcPr>
            <w:tcW w:w="1417" w:type="dxa"/>
            <w:shd w:val="clear" w:color="auto" w:fill="F2F2F2"/>
          </w:tcPr>
          <w:p w14:paraId="31838C4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83 days</w:t>
            </w:r>
          </w:p>
        </w:tc>
        <w:tc>
          <w:tcPr>
            <w:tcW w:w="1417" w:type="dxa"/>
            <w:shd w:val="clear" w:color="auto" w:fill="F2F2F2"/>
          </w:tcPr>
          <w:p w14:paraId="0CA656D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49 days</w:t>
            </w:r>
          </w:p>
        </w:tc>
        <w:tc>
          <w:tcPr>
            <w:tcW w:w="1417" w:type="dxa"/>
            <w:shd w:val="clear" w:color="auto" w:fill="F2F2F2"/>
          </w:tcPr>
          <w:p w14:paraId="282320E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22.0%</w:t>
            </w:r>
          </w:p>
        </w:tc>
      </w:tr>
      <w:tr w14:paraId="78E71845">
        <w:trPr>
          <w:jc w:val="center"/>
        </w:trPr>
        <w:tc>
          <w:tcPr>
            <w:tcW w:w="2835" w:type="dxa"/>
          </w:tcPr>
          <w:p w14:paraId="43877F1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服装鞋帽 (Apparel)</w:t>
            </w:r>
          </w:p>
        </w:tc>
        <w:tc>
          <w:tcPr>
            <w:tcW w:w="1417" w:type="dxa"/>
          </w:tcPr>
          <w:p w14:paraId="11E3B69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24 days</w:t>
            </w:r>
          </w:p>
        </w:tc>
        <w:tc>
          <w:tcPr>
            <w:tcW w:w="1417" w:type="dxa"/>
          </w:tcPr>
          <w:p w14:paraId="39FF803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62 days</w:t>
            </w:r>
          </w:p>
        </w:tc>
        <w:tc>
          <w:tcPr>
            <w:tcW w:w="1417" w:type="dxa"/>
          </w:tcPr>
          <w:p w14:paraId="184ACB8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38 days</w:t>
            </w:r>
          </w:p>
        </w:tc>
        <w:tc>
          <w:tcPr>
            <w:tcW w:w="1417" w:type="dxa"/>
          </w:tcPr>
          <w:p w14:paraId="7A7B4D7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23.3%</w:t>
            </w:r>
          </w:p>
        </w:tc>
      </w:tr>
      <w:tr w14:paraId="701E7ACE">
        <w:trPr>
          <w:jc w:val="center"/>
        </w:trPr>
        <w:tc>
          <w:tcPr>
            <w:tcW w:w="2835" w:type="dxa"/>
            <w:shd w:val="clear" w:color="auto" w:fill="F2F2F2"/>
          </w:tcPr>
          <w:p w14:paraId="2B724EF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精细化工 (Fine Chemical)</w:t>
            </w:r>
          </w:p>
        </w:tc>
        <w:tc>
          <w:tcPr>
            <w:tcW w:w="1417" w:type="dxa"/>
            <w:shd w:val="clear" w:color="auto" w:fill="F2F2F2"/>
          </w:tcPr>
          <w:p w14:paraId="77249E6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35 days</w:t>
            </w:r>
          </w:p>
        </w:tc>
        <w:tc>
          <w:tcPr>
            <w:tcW w:w="1417" w:type="dxa"/>
            <w:shd w:val="clear" w:color="auto" w:fill="F2F2F2"/>
          </w:tcPr>
          <w:p w14:paraId="12F568F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88 days</w:t>
            </w:r>
          </w:p>
        </w:tc>
        <w:tc>
          <w:tcPr>
            <w:tcW w:w="1417" w:type="dxa"/>
            <w:shd w:val="clear" w:color="auto" w:fill="F2F2F2"/>
          </w:tcPr>
          <w:p w14:paraId="52EC003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53 days</w:t>
            </w:r>
          </w:p>
        </w:tc>
        <w:tc>
          <w:tcPr>
            <w:tcW w:w="1417" w:type="dxa"/>
            <w:shd w:val="clear" w:color="auto" w:fill="F2F2F2"/>
          </w:tcPr>
          <w:p w14:paraId="2918D30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24.0%</w:t>
            </w:r>
          </w:p>
        </w:tc>
      </w:tr>
      <w:tr w14:paraId="1B2A14A5">
        <w:trPr>
          <w:jc w:val="center"/>
        </w:trPr>
        <w:tc>
          <w:tcPr>
            <w:tcW w:w="2835" w:type="dxa"/>
          </w:tcPr>
          <w:p w14:paraId="2B558B3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家居装饰 (Home Decor)</w:t>
            </w:r>
          </w:p>
        </w:tc>
        <w:tc>
          <w:tcPr>
            <w:tcW w:w="1417" w:type="dxa"/>
          </w:tcPr>
          <w:p w14:paraId="6097057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34 days</w:t>
            </w:r>
          </w:p>
        </w:tc>
        <w:tc>
          <w:tcPr>
            <w:tcW w:w="1417" w:type="dxa"/>
          </w:tcPr>
          <w:p w14:paraId="783E9A3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87 days</w:t>
            </w:r>
          </w:p>
        </w:tc>
        <w:tc>
          <w:tcPr>
            <w:tcW w:w="1417" w:type="dxa"/>
          </w:tcPr>
          <w:p w14:paraId="44042F8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53 days</w:t>
            </w:r>
          </w:p>
        </w:tc>
        <w:tc>
          <w:tcPr>
            <w:tcW w:w="1417" w:type="dxa"/>
          </w:tcPr>
          <w:p w14:paraId="277110B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24.7%</w:t>
            </w:r>
          </w:p>
        </w:tc>
      </w:tr>
      <w:tr w14:paraId="27280CFF">
        <w:trPr>
          <w:jc w:val="center"/>
        </w:trPr>
        <w:tc>
          <w:tcPr>
            <w:tcW w:w="2835" w:type="dxa"/>
            <w:shd w:val="clear" w:color="auto" w:fill="F2F2F2"/>
          </w:tcPr>
          <w:p w14:paraId="409BA2A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工业材料 (Industrial)</w:t>
            </w:r>
          </w:p>
        </w:tc>
        <w:tc>
          <w:tcPr>
            <w:tcW w:w="1417" w:type="dxa"/>
            <w:shd w:val="clear" w:color="auto" w:fill="F2F2F2"/>
          </w:tcPr>
          <w:p w14:paraId="0E45819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33 days</w:t>
            </w:r>
          </w:p>
        </w:tc>
        <w:tc>
          <w:tcPr>
            <w:tcW w:w="1417" w:type="dxa"/>
            <w:shd w:val="clear" w:color="auto" w:fill="F2F2F2"/>
          </w:tcPr>
          <w:p w14:paraId="457440D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87 days</w:t>
            </w:r>
          </w:p>
        </w:tc>
        <w:tc>
          <w:tcPr>
            <w:tcW w:w="1417" w:type="dxa"/>
            <w:shd w:val="clear" w:color="auto" w:fill="F2F2F2"/>
          </w:tcPr>
          <w:p w14:paraId="5B58BE8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54 days</w:t>
            </w:r>
          </w:p>
        </w:tc>
        <w:tc>
          <w:tcPr>
            <w:tcW w:w="1417" w:type="dxa"/>
            <w:shd w:val="clear" w:color="auto" w:fill="F2F2F2"/>
          </w:tcPr>
          <w:p w14:paraId="4E562A1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24.6%</w:t>
            </w:r>
          </w:p>
        </w:tc>
      </w:tr>
      <w:tr w14:paraId="5DA94646">
        <w:trPr>
          <w:jc w:val="center"/>
        </w:trPr>
        <w:tc>
          <w:tcPr>
            <w:tcW w:w="2835" w:type="dxa"/>
          </w:tcPr>
          <w:p w14:paraId="3511876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安防电子 (Security/Elec)</w:t>
            </w:r>
          </w:p>
        </w:tc>
        <w:tc>
          <w:tcPr>
            <w:tcW w:w="1417" w:type="dxa"/>
          </w:tcPr>
          <w:p w14:paraId="18761EA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34 days</w:t>
            </w:r>
          </w:p>
        </w:tc>
        <w:tc>
          <w:tcPr>
            <w:tcW w:w="1417" w:type="dxa"/>
          </w:tcPr>
          <w:p w14:paraId="0ED98D1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 days</w:t>
            </w:r>
          </w:p>
        </w:tc>
        <w:tc>
          <w:tcPr>
            <w:tcW w:w="1417" w:type="dxa"/>
          </w:tcPr>
          <w:p w14:paraId="01CDFC9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56 days</w:t>
            </w:r>
          </w:p>
        </w:tc>
        <w:tc>
          <w:tcPr>
            <w:tcW w:w="1417" w:type="dxa"/>
          </w:tcPr>
          <w:p w14:paraId="4067DF0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25.0%</w:t>
            </w:r>
          </w:p>
        </w:tc>
      </w:tr>
      <w:tr w14:paraId="2EE3EAC1">
        <w:trPr>
          <w:jc w:val="center"/>
        </w:trPr>
        <w:tc>
          <w:tcPr>
            <w:tcW w:w="2835" w:type="dxa"/>
            <w:shd w:val="clear" w:color="auto" w:fill="F2F2F2"/>
          </w:tcPr>
          <w:p w14:paraId="13C08F4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数码电器 (Digital/Elec)</w:t>
            </w:r>
          </w:p>
        </w:tc>
        <w:tc>
          <w:tcPr>
            <w:tcW w:w="1417" w:type="dxa"/>
            <w:shd w:val="clear" w:color="auto" w:fill="F2F2F2"/>
          </w:tcPr>
          <w:p w14:paraId="48E600B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33 days</w:t>
            </w:r>
          </w:p>
        </w:tc>
        <w:tc>
          <w:tcPr>
            <w:tcW w:w="1417" w:type="dxa"/>
            <w:shd w:val="clear" w:color="auto" w:fill="F2F2F2"/>
          </w:tcPr>
          <w:p w14:paraId="5D84590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 days</w:t>
            </w:r>
          </w:p>
        </w:tc>
        <w:tc>
          <w:tcPr>
            <w:tcW w:w="1417" w:type="dxa"/>
            <w:shd w:val="clear" w:color="auto" w:fill="F2F2F2"/>
          </w:tcPr>
          <w:p w14:paraId="611C004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57 days</w:t>
            </w:r>
          </w:p>
        </w:tc>
        <w:tc>
          <w:tcPr>
            <w:tcW w:w="1417" w:type="dxa"/>
            <w:shd w:val="clear" w:color="auto" w:fill="F2F2F2"/>
          </w:tcPr>
          <w:p w14:paraId="5F56F98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27.0%</w:t>
            </w:r>
          </w:p>
        </w:tc>
      </w:tr>
      <w:tr w14:paraId="25C8E2E9">
        <w:trPr>
          <w:jc w:val="center"/>
        </w:trPr>
        <w:tc>
          <w:tcPr>
            <w:tcW w:w="2835" w:type="dxa"/>
          </w:tcPr>
          <w:p w14:paraId="339A786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医药器械 (Medical)</w:t>
            </w:r>
          </w:p>
        </w:tc>
        <w:tc>
          <w:tcPr>
            <w:tcW w:w="1417" w:type="dxa"/>
          </w:tcPr>
          <w:p w14:paraId="38C1C23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37 days</w:t>
            </w:r>
          </w:p>
        </w:tc>
        <w:tc>
          <w:tcPr>
            <w:tcW w:w="1417" w:type="dxa"/>
          </w:tcPr>
          <w:p w14:paraId="4128C49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 days</w:t>
            </w:r>
          </w:p>
        </w:tc>
        <w:tc>
          <w:tcPr>
            <w:tcW w:w="1417" w:type="dxa"/>
          </w:tcPr>
          <w:p w14:paraId="396D0AC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53 days</w:t>
            </w:r>
          </w:p>
        </w:tc>
        <w:tc>
          <w:tcPr>
            <w:tcW w:w="1417" w:type="dxa"/>
          </w:tcPr>
          <w:p w14:paraId="046EE34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22.7%</w:t>
            </w:r>
          </w:p>
        </w:tc>
      </w:tr>
    </w:tbl>
    <w:p w14:paraId="447070DE">
      <w:pPr>
        <w:rPr>
          <w:rFonts w:hint="default" w:ascii="Times New Roman Regular" w:hAnsi="Times New Roman Regular" w:cs="Times New Roman Regular"/>
        </w:rPr>
      </w:pPr>
    </w:p>
    <w:p w14:paraId="3AE6981B">
      <w:pPr>
        <w:rPr>
          <w:rFonts w:hint="default" w:ascii="Times New Roman Regular" w:hAnsi="Times New Roman Regular" w:cs="Times New Roman Regular"/>
        </w:rPr>
      </w:pPr>
      <w:r>
        <w:rPr>
          <w:rFonts w:hint="default" w:ascii="Times New Roman Regular" w:hAnsi="Times New Roman Regular" w:cs="Times New Roman Regular"/>
        </w:rPr>
        <w:t>All categories show CV between 18–27%. The thresholds trend upward across earlier-to-later batches as more historical IPIs are pooled, which is expected behavior for a cumulative percentile estimator. Thresholds stabilize by approximately batch 8–10 (2025-03-01 onward), suggesting that the early-batch threshold volatility reflects limited data accumulation rather than genuine distributional instability.</w:t>
      </w:r>
    </w:p>
    <w:p w14:paraId="5A26DF7D">
      <w:pPr>
        <w:rPr>
          <w:rFonts w:hint="default" w:ascii="Times New Roman Regular" w:hAnsi="Times New Roman Regular" w:cs="Times New Roman Regular"/>
        </w:rPr>
      </w:pPr>
      <w:r>
        <w:rPr>
          <w:rFonts w:hint="default" w:ascii="Times New Roman Regular" w:hAnsi="Times New Roman Regular" w:cs="Times New Roman Regular"/>
        </w:rPr>
        <w:t>The REVIEW accounts flagged in the Step 2 report do not appear to be distorting L2 thresholds — if they were, I would expect to see threshold compression (lower τ_c values) in industries with high REVIEW account concentration, which I do not observe.</w:t>
      </w:r>
    </w:p>
    <w:p w14:paraId="01A80C1F">
      <w:pPr>
        <w:pStyle w:val="3"/>
        <w:rPr>
          <w:rFonts w:hint="default" w:ascii="Times New Roman Regular" w:hAnsi="Times New Roman Regular" w:cs="Times New Roman Regular"/>
        </w:rPr>
      </w:pPr>
      <w:r>
        <w:rPr>
          <w:rFonts w:hint="default" w:ascii="Times New Roman" w:hAnsi="Times New Roman Regular" w:cs="Times New Roman Regular"/>
          <w:lang w:val="vi-VN"/>
        </w:rPr>
        <w:t>4</w:t>
      </w:r>
      <w:r>
        <w:rPr>
          <w:rFonts w:hint="default" w:ascii="Times New Roman Regular" w:hAnsi="Times New Roman Regular" w:cs="Times New Roman Regular"/>
        </w:rPr>
        <w:t>. Dataset Assembly and Validation</w:t>
      </w:r>
    </w:p>
    <w:p w14:paraId="056C2186">
      <w:pPr>
        <w:pStyle w:val="4"/>
        <w:rPr>
          <w:rFonts w:hint="default" w:ascii="Times New Roman Regular" w:hAnsi="Times New Roman Regular" w:cs="Times New Roman Regular"/>
        </w:rPr>
      </w:pPr>
      <w:r>
        <w:rPr>
          <w:rFonts w:hint="default" w:ascii="Times New Roman" w:hAnsi="Times New Roman Regular" w:cs="Times New Roman Regular"/>
          <w:lang w:val="vi-VN"/>
        </w:rPr>
        <w:t>4</w:t>
      </w:r>
      <w:r>
        <w:rPr>
          <w:rFonts w:hint="default" w:ascii="Times New Roman Regular" w:hAnsi="Times New Roman Regular" w:cs="Times New Roman Regular"/>
        </w:rPr>
        <w:t>.1 Final Dataset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3C13055E">
        <w:trPr>
          <w:jc w:val="center"/>
        </w:trPr>
        <w:tc>
          <w:tcPr>
            <w:tcW w:w="4535" w:type="dxa"/>
            <w:shd w:val="clear" w:color="auto" w:fill="2F5496"/>
          </w:tcPr>
          <w:p w14:paraId="4673C6F2">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Metric</w:t>
            </w:r>
          </w:p>
        </w:tc>
        <w:tc>
          <w:tcPr>
            <w:tcW w:w="4535" w:type="dxa"/>
            <w:shd w:val="clear" w:color="auto" w:fill="2F5496"/>
          </w:tcPr>
          <w:p w14:paraId="5CB301E1">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Value</w:t>
            </w:r>
          </w:p>
        </w:tc>
      </w:tr>
      <w:tr w14:paraId="34F8188B">
        <w:trPr>
          <w:jc w:val="center"/>
        </w:trPr>
        <w:tc>
          <w:tcPr>
            <w:tcW w:w="4535" w:type="dxa"/>
          </w:tcPr>
          <w:p w14:paraId="314A448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Total rows</w:t>
            </w:r>
          </w:p>
        </w:tc>
        <w:tc>
          <w:tcPr>
            <w:tcW w:w="4535" w:type="dxa"/>
          </w:tcPr>
          <w:p w14:paraId="55D2829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6,340,667</w:t>
            </w:r>
          </w:p>
        </w:tc>
      </w:tr>
      <w:tr w14:paraId="64E5F24F">
        <w:trPr>
          <w:jc w:val="center"/>
        </w:trPr>
        <w:tc>
          <w:tcPr>
            <w:tcW w:w="4535" w:type="dxa"/>
            <w:shd w:val="clear" w:color="auto" w:fill="F2F2F2"/>
          </w:tcPr>
          <w:p w14:paraId="631EBA3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Total columns</w:t>
            </w:r>
          </w:p>
        </w:tc>
        <w:tc>
          <w:tcPr>
            <w:tcW w:w="4535" w:type="dxa"/>
            <w:shd w:val="clear" w:color="auto" w:fill="F2F2F2"/>
          </w:tcPr>
          <w:p w14:paraId="5FABAF8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34 (4 keys + 25 features + 5 label/metadata)</w:t>
            </w:r>
          </w:p>
        </w:tc>
      </w:tr>
      <w:tr w14:paraId="74034B7D">
        <w:trPr>
          <w:jc w:val="center"/>
        </w:trPr>
        <w:tc>
          <w:tcPr>
            <w:tcW w:w="4535" w:type="dxa"/>
          </w:tcPr>
          <w:p w14:paraId="2131F6A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Prediction points</w:t>
            </w:r>
          </w:p>
        </w:tc>
        <w:tc>
          <w:tcPr>
            <w:tcW w:w="4535" w:type="dxa"/>
          </w:tcPr>
          <w:p w14:paraId="4C31D04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20</w:t>
            </w:r>
          </w:p>
        </w:tc>
      </w:tr>
      <w:tr w14:paraId="5EFCC03F">
        <w:trPr>
          <w:jc w:val="center"/>
        </w:trPr>
        <w:tc>
          <w:tcPr>
            <w:tcW w:w="4535" w:type="dxa"/>
            <w:shd w:val="clear" w:color="auto" w:fill="F2F2F2"/>
          </w:tcPr>
          <w:p w14:paraId="332FF0A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Unique customers</w:t>
            </w:r>
          </w:p>
        </w:tc>
        <w:tc>
          <w:tcPr>
            <w:tcW w:w="4535" w:type="dxa"/>
            <w:shd w:val="clear" w:color="auto" w:fill="F2F2F2"/>
          </w:tcPr>
          <w:p w14:paraId="2D02AC4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936,829</w:t>
            </w:r>
          </w:p>
        </w:tc>
      </w:tr>
      <w:tr w14:paraId="3A0119C9">
        <w:trPr>
          <w:jc w:val="center"/>
        </w:trPr>
        <w:tc>
          <w:tcPr>
            <w:tcW w:w="4535" w:type="dxa"/>
          </w:tcPr>
          <w:p w14:paraId="4977DDD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Unique stores</w:t>
            </w:r>
          </w:p>
        </w:tc>
        <w:tc>
          <w:tcPr>
            <w:tcW w:w="4535" w:type="dxa"/>
          </w:tcPr>
          <w:p w14:paraId="541B368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2,581</w:t>
            </w:r>
          </w:p>
        </w:tc>
      </w:tr>
      <w:tr w14:paraId="42419E97">
        <w:trPr>
          <w:jc w:val="center"/>
        </w:trPr>
        <w:tc>
          <w:tcPr>
            <w:tcW w:w="4535" w:type="dxa"/>
            <w:shd w:val="clear" w:color="auto" w:fill="F2F2F2"/>
          </w:tcPr>
          <w:p w14:paraId="153E43C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Industry categories</w:t>
            </w:r>
          </w:p>
        </w:tc>
        <w:tc>
          <w:tcPr>
            <w:tcW w:w="4535" w:type="dxa"/>
            <w:shd w:val="clear" w:color="auto" w:fill="F2F2F2"/>
          </w:tcPr>
          <w:p w14:paraId="53361A2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13</w:t>
            </w:r>
          </w:p>
        </w:tc>
      </w:tr>
      <w:tr w14:paraId="3C50E40A">
        <w:trPr>
          <w:jc w:val="center"/>
        </w:trPr>
        <w:tc>
          <w:tcPr>
            <w:tcW w:w="4535" w:type="dxa"/>
          </w:tcPr>
          <w:p w14:paraId="16BCA1E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File size</w:t>
            </w:r>
          </w:p>
        </w:tc>
        <w:tc>
          <w:tcPr>
            <w:tcW w:w="4535" w:type="dxa"/>
          </w:tcPr>
          <w:p w14:paraId="595878C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201.7 MB</w:t>
            </w:r>
          </w:p>
        </w:tc>
      </w:tr>
    </w:tbl>
    <w:p w14:paraId="36D38F54">
      <w:pPr>
        <w:rPr>
          <w:rFonts w:hint="default" w:ascii="Times New Roman Regular" w:hAnsi="Times New Roman Regular" w:cs="Times New Roman Regular"/>
        </w:rPr>
      </w:pPr>
    </w:p>
    <w:p w14:paraId="2295E3BB">
      <w:pPr>
        <w:rPr>
          <w:rFonts w:hint="default" w:ascii="Times New Roman Regular" w:hAnsi="Times New Roman Regular" w:cs="Times New Roman Regular"/>
        </w:rPr>
      </w:pPr>
      <w:r>
        <w:rPr>
          <w:rFonts w:hint="default" w:ascii="Times New Roman Regular" w:hAnsi="Times New Roman Regular" w:cs="Times New Roman Regular"/>
        </w:rPr>
        <w:t>Features (Step 4) and labels (Step 5) were inner-joined on the composite key (server_id, shop_id, company_id, prediction_point). No rows were lost in the join — all 6,340,667 feature rows matched exactly with their label rows.</w:t>
      </w:r>
    </w:p>
    <w:p w14:paraId="6C9C08FD">
      <w:pPr>
        <w:pStyle w:val="4"/>
        <w:rPr>
          <w:rFonts w:hint="default" w:ascii="Times New Roman Regular" w:hAnsi="Times New Roman Regular" w:cs="Times New Roman Regular"/>
        </w:rPr>
      </w:pPr>
      <w:r>
        <w:rPr>
          <w:rFonts w:hint="default" w:ascii="Times New Roman" w:hAnsi="Times New Roman Regular" w:cs="Times New Roman Regular"/>
          <w:lang w:val="vi-VN"/>
        </w:rPr>
        <w:t>4</w:t>
      </w:r>
      <w:r>
        <w:rPr>
          <w:rFonts w:hint="default" w:ascii="Times New Roman Regular" w:hAnsi="Times New Roman Regular" w:cs="Times New Roman Regular"/>
        </w:rPr>
        <w:t>.2 Validation Results</w:t>
      </w:r>
    </w:p>
    <w:p w14:paraId="6F69AEE5">
      <w:pPr>
        <w:rPr>
          <w:rFonts w:hint="default" w:ascii="Times New Roman Regular" w:hAnsi="Times New Roman Regular" w:cs="Times New Roman Regular"/>
        </w:rPr>
      </w:pPr>
      <w:r>
        <w:rPr>
          <w:rFonts w:hint="default" w:ascii="Times New Roman Regular" w:hAnsi="Times New Roman Regular" w:cs="Times New Roman Regular"/>
        </w:rPr>
        <w:t>All 11 validation checks passed: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134"/>
        <w:gridCol w:w="5102"/>
      </w:tblGrid>
      <w:tr w14:paraId="579A2966">
        <w:trPr>
          <w:jc w:val="center"/>
        </w:trPr>
        <w:tc>
          <w:tcPr>
            <w:tcW w:w="2835" w:type="dxa"/>
            <w:shd w:val="clear" w:color="auto" w:fill="2F5496"/>
          </w:tcPr>
          <w:p w14:paraId="3B319CA4">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Check</w:t>
            </w:r>
          </w:p>
        </w:tc>
        <w:tc>
          <w:tcPr>
            <w:tcW w:w="1134" w:type="dxa"/>
            <w:shd w:val="clear" w:color="auto" w:fill="2F5496"/>
          </w:tcPr>
          <w:p w14:paraId="253E3946">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Result</w:t>
            </w:r>
          </w:p>
        </w:tc>
        <w:tc>
          <w:tcPr>
            <w:tcW w:w="5102" w:type="dxa"/>
            <w:shd w:val="clear" w:color="auto" w:fill="2F5496"/>
          </w:tcPr>
          <w:p w14:paraId="12DB9746">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Detail</w:t>
            </w:r>
          </w:p>
        </w:tc>
      </w:tr>
      <w:tr w14:paraId="75910BA6">
        <w:trPr>
          <w:jc w:val="center"/>
        </w:trPr>
        <w:tc>
          <w:tcPr>
            <w:tcW w:w="2835" w:type="dxa"/>
          </w:tcPr>
          <w:p w14:paraId="4B4BF7D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Row count &gt; 0</w:t>
            </w:r>
          </w:p>
        </w:tc>
        <w:tc>
          <w:tcPr>
            <w:tcW w:w="1134" w:type="dxa"/>
          </w:tcPr>
          <w:p w14:paraId="440426B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tcPr>
          <w:p w14:paraId="5061306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6,340,667 rows</w:t>
            </w:r>
          </w:p>
        </w:tc>
      </w:tr>
      <w:tr w14:paraId="4F4DB139">
        <w:trPr>
          <w:jc w:val="center"/>
        </w:trPr>
        <w:tc>
          <w:tcPr>
            <w:tcW w:w="2835" w:type="dxa"/>
            <w:shd w:val="clear" w:color="auto" w:fill="F2F2F2"/>
          </w:tcPr>
          <w:p w14:paraId="2CB313C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 duplicate keys</w:t>
            </w:r>
          </w:p>
        </w:tc>
        <w:tc>
          <w:tcPr>
            <w:tcW w:w="1134" w:type="dxa"/>
            <w:shd w:val="clear" w:color="auto" w:fill="F2F2F2"/>
          </w:tcPr>
          <w:p w14:paraId="19B3A06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shd w:val="clear" w:color="auto" w:fill="F2F2F2"/>
          </w:tcPr>
          <w:p w14:paraId="74C1CBA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 duplicates</w:t>
            </w:r>
          </w:p>
        </w:tc>
      </w:tr>
      <w:tr w14:paraId="0F97C79F">
        <w:trPr>
          <w:jc w:val="center"/>
        </w:trPr>
        <w:tc>
          <w:tcPr>
            <w:tcW w:w="2835" w:type="dxa"/>
          </w:tcPr>
          <w:p w14:paraId="02ECF8C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Recency &gt;= 0 (no leakage)</w:t>
            </w:r>
          </w:p>
        </w:tc>
        <w:tc>
          <w:tcPr>
            <w:tcW w:w="1134" w:type="dxa"/>
          </w:tcPr>
          <w:p w14:paraId="00B82FC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tcPr>
          <w:p w14:paraId="77B5133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 future-data contamination</w:t>
            </w:r>
          </w:p>
        </w:tc>
      </w:tr>
      <w:tr w14:paraId="4D67870A">
        <w:trPr>
          <w:jc w:val="center"/>
        </w:trPr>
        <w:tc>
          <w:tcPr>
            <w:tcW w:w="2835" w:type="dxa"/>
            <w:shd w:val="clear" w:color="auto" w:fill="F2F2F2"/>
          </w:tcPr>
          <w:p w14:paraId="48C3BAC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Frequency &gt;= 1</w:t>
            </w:r>
          </w:p>
        </w:tc>
        <w:tc>
          <w:tcPr>
            <w:tcW w:w="1134" w:type="dxa"/>
            <w:shd w:val="clear" w:color="auto" w:fill="F2F2F2"/>
          </w:tcPr>
          <w:p w14:paraId="6323321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shd w:val="clear" w:color="auto" w:fill="F2F2F2"/>
          </w:tcPr>
          <w:p w14:paraId="40A2798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All eligible customers have purchases</w:t>
            </w:r>
          </w:p>
        </w:tc>
      </w:tr>
      <w:tr w14:paraId="551D5EA7">
        <w:trPr>
          <w:jc w:val="center"/>
        </w:trPr>
        <w:tc>
          <w:tcPr>
            <w:tcW w:w="2835" w:type="dxa"/>
          </w:tcPr>
          <w:p w14:paraId="5F74EE0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Labels are binary {0,1}</w:t>
            </w:r>
          </w:p>
        </w:tc>
        <w:tc>
          <w:tcPr>
            <w:tcW w:w="1134" w:type="dxa"/>
          </w:tcPr>
          <w:p w14:paraId="766849C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tcPr>
          <w:p w14:paraId="51F91A5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Both L1 and L2</w:t>
            </w:r>
          </w:p>
        </w:tc>
      </w:tr>
      <w:tr w14:paraId="44C16C87">
        <w:trPr>
          <w:jc w:val="center"/>
        </w:trPr>
        <w:tc>
          <w:tcPr>
            <w:tcW w:w="2835" w:type="dxa"/>
            <w:shd w:val="clear" w:color="auto" w:fill="F2F2F2"/>
          </w:tcPr>
          <w:p w14:paraId="1DC7710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 missing labels</w:t>
            </w:r>
          </w:p>
        </w:tc>
        <w:tc>
          <w:tcPr>
            <w:tcW w:w="1134" w:type="dxa"/>
            <w:shd w:val="clear" w:color="auto" w:fill="F2F2F2"/>
          </w:tcPr>
          <w:p w14:paraId="2084772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shd w:val="clear" w:color="auto" w:fill="F2F2F2"/>
          </w:tcPr>
          <w:p w14:paraId="03028F4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 NaN in either label column</w:t>
            </w:r>
          </w:p>
        </w:tc>
      </w:tr>
      <w:tr w14:paraId="0A991760">
        <w:trPr>
          <w:jc w:val="center"/>
        </w:trPr>
        <w:tc>
          <w:tcPr>
            <w:tcW w:w="2835" w:type="dxa"/>
          </w:tcPr>
          <w:p w14:paraId="1DA8336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 unexpected NaN features</w:t>
            </w:r>
          </w:p>
        </w:tc>
        <w:tc>
          <w:tcPr>
            <w:tcW w:w="1134" w:type="dxa"/>
          </w:tcPr>
          <w:p w14:paraId="13A268C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tcPr>
          <w:p w14:paraId="4EFA207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NaN only in ipi_mean, ipi_std, store_median_ipi, customer_tenure (expected)</w:t>
            </w:r>
          </w:p>
        </w:tc>
      </w:tr>
      <w:tr w14:paraId="0B19A708">
        <w:trPr>
          <w:jc w:val="center"/>
        </w:trPr>
        <w:tc>
          <w:tcPr>
            <w:tcW w:w="2835" w:type="dxa"/>
            <w:shd w:val="clear" w:color="auto" w:fill="F2F2F2"/>
          </w:tcPr>
          <w:p w14:paraId="6033A23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L1 vs L2 disagree &gt;= 5%</w:t>
            </w:r>
          </w:p>
        </w:tc>
        <w:tc>
          <w:tcPr>
            <w:tcW w:w="1134" w:type="dxa"/>
            <w:shd w:val="clear" w:color="auto" w:fill="F2F2F2"/>
          </w:tcPr>
          <w:p w14:paraId="13B484B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shd w:val="clear" w:color="auto" w:fill="F2F2F2"/>
          </w:tcPr>
          <w:p w14:paraId="0C170D7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11.8% disagreement</w:t>
            </w:r>
          </w:p>
        </w:tc>
      </w:tr>
      <w:tr w14:paraId="22C0F0C9">
        <w:trPr>
          <w:jc w:val="center"/>
        </w:trPr>
        <w:tc>
          <w:tcPr>
            <w:tcW w:w="2835" w:type="dxa"/>
          </w:tcPr>
          <w:p w14:paraId="7AE3148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Recency &lt;= 90 (obs window)</w:t>
            </w:r>
          </w:p>
        </w:tc>
        <w:tc>
          <w:tcPr>
            <w:tcW w:w="1134" w:type="dxa"/>
          </w:tcPr>
          <w:p w14:paraId="477706E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tcPr>
          <w:p w14:paraId="7608A3B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 values exceed observation window</w:t>
            </w:r>
          </w:p>
        </w:tc>
      </w:tr>
      <w:tr w14:paraId="21DE5357">
        <w:trPr>
          <w:jc w:val="center"/>
        </w:trPr>
        <w:tc>
          <w:tcPr>
            <w:tcW w:w="2835" w:type="dxa"/>
            <w:shd w:val="clear" w:color="auto" w:fill="F2F2F2"/>
          </w:tcPr>
          <w:p w14:paraId="67FF4BE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All 20 batches present</w:t>
            </w:r>
          </w:p>
        </w:tc>
        <w:tc>
          <w:tcPr>
            <w:tcW w:w="1134" w:type="dxa"/>
            <w:shd w:val="clear" w:color="auto" w:fill="F2F2F2"/>
          </w:tcPr>
          <w:p w14:paraId="6C99735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shd w:val="clear" w:color="auto" w:fill="F2F2F2"/>
          </w:tcPr>
          <w:p w14:paraId="59E6749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20 batches found</w:t>
            </w:r>
          </w:p>
        </w:tc>
      </w:tr>
      <w:tr w14:paraId="04C9A10B">
        <w:trPr>
          <w:jc w:val="center"/>
        </w:trPr>
        <w:tc>
          <w:tcPr>
            <w:tcW w:w="2835" w:type="dxa"/>
          </w:tcPr>
          <w:p w14:paraId="5D1C087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Recency &gt; 0 (strict leakage)</w:t>
            </w:r>
          </w:p>
        </w:tc>
        <w:tc>
          <w:tcPr>
            <w:tcW w:w="1134" w:type="dxa"/>
          </w:tcPr>
          <w:p w14:paraId="1B7D804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PASS</w:t>
            </w:r>
          </w:p>
        </w:tc>
        <w:tc>
          <w:tcPr>
            <w:tcW w:w="5102" w:type="dxa"/>
          </w:tcPr>
          <w:p w14:paraId="49A70A8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No same-day purchases leaked</w:t>
            </w:r>
          </w:p>
        </w:tc>
      </w:tr>
    </w:tbl>
    <w:p w14:paraId="72E856EC">
      <w:pPr>
        <w:rPr>
          <w:rFonts w:hint="default" w:ascii="Times New Roman Regular" w:hAnsi="Times New Roman Regular" w:cs="Times New Roman Regular"/>
        </w:rPr>
      </w:pPr>
    </w:p>
    <w:p w14:paraId="621190EC">
      <w:pPr>
        <w:pStyle w:val="4"/>
        <w:rPr>
          <w:rFonts w:hint="default" w:ascii="Times New Roman Regular" w:hAnsi="Times New Roman Regular" w:cs="Times New Roman Regular"/>
        </w:rPr>
      </w:pPr>
      <w:r>
        <w:rPr>
          <w:rFonts w:hint="default" w:ascii="Times New Roman" w:hAnsi="Times New Roman Regular" w:cs="Times New Roman Regular"/>
          <w:lang w:val="vi-VN"/>
        </w:rPr>
        <w:t>4</w:t>
      </w:r>
      <w:r>
        <w:rPr>
          <w:rFonts w:hint="default" w:ascii="Times New Roman Regular" w:hAnsi="Times New Roman Regular" w:cs="Times New Roman Regular"/>
        </w:rPr>
        <w:t>.3 Class Balance and scale_pos_weight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268"/>
        <w:gridCol w:w="2268"/>
      </w:tblGrid>
      <w:tr w14:paraId="22420631">
        <w:trPr>
          <w:jc w:val="center"/>
        </w:trPr>
        <w:tc>
          <w:tcPr>
            <w:tcW w:w="1701" w:type="dxa"/>
            <w:shd w:val="clear" w:color="auto" w:fill="2F5496"/>
          </w:tcPr>
          <w:p w14:paraId="3C956AC7">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Scheme</w:t>
            </w:r>
          </w:p>
        </w:tc>
        <w:tc>
          <w:tcPr>
            <w:tcW w:w="2268" w:type="dxa"/>
            <w:shd w:val="clear" w:color="auto" w:fill="2F5496"/>
          </w:tcPr>
          <w:p w14:paraId="7BBFC726">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Overall Churn Rate</w:t>
            </w:r>
          </w:p>
        </w:tc>
        <w:tc>
          <w:tcPr>
            <w:tcW w:w="2268" w:type="dxa"/>
            <w:shd w:val="clear" w:color="auto" w:fill="2F5496"/>
          </w:tcPr>
          <w:p w14:paraId="73C45D0E">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SPW Range</w:t>
            </w:r>
          </w:p>
        </w:tc>
        <w:tc>
          <w:tcPr>
            <w:tcW w:w="2268" w:type="dxa"/>
            <w:shd w:val="clear" w:color="auto" w:fill="2F5496"/>
          </w:tcPr>
          <w:p w14:paraId="0D730106">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SPW Mean</w:t>
            </w:r>
          </w:p>
        </w:tc>
      </w:tr>
      <w:tr w14:paraId="788E16D2">
        <w:trPr>
          <w:jc w:val="center"/>
        </w:trPr>
        <w:tc>
          <w:tcPr>
            <w:tcW w:w="1701" w:type="dxa"/>
          </w:tcPr>
          <w:p w14:paraId="1E58D99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L1</w:t>
            </w:r>
          </w:p>
        </w:tc>
        <w:tc>
          <w:tcPr>
            <w:tcW w:w="2268" w:type="dxa"/>
          </w:tcPr>
          <w:p w14:paraId="17191F2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60.4%</w:t>
            </w:r>
          </w:p>
        </w:tc>
        <w:tc>
          <w:tcPr>
            <w:tcW w:w="2268" w:type="dxa"/>
          </w:tcPr>
          <w:p w14:paraId="50F2091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0.43 – 0.74</w:t>
            </w:r>
          </w:p>
        </w:tc>
        <w:tc>
          <w:tcPr>
            <w:tcW w:w="2268" w:type="dxa"/>
          </w:tcPr>
          <w:p w14:paraId="4DEB105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0.67</w:t>
            </w:r>
          </w:p>
        </w:tc>
      </w:tr>
      <w:tr w14:paraId="397B433A">
        <w:trPr>
          <w:jc w:val="center"/>
        </w:trPr>
        <w:tc>
          <w:tcPr>
            <w:tcW w:w="1701" w:type="dxa"/>
            <w:shd w:val="clear" w:color="auto" w:fill="F2F2F2"/>
          </w:tcPr>
          <w:p w14:paraId="5C68449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L2</w:t>
            </w:r>
          </w:p>
        </w:tc>
        <w:tc>
          <w:tcPr>
            <w:tcW w:w="2268" w:type="dxa"/>
            <w:shd w:val="clear" w:color="auto" w:fill="F2F2F2"/>
          </w:tcPr>
          <w:p w14:paraId="4387DD9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48.6%</w:t>
            </w:r>
          </w:p>
        </w:tc>
        <w:tc>
          <w:tcPr>
            <w:tcW w:w="2268" w:type="dxa"/>
            <w:shd w:val="clear" w:color="auto" w:fill="F2F2F2"/>
          </w:tcPr>
          <w:p w14:paraId="29C84A8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0.72 – 1.29</w:t>
            </w:r>
          </w:p>
        </w:tc>
        <w:tc>
          <w:tcPr>
            <w:tcW w:w="2268" w:type="dxa"/>
            <w:shd w:val="clear" w:color="auto" w:fill="F2F2F2"/>
          </w:tcPr>
          <w:p w14:paraId="529D3AC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1.04</w:t>
            </w:r>
          </w:p>
        </w:tc>
      </w:tr>
    </w:tbl>
    <w:p w14:paraId="08389A0C">
      <w:pPr>
        <w:rPr>
          <w:rFonts w:hint="default" w:ascii="Times New Roman Regular" w:hAnsi="Times New Roman Regular" w:cs="Times New Roman Regular"/>
        </w:rPr>
      </w:pPr>
    </w:p>
    <w:p w14:paraId="60AC3770">
      <w:pPr>
        <w:rPr>
          <w:rFonts w:hint="default" w:ascii="Times New Roman Regular" w:hAnsi="Times New Roman Regular" w:cs="Times New Roman Regular"/>
        </w:rPr>
      </w:pPr>
      <w:r>
        <w:rPr>
          <w:rFonts w:hint="default" w:ascii="Times New Roman Regular" w:hAnsi="Times New Roman Regular" w:cs="Times New Roman Regular"/>
        </w:rPr>
        <w:t>L2’s class balance is much closer to 50/50, which is favorable for model training. The class distributions suggest that different scale_pos_weight values may be appropriate during model training.</w:t>
      </w:r>
    </w:p>
    <w:p w14:paraId="15A99FFE">
      <w:pPr>
        <w:pStyle w:val="4"/>
        <w:rPr>
          <w:rFonts w:hint="default" w:ascii="Times New Roman Regular" w:hAnsi="Times New Roman Regular" w:cs="Times New Roman Regular"/>
        </w:rPr>
      </w:pPr>
      <w:r>
        <w:rPr>
          <w:rFonts w:hint="default" w:ascii="Times New Roman" w:hAnsi="Times New Roman Regular" w:cs="Times New Roman Regular"/>
          <w:lang w:val="vi-VN"/>
        </w:rPr>
        <w:t>4</w:t>
      </w:r>
      <w:r>
        <w:rPr>
          <w:rFonts w:hint="default" w:ascii="Times New Roman Regular" w:hAnsi="Times New Roman Regular" w:cs="Times New Roman Regular"/>
        </w:rPr>
        <w:t>.4 Feature Stability Across Batches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402"/>
      </w:tblGrid>
      <w:tr w14:paraId="4DB1799D">
        <w:trPr>
          <w:jc w:val="center"/>
        </w:trPr>
        <w:tc>
          <w:tcPr>
            <w:tcW w:w="3402" w:type="dxa"/>
            <w:shd w:val="clear" w:color="auto" w:fill="2F5496"/>
          </w:tcPr>
          <w:p w14:paraId="5588042F">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Feature</w:t>
            </w:r>
          </w:p>
        </w:tc>
        <w:tc>
          <w:tcPr>
            <w:tcW w:w="3402" w:type="dxa"/>
            <w:shd w:val="clear" w:color="auto" w:fill="2F5496"/>
          </w:tcPr>
          <w:p w14:paraId="4E56EBB5">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CV% Across Batches</w:t>
            </w:r>
          </w:p>
        </w:tc>
      </w:tr>
      <w:tr w14:paraId="120C1623">
        <w:trPr>
          <w:jc w:val="center"/>
        </w:trPr>
        <w:tc>
          <w:tcPr>
            <w:tcW w:w="3402" w:type="dxa"/>
          </w:tcPr>
          <w:p w14:paraId="001719A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debt_frequency</w:t>
            </w:r>
          </w:p>
        </w:tc>
        <w:tc>
          <w:tcPr>
            <w:tcW w:w="3402" w:type="dxa"/>
          </w:tcPr>
          <w:p w14:paraId="591395D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1.4%</w:t>
            </w:r>
          </w:p>
        </w:tc>
      </w:tr>
      <w:tr w14:paraId="112F4406">
        <w:trPr>
          <w:jc w:val="center"/>
        </w:trPr>
        <w:tc>
          <w:tcPr>
            <w:tcW w:w="3402" w:type="dxa"/>
            <w:shd w:val="clear" w:color="auto" w:fill="F2F2F2"/>
          </w:tcPr>
          <w:p w14:paraId="01B3CDA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frequency</w:t>
            </w:r>
          </w:p>
        </w:tc>
        <w:tc>
          <w:tcPr>
            <w:tcW w:w="3402" w:type="dxa"/>
            <w:shd w:val="clear" w:color="auto" w:fill="F2F2F2"/>
          </w:tcPr>
          <w:p w14:paraId="707B6FC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3.2%</w:t>
            </w:r>
          </w:p>
        </w:tc>
      </w:tr>
      <w:tr w14:paraId="3AD450C4">
        <w:trPr>
          <w:jc w:val="center"/>
        </w:trPr>
        <w:tc>
          <w:tcPr>
            <w:tcW w:w="3402" w:type="dxa"/>
          </w:tcPr>
          <w:p w14:paraId="0029459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recency</w:t>
            </w:r>
          </w:p>
        </w:tc>
        <w:tc>
          <w:tcPr>
            <w:tcW w:w="3402" w:type="dxa"/>
          </w:tcPr>
          <w:p w14:paraId="70DD54E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6.5%</w:t>
            </w:r>
          </w:p>
        </w:tc>
      </w:tr>
      <w:tr w14:paraId="0F75B044">
        <w:trPr>
          <w:jc w:val="center"/>
        </w:trPr>
        <w:tc>
          <w:tcPr>
            <w:tcW w:w="3402" w:type="dxa"/>
            <w:shd w:val="clear" w:color="auto" w:fill="F2F2F2"/>
          </w:tcPr>
          <w:p w14:paraId="2D11985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monetary</w:t>
            </w:r>
          </w:p>
        </w:tc>
        <w:tc>
          <w:tcPr>
            <w:tcW w:w="3402" w:type="dxa"/>
            <w:shd w:val="clear" w:color="auto" w:fill="F2F2F2"/>
          </w:tcPr>
          <w:p w14:paraId="3CD49DF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9.0%</w:t>
            </w:r>
          </w:p>
        </w:tc>
      </w:tr>
      <w:tr w14:paraId="54A92C97">
        <w:trPr>
          <w:jc w:val="center"/>
        </w:trPr>
        <w:tc>
          <w:tcPr>
            <w:tcW w:w="3402" w:type="dxa"/>
          </w:tcPr>
          <w:p w14:paraId="6373879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pay_ratio</w:t>
            </w:r>
          </w:p>
        </w:tc>
        <w:tc>
          <w:tcPr>
            <w:tcW w:w="3402" w:type="dxa"/>
          </w:tcPr>
          <w:p w14:paraId="25564BE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16.0%</w:t>
            </w:r>
          </w:p>
        </w:tc>
      </w:tr>
    </w:tbl>
    <w:p w14:paraId="09584A99">
      <w:pPr>
        <w:rPr>
          <w:rFonts w:hint="default" w:ascii="Times New Roman Regular" w:hAnsi="Times New Roman Regular" w:cs="Times New Roman Regular"/>
        </w:rPr>
      </w:pPr>
    </w:p>
    <w:p w14:paraId="4E6432A7">
      <w:pPr>
        <w:rPr>
          <w:rFonts w:hint="default" w:ascii="Times New Roman Regular" w:hAnsi="Times New Roman Regular" w:cs="Times New Roman Regular"/>
        </w:rPr>
      </w:pPr>
      <w:r>
        <w:rPr>
          <w:rFonts w:hint="default" w:ascii="Times New Roman Regular" w:hAnsi="Times New Roman Regular" w:cs="Times New Roman Regular"/>
        </w:rPr>
        <w:t>Feature means are stable across batches (CV &lt; 10% for 4 of 5 key features). The pay_ratio CV of 16% is driven by two batches (2025-02-01 and 2025-03-01) where the mean jumped to 0.7 — again coinciding with the CNY period, when outstanding debts are typically settled. This pattern coincides with the Chinese New Year period and is consistent with seasonal settlement behavior rather than obvious data-quality issues.</w:t>
      </w:r>
    </w:p>
    <w:p w14:paraId="736FB965">
      <w:pPr>
        <w:pStyle w:val="3"/>
        <w:rPr>
          <w:rFonts w:hint="default" w:ascii="Times New Roman Regular" w:hAnsi="Times New Roman Regular" w:cs="Times New Roman Regular"/>
        </w:rPr>
      </w:pPr>
      <w:r>
        <w:rPr>
          <w:rFonts w:hint="default" w:ascii="Times New Roman" w:hAnsi="Times New Roman Regular" w:cs="Times New Roman Regular"/>
          <w:lang w:val="vi-VN"/>
        </w:rPr>
        <w:t>5</w:t>
      </w:r>
      <w:r>
        <w:rPr>
          <w:rFonts w:hint="default" w:ascii="Times New Roman Regular" w:hAnsi="Times New Roman Regular" w:cs="Times New Roman Regular"/>
        </w:rPr>
        <w:t>. Cross-Step Consistency Checks</w:t>
      </w:r>
    </w:p>
    <w:p w14:paraId="03DDE1A1">
      <w:pPr>
        <w:rPr>
          <w:rFonts w:hint="default" w:ascii="Times New Roman Regular" w:hAnsi="Times New Roman Regular" w:cs="Times New Roman Regular"/>
        </w:rPr>
      </w:pPr>
      <w:r>
        <w:rPr>
          <w:rFonts w:hint="default" w:ascii="Times New Roman Regular" w:hAnsi="Times New Roman Regular" w:cs="Times New Roman Regular"/>
        </w:rPr>
        <w:t>These checks verify that numbers remain consistent as data flows through the pipeline: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17"/>
        <w:gridCol w:w="1417"/>
        <w:gridCol w:w="1417"/>
        <w:gridCol w:w="1417"/>
        <w:gridCol w:w="1417"/>
      </w:tblGrid>
      <w:tr w14:paraId="662295E1">
        <w:trPr>
          <w:jc w:val="center"/>
        </w:trPr>
        <w:tc>
          <w:tcPr>
            <w:tcW w:w="2268" w:type="dxa"/>
            <w:shd w:val="clear" w:color="auto" w:fill="2F5496"/>
          </w:tcPr>
          <w:p w14:paraId="42AD2668">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Metric</w:t>
            </w:r>
          </w:p>
        </w:tc>
        <w:tc>
          <w:tcPr>
            <w:tcW w:w="1417" w:type="dxa"/>
            <w:shd w:val="clear" w:color="auto" w:fill="2F5496"/>
          </w:tcPr>
          <w:p w14:paraId="71E6C76E">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Step 3</w:t>
            </w:r>
          </w:p>
        </w:tc>
        <w:tc>
          <w:tcPr>
            <w:tcW w:w="1417" w:type="dxa"/>
            <w:shd w:val="clear" w:color="auto" w:fill="2F5496"/>
          </w:tcPr>
          <w:p w14:paraId="352F8CD9">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Step 4</w:t>
            </w:r>
          </w:p>
        </w:tc>
        <w:tc>
          <w:tcPr>
            <w:tcW w:w="1417" w:type="dxa"/>
            <w:shd w:val="clear" w:color="auto" w:fill="2F5496"/>
          </w:tcPr>
          <w:p w14:paraId="76E1B499">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Step 5</w:t>
            </w:r>
          </w:p>
        </w:tc>
        <w:tc>
          <w:tcPr>
            <w:tcW w:w="1417" w:type="dxa"/>
            <w:shd w:val="clear" w:color="auto" w:fill="2F5496"/>
          </w:tcPr>
          <w:p w14:paraId="198D9110">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Step 6</w:t>
            </w:r>
          </w:p>
        </w:tc>
        <w:tc>
          <w:tcPr>
            <w:tcW w:w="1417" w:type="dxa"/>
            <w:shd w:val="clear" w:color="auto" w:fill="2F5496"/>
          </w:tcPr>
          <w:p w14:paraId="4B8D6E6C">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Consistent?</w:t>
            </w:r>
          </w:p>
        </w:tc>
      </w:tr>
      <w:tr w14:paraId="749AAE43">
        <w:trPr>
          <w:jc w:val="center"/>
        </w:trPr>
        <w:tc>
          <w:tcPr>
            <w:tcW w:w="2268" w:type="dxa"/>
          </w:tcPr>
          <w:p w14:paraId="6B38D9F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Total rows</w:t>
            </w:r>
          </w:p>
        </w:tc>
        <w:tc>
          <w:tcPr>
            <w:tcW w:w="1417" w:type="dxa"/>
          </w:tcPr>
          <w:p w14:paraId="17FAE1A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6,340,667</w:t>
            </w:r>
          </w:p>
        </w:tc>
        <w:tc>
          <w:tcPr>
            <w:tcW w:w="1417" w:type="dxa"/>
          </w:tcPr>
          <w:p w14:paraId="2F5DBDD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6,340,667</w:t>
            </w:r>
          </w:p>
        </w:tc>
        <w:tc>
          <w:tcPr>
            <w:tcW w:w="1417" w:type="dxa"/>
          </w:tcPr>
          <w:p w14:paraId="2EEBB4C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6,340,667</w:t>
            </w:r>
          </w:p>
        </w:tc>
        <w:tc>
          <w:tcPr>
            <w:tcW w:w="1417" w:type="dxa"/>
          </w:tcPr>
          <w:p w14:paraId="4ED08E5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6,340,667</w:t>
            </w:r>
          </w:p>
        </w:tc>
        <w:tc>
          <w:tcPr>
            <w:tcW w:w="1417" w:type="dxa"/>
          </w:tcPr>
          <w:p w14:paraId="7943BF20">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Yes</w:t>
            </w:r>
          </w:p>
        </w:tc>
      </w:tr>
      <w:tr w14:paraId="6BFA5240">
        <w:trPr>
          <w:jc w:val="center"/>
        </w:trPr>
        <w:tc>
          <w:tcPr>
            <w:tcW w:w="2268" w:type="dxa"/>
            <w:shd w:val="clear" w:color="auto" w:fill="F2F2F2"/>
          </w:tcPr>
          <w:p w14:paraId="1E07842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Unique customers</w:t>
            </w:r>
          </w:p>
        </w:tc>
        <w:tc>
          <w:tcPr>
            <w:tcW w:w="1417" w:type="dxa"/>
            <w:shd w:val="clear" w:color="auto" w:fill="F2F2F2"/>
          </w:tcPr>
          <w:p w14:paraId="75CC5FB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936,829</w:t>
            </w:r>
          </w:p>
        </w:tc>
        <w:tc>
          <w:tcPr>
            <w:tcW w:w="1417" w:type="dxa"/>
            <w:shd w:val="clear" w:color="auto" w:fill="F2F2F2"/>
          </w:tcPr>
          <w:p w14:paraId="0F0D6D0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936,829</w:t>
            </w:r>
          </w:p>
        </w:tc>
        <w:tc>
          <w:tcPr>
            <w:tcW w:w="1417" w:type="dxa"/>
            <w:shd w:val="clear" w:color="auto" w:fill="F2F2F2"/>
          </w:tcPr>
          <w:p w14:paraId="7AD7C88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w:t>
            </w:r>
          </w:p>
        </w:tc>
        <w:tc>
          <w:tcPr>
            <w:tcW w:w="1417" w:type="dxa"/>
            <w:shd w:val="clear" w:color="auto" w:fill="F2F2F2"/>
          </w:tcPr>
          <w:p w14:paraId="3F20843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936,829</w:t>
            </w:r>
          </w:p>
        </w:tc>
        <w:tc>
          <w:tcPr>
            <w:tcW w:w="1417" w:type="dxa"/>
            <w:shd w:val="clear" w:color="auto" w:fill="F2F2F2"/>
          </w:tcPr>
          <w:p w14:paraId="16F8E99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Yes</w:t>
            </w:r>
          </w:p>
        </w:tc>
      </w:tr>
      <w:tr w14:paraId="0CB9CF76">
        <w:trPr>
          <w:jc w:val="center"/>
        </w:trPr>
        <w:tc>
          <w:tcPr>
            <w:tcW w:w="2268" w:type="dxa"/>
          </w:tcPr>
          <w:p w14:paraId="1B2C642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Prediction points</w:t>
            </w:r>
          </w:p>
        </w:tc>
        <w:tc>
          <w:tcPr>
            <w:tcW w:w="1417" w:type="dxa"/>
          </w:tcPr>
          <w:p w14:paraId="6E5D3A7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20</w:t>
            </w:r>
          </w:p>
        </w:tc>
        <w:tc>
          <w:tcPr>
            <w:tcW w:w="1417" w:type="dxa"/>
          </w:tcPr>
          <w:p w14:paraId="3B17C6A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20</w:t>
            </w:r>
          </w:p>
        </w:tc>
        <w:tc>
          <w:tcPr>
            <w:tcW w:w="1417" w:type="dxa"/>
          </w:tcPr>
          <w:p w14:paraId="6D4651E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20</w:t>
            </w:r>
          </w:p>
        </w:tc>
        <w:tc>
          <w:tcPr>
            <w:tcW w:w="1417" w:type="dxa"/>
          </w:tcPr>
          <w:p w14:paraId="47D7A32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20</w:t>
            </w:r>
          </w:p>
        </w:tc>
        <w:tc>
          <w:tcPr>
            <w:tcW w:w="1417" w:type="dxa"/>
          </w:tcPr>
          <w:p w14:paraId="03C64F3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Yes</w:t>
            </w:r>
          </w:p>
        </w:tc>
      </w:tr>
      <w:tr w14:paraId="276D4F3B">
        <w:trPr>
          <w:jc w:val="center"/>
        </w:trPr>
        <w:tc>
          <w:tcPr>
            <w:tcW w:w="2268" w:type="dxa"/>
            <w:shd w:val="clear" w:color="auto" w:fill="F2F2F2"/>
          </w:tcPr>
          <w:p w14:paraId="6005EA3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Batch size (2024-08-01)</w:t>
            </w:r>
          </w:p>
        </w:tc>
        <w:tc>
          <w:tcPr>
            <w:tcW w:w="1417" w:type="dxa"/>
            <w:shd w:val="clear" w:color="auto" w:fill="F2F2F2"/>
          </w:tcPr>
          <w:p w14:paraId="46EA4E6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313,427</w:t>
            </w:r>
          </w:p>
        </w:tc>
        <w:tc>
          <w:tcPr>
            <w:tcW w:w="1417" w:type="dxa"/>
            <w:shd w:val="clear" w:color="auto" w:fill="F2F2F2"/>
          </w:tcPr>
          <w:p w14:paraId="0653518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313,427</w:t>
            </w:r>
          </w:p>
        </w:tc>
        <w:tc>
          <w:tcPr>
            <w:tcW w:w="1417" w:type="dxa"/>
            <w:shd w:val="clear" w:color="auto" w:fill="F2F2F2"/>
          </w:tcPr>
          <w:p w14:paraId="494C34E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313,427</w:t>
            </w:r>
          </w:p>
        </w:tc>
        <w:tc>
          <w:tcPr>
            <w:tcW w:w="1417" w:type="dxa"/>
            <w:shd w:val="clear" w:color="auto" w:fill="F2F2F2"/>
          </w:tcPr>
          <w:p w14:paraId="6F8C30A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313,427</w:t>
            </w:r>
          </w:p>
        </w:tc>
        <w:tc>
          <w:tcPr>
            <w:tcW w:w="1417" w:type="dxa"/>
            <w:shd w:val="clear" w:color="auto" w:fill="F2F2F2"/>
          </w:tcPr>
          <w:p w14:paraId="16002F3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Yes</w:t>
            </w:r>
          </w:p>
        </w:tc>
      </w:tr>
    </w:tbl>
    <w:p w14:paraId="58C5A5C2">
      <w:pPr>
        <w:rPr>
          <w:rFonts w:hint="default" w:ascii="Times New Roman Regular" w:hAnsi="Times New Roman Regular" w:cs="Times New Roman Regular"/>
        </w:rPr>
      </w:pPr>
    </w:p>
    <w:p w14:paraId="3851DD7E">
      <w:pPr>
        <w:rPr>
          <w:rFonts w:hint="default" w:ascii="Times New Roman Regular" w:hAnsi="Times New Roman Regular" w:cs="Times New Roman Regular"/>
        </w:rPr>
      </w:pPr>
      <w:r>
        <w:rPr>
          <w:rFonts w:hint="default" w:ascii="Times New Roman Regular" w:hAnsi="Times New Roman Regular" w:cs="Times New Roman Regular"/>
        </w:rPr>
        <w:t>Row counts are perfectly preserved across all four steps, confirming that no records were silently dropped or duplicated during feature engineering, label construction, or assembly.</w:t>
      </w:r>
    </w:p>
    <w:p w14:paraId="5F0E4F6D">
      <w:pPr>
        <w:pStyle w:val="3"/>
        <w:rPr>
          <w:rFonts w:hint="default" w:ascii="Times New Roman Regular" w:hAnsi="Times New Roman Regular" w:cs="Times New Roman Regular"/>
        </w:rPr>
      </w:pPr>
      <w:r>
        <w:rPr>
          <w:rFonts w:hint="default" w:ascii="Times New Roman" w:hAnsi="Times New Roman Regular" w:cs="Times New Roman Regular"/>
          <w:lang w:val="vi-VN"/>
        </w:rPr>
        <w:t>6</w:t>
      </w:r>
      <w:r>
        <w:rPr>
          <w:rFonts w:hint="default" w:ascii="Times New Roman Regular" w:hAnsi="Times New Roman Regular" w:cs="Times New Roman Regular"/>
        </w:rPr>
        <w:t>. What Remains Unresolved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1976"/>
        <w:gridCol w:w="1972"/>
        <w:gridCol w:w="3372"/>
      </w:tblGrid>
      <w:tr w14:paraId="1C7A59B6">
        <w:trPr>
          <w:jc w:val="center"/>
        </w:trPr>
        <w:tc>
          <w:tcPr>
            <w:tcW w:w="2268" w:type="dxa"/>
            <w:shd w:val="clear" w:color="auto" w:fill="2F5496"/>
          </w:tcPr>
          <w:p w14:paraId="55F4B0AE">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Issue</w:t>
            </w:r>
          </w:p>
        </w:tc>
        <w:tc>
          <w:tcPr>
            <w:tcW w:w="1984" w:type="dxa"/>
            <w:shd w:val="clear" w:color="auto" w:fill="2F5496"/>
          </w:tcPr>
          <w:p w14:paraId="3CA8981D">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Source</w:t>
            </w:r>
          </w:p>
        </w:tc>
        <w:tc>
          <w:tcPr>
            <w:tcW w:w="1984" w:type="dxa"/>
            <w:shd w:val="clear" w:color="auto" w:fill="2F5496"/>
          </w:tcPr>
          <w:p w14:paraId="77D6DD30">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Risk</w:t>
            </w:r>
          </w:p>
        </w:tc>
        <w:tc>
          <w:tcPr>
            <w:tcW w:w="3402" w:type="dxa"/>
            <w:shd w:val="clear" w:color="auto" w:fill="2F5496"/>
          </w:tcPr>
          <w:p w14:paraId="1F04B881">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Plan</w:t>
            </w:r>
          </w:p>
        </w:tc>
      </w:tr>
      <w:tr w14:paraId="0DF675CB">
        <w:trPr>
          <w:jc w:val="center"/>
        </w:trPr>
        <w:tc>
          <w:tcPr>
            <w:tcW w:w="2268" w:type="dxa"/>
          </w:tcPr>
          <w:p w14:paraId="176DC35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High ipi_mean/ipi_std NaN rate (47.5% / 63.5%)</w:t>
            </w:r>
          </w:p>
        </w:tc>
        <w:tc>
          <w:tcPr>
            <w:tcW w:w="1984" w:type="dxa"/>
          </w:tcPr>
          <w:p w14:paraId="37D1F49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Single-purchase customers within obs windows</w:t>
            </w:r>
          </w:p>
        </w:tc>
        <w:tc>
          <w:tcPr>
            <w:tcW w:w="1984" w:type="dxa"/>
          </w:tcPr>
          <w:p w14:paraId="17CAEF5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Model may underweight IPI features</w:t>
            </w:r>
          </w:p>
        </w:tc>
        <w:tc>
          <w:tcPr>
            <w:tcW w:w="3402" w:type="dxa"/>
          </w:tcPr>
          <w:p w14:paraId="3A39FB32">
            <w:pPr>
              <w:spacing w:after="0" w:line="240" w:lineRule="auto"/>
              <w:rPr>
                <w:rFonts w:hint="default" w:ascii="Times New Roman Regular" w:hAnsi="Times New Roman Regular" w:cs="Times New Roman Regular"/>
                <w:lang w:val="vi-VN"/>
              </w:rPr>
            </w:pPr>
            <w:r>
              <w:rPr>
                <w:rFonts w:hint="default" w:ascii="Times New Roman" w:hAnsi="Times New Roman Regular" w:cs="Times New Roman Regular"/>
                <w:sz w:val="18"/>
                <w:lang w:val="vi-VN"/>
              </w:rPr>
              <w:t>XGBoost handles missing values natively. The contribution of IPI features will be evaluated during model interpretation.</w:t>
            </w:r>
          </w:p>
        </w:tc>
      </w:tr>
      <w:tr w14:paraId="4139CA21">
        <w:trPr>
          <w:jc w:val="center"/>
        </w:trPr>
        <w:tc>
          <w:tcPr>
            <w:tcW w:w="2268" w:type="dxa"/>
            <w:shd w:val="clear" w:color="auto" w:fill="F2F2F2"/>
          </w:tcPr>
          <w:p w14:paraId="30CB3B1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Extreme monetary skew (max 2.7B)</w:t>
            </w:r>
          </w:p>
        </w:tc>
        <w:tc>
          <w:tcPr>
            <w:tcW w:w="1984" w:type="dxa"/>
            <w:shd w:val="clear" w:color="auto" w:fill="F2F2F2"/>
          </w:tcPr>
          <w:p w14:paraId="1E96DA6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Long-tail B2B wholesale</w:t>
            </w:r>
          </w:p>
        </w:tc>
        <w:tc>
          <w:tcPr>
            <w:tcW w:w="1984" w:type="dxa"/>
            <w:shd w:val="clear" w:color="auto" w:fill="F2F2F2"/>
          </w:tcPr>
          <w:p w14:paraId="266253B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Could dominate tree splits</w:t>
            </w:r>
          </w:p>
        </w:tc>
        <w:tc>
          <w:tcPr>
            <w:tcW w:w="3402" w:type="dxa"/>
            <w:shd w:val="clear" w:color="auto" w:fill="F2F2F2"/>
          </w:tcPr>
          <w:p w14:paraId="1A0FF96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Log1p transformation is adopted as the default preprocessing strategy.</w:t>
            </w:r>
          </w:p>
        </w:tc>
      </w:tr>
      <w:tr w14:paraId="09F657E0">
        <w:trPr>
          <w:jc w:val="center"/>
        </w:trPr>
        <w:tc>
          <w:tcPr>
            <w:tcW w:w="2268" w:type="dxa"/>
          </w:tcPr>
          <w:p w14:paraId="7F703CB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Negative customer_tenure (0.2%)</w:t>
            </w:r>
          </w:p>
        </w:tc>
        <w:tc>
          <w:tcPr>
            <w:tcW w:w="1984" w:type="dxa"/>
          </w:tcPr>
          <w:p w14:paraId="28379AE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Erroneous company_create dates</w:t>
            </w:r>
          </w:p>
        </w:tc>
        <w:tc>
          <w:tcPr>
            <w:tcW w:w="1984" w:type="dxa"/>
          </w:tcPr>
          <w:p w14:paraId="1A840B57">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Minor — affects &lt; 0.2% of rows</w:t>
            </w:r>
          </w:p>
        </w:tc>
        <w:tc>
          <w:tcPr>
            <w:tcW w:w="3402" w:type="dxa"/>
          </w:tcPr>
          <w:p w14:paraId="3027520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Defer to XGBoost; if problematic, clip to 0</w:t>
            </w:r>
          </w:p>
        </w:tc>
      </w:tr>
      <w:tr w14:paraId="7313792D">
        <w:trPr>
          <w:jc w:val="center"/>
        </w:trPr>
        <w:tc>
          <w:tcPr>
            <w:tcW w:w="2268" w:type="dxa"/>
            <w:shd w:val="clear" w:color="auto" w:fill="F2F2F2"/>
          </w:tcPr>
          <w:p w14:paraId="113BEC2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L1 seasonal sensitivity (CNY spike to 69.7%)</w:t>
            </w:r>
          </w:p>
        </w:tc>
        <w:tc>
          <w:tcPr>
            <w:tcW w:w="1984" w:type="dxa"/>
            <w:shd w:val="clear" w:color="auto" w:fill="F2F2F2"/>
          </w:tcPr>
          <w:p w14:paraId="02AF468B">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Fixed threshold too short for seasonal pauses</w:t>
            </w:r>
          </w:p>
        </w:tc>
        <w:tc>
          <w:tcPr>
            <w:tcW w:w="1984" w:type="dxa"/>
            <w:shd w:val="clear" w:color="auto" w:fill="F2F2F2"/>
          </w:tcPr>
          <w:p w14:paraId="20178AF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L1 model may learn spurious CNY churn signal</w:t>
            </w:r>
          </w:p>
        </w:tc>
        <w:tc>
          <w:tcPr>
            <w:tcW w:w="3402" w:type="dxa"/>
            <w:shd w:val="clear" w:color="auto" w:fill="F2F2F2"/>
          </w:tcPr>
          <w:p w14:paraId="47B85CA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This is a known limitation of L1 — the factorial design explicitly compares L1 vs L2 to quantify this effect</w:t>
            </w:r>
          </w:p>
        </w:tc>
      </w:tr>
      <w:tr w14:paraId="04DD6028">
        <w:trPr>
          <w:jc w:val="center"/>
        </w:trPr>
        <w:tc>
          <w:tcPr>
            <w:tcW w:w="2268" w:type="dxa"/>
          </w:tcPr>
          <w:p w14:paraId="016C8DB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L2 threshold early-batch volatility (CV 18–27%)</w:t>
            </w:r>
          </w:p>
        </w:tc>
        <w:tc>
          <w:tcPr>
            <w:tcW w:w="1984" w:type="dxa"/>
          </w:tcPr>
          <w:p w14:paraId="63944708">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Cumulative percentile estimator with limited early data</w:t>
            </w:r>
          </w:p>
        </w:tc>
        <w:tc>
          <w:tcPr>
            <w:tcW w:w="1984" w:type="dxa"/>
          </w:tcPr>
          <w:p w14:paraId="0BE53AB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First 2–3 batches may have noisy labels</w:t>
            </w:r>
          </w:p>
        </w:tc>
        <w:tc>
          <w:tcPr>
            <w:tcW w:w="3402" w:type="dxa"/>
          </w:tcPr>
          <w:p w14:paraId="4F57141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This will be evaluated during model development.</w:t>
            </w:r>
          </w:p>
        </w:tc>
      </w:tr>
    </w:tbl>
    <w:p w14:paraId="11B2D68A">
      <w:pPr>
        <w:rPr>
          <w:rFonts w:hint="default" w:ascii="Times New Roman Regular" w:hAnsi="Times New Roman Regular" w:cs="Times New Roman Regular"/>
        </w:rPr>
      </w:pPr>
    </w:p>
    <w:p w14:paraId="4BCDD767">
      <w:pPr>
        <w:pStyle w:val="3"/>
        <w:rPr>
          <w:rFonts w:hint="default" w:ascii="Times New Roman Regular" w:hAnsi="Times New Roman Regular" w:cs="Times New Roman Regular"/>
        </w:rPr>
      </w:pPr>
      <w:r>
        <w:rPr>
          <w:rFonts w:hint="default" w:ascii="Times New Roman" w:hAnsi="Times New Roman Regular" w:cs="Times New Roman Regular"/>
          <w:lang w:val="vi-VN"/>
        </w:rPr>
        <w:t>7</w:t>
      </w:r>
      <w:r>
        <w:rPr>
          <w:rFonts w:hint="default" w:ascii="Times New Roman Regular" w:hAnsi="Times New Roman Regular" w:cs="Times New Roman Regular"/>
        </w:rPr>
        <w:t>. Summary and Readiness for Modeling</w:t>
      </w:r>
    </w:p>
    <w:p w14:paraId="3F474BFC">
      <w:pPr>
        <w:rPr>
          <w:rFonts w:hint="default" w:ascii="Times New Roman Regular" w:hAnsi="Times New Roman Regular" w:cs="Times New Roman Regular"/>
        </w:rPr>
      </w:pPr>
      <w:r>
        <w:rPr>
          <w:rFonts w:hint="default" w:ascii="Times New Roman Regular" w:hAnsi="Times New Roman Regular" w:cs="Times New Roman Regular"/>
        </w:rPr>
        <w:t xml:space="preserve">The data processing pipeline is complete. Starting from 15.3 million raw sales records, the preprocessing pipeline produced dataset_final.parquet, containing 6,340,667 customer–prediction-point observations with 25 engineered features and two churn labels (L1 fixed and L2 category-level dynamic) </w:t>
      </w:r>
      <w:r>
        <w:rPr>
          <w:rFonts w:hint="default" w:ascii="Times New Roman Regular" w:hAnsi="Times New Roman Regular" w:cs="Times New Roman Regular"/>
          <w:vertAlign w:val="superscript"/>
        </w:rPr>
        <w:t>[2, 3]</w:t>
      </w:r>
      <w:r>
        <w:rPr>
          <w:rFonts w:hint="default" w:ascii="Times New Roman Regular" w:hAnsi="Times New Roman Regular" w:cs="Times New Roman Regular"/>
        </w:rPr>
        <w:t>. The resulting dataset has been validated for temporal integrity, completeness, and cross-step consistency, and is ready for model development.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3118"/>
        <w:gridCol w:w="1417"/>
      </w:tblGrid>
      <w:tr w14:paraId="1F0358B2">
        <w:trPr>
          <w:jc w:val="center"/>
        </w:trPr>
        <w:tc>
          <w:tcPr>
            <w:tcW w:w="2268" w:type="dxa"/>
            <w:shd w:val="clear" w:color="auto" w:fill="2F5496"/>
          </w:tcPr>
          <w:p w14:paraId="71EF10F1">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Requirement</w:t>
            </w:r>
          </w:p>
        </w:tc>
        <w:tc>
          <w:tcPr>
            <w:tcW w:w="2268" w:type="dxa"/>
            <w:shd w:val="clear" w:color="auto" w:fill="2F5496"/>
          </w:tcPr>
          <w:p w14:paraId="00FCDAC1">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Target</w:t>
            </w:r>
          </w:p>
        </w:tc>
        <w:tc>
          <w:tcPr>
            <w:tcW w:w="3118" w:type="dxa"/>
            <w:shd w:val="clear" w:color="auto" w:fill="2F5496"/>
          </w:tcPr>
          <w:p w14:paraId="1A27109A">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Actual</w:t>
            </w:r>
          </w:p>
        </w:tc>
        <w:tc>
          <w:tcPr>
            <w:tcW w:w="1417" w:type="dxa"/>
            <w:shd w:val="clear" w:color="auto" w:fill="2F5496"/>
          </w:tcPr>
          <w:p w14:paraId="700CDE03">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FFFFFF"/>
                <w:sz w:val="18"/>
              </w:rPr>
              <w:t>Status</w:t>
            </w:r>
          </w:p>
        </w:tc>
      </w:tr>
      <w:tr w14:paraId="25F33A45">
        <w:trPr>
          <w:jc w:val="center"/>
        </w:trPr>
        <w:tc>
          <w:tcPr>
            <w:tcW w:w="2268" w:type="dxa"/>
          </w:tcPr>
          <w:p w14:paraId="4892E354">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Leakage-free temporal design</w:t>
            </w:r>
          </w:p>
        </w:tc>
        <w:tc>
          <w:tcPr>
            <w:tcW w:w="2268" w:type="dxa"/>
          </w:tcPr>
          <w:p w14:paraId="4079601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Strict obs/label separation</w:t>
            </w:r>
          </w:p>
        </w:tc>
        <w:tc>
          <w:tcPr>
            <w:tcW w:w="3118" w:type="dxa"/>
          </w:tcPr>
          <w:p w14:paraId="39C9D4B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11/11 validation checks passed</w:t>
            </w:r>
          </w:p>
        </w:tc>
        <w:tc>
          <w:tcPr>
            <w:tcW w:w="1417" w:type="dxa"/>
          </w:tcPr>
          <w:p w14:paraId="1435FAF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Ready</w:t>
            </w:r>
          </w:p>
        </w:tc>
      </w:tr>
      <w:tr w14:paraId="29EC0E28">
        <w:trPr>
          <w:jc w:val="center"/>
        </w:trPr>
        <w:tc>
          <w:tcPr>
            <w:tcW w:w="2268" w:type="dxa"/>
            <w:shd w:val="clear" w:color="auto" w:fill="F2F2F2"/>
          </w:tcPr>
          <w:p w14:paraId="2030EA0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Dual labeling schemes</w:t>
            </w:r>
          </w:p>
        </w:tc>
        <w:tc>
          <w:tcPr>
            <w:tcW w:w="2268" w:type="dxa"/>
            <w:shd w:val="clear" w:color="auto" w:fill="F2F2F2"/>
          </w:tcPr>
          <w:p w14:paraId="338F44D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L1 (fixed) + L2 (dynamic)</w:t>
            </w:r>
          </w:p>
        </w:tc>
        <w:tc>
          <w:tcPr>
            <w:tcW w:w="3118" w:type="dxa"/>
            <w:shd w:val="clear" w:color="auto" w:fill="F2F2F2"/>
          </w:tcPr>
          <w:p w14:paraId="49890C6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Both constructed, 88.2% agreement, 11.8% meaningful disagreement</w:t>
            </w:r>
          </w:p>
        </w:tc>
        <w:tc>
          <w:tcPr>
            <w:tcW w:w="1417" w:type="dxa"/>
            <w:shd w:val="clear" w:color="auto" w:fill="F2F2F2"/>
          </w:tcPr>
          <w:p w14:paraId="3CCC1F6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Ready</w:t>
            </w:r>
          </w:p>
        </w:tc>
      </w:tr>
      <w:tr w14:paraId="4D584E44">
        <w:trPr>
          <w:jc w:val="center"/>
        </w:trPr>
        <w:tc>
          <w:tcPr>
            <w:tcW w:w="2268" w:type="dxa"/>
          </w:tcPr>
          <w:p w14:paraId="3682A0F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Sufficient feature coverage</w:t>
            </w:r>
          </w:p>
        </w:tc>
        <w:tc>
          <w:tcPr>
            <w:tcW w:w="2268" w:type="dxa"/>
          </w:tcPr>
          <w:p w14:paraId="0BD42A1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 20 features</w:t>
            </w:r>
          </w:p>
        </w:tc>
        <w:tc>
          <w:tcPr>
            <w:tcW w:w="3118" w:type="dxa"/>
          </w:tcPr>
          <w:p w14:paraId="4B0A99C6">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25 features across 3 categories</w:t>
            </w:r>
          </w:p>
        </w:tc>
        <w:tc>
          <w:tcPr>
            <w:tcW w:w="1417" w:type="dxa"/>
          </w:tcPr>
          <w:p w14:paraId="50A84D0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Ready</w:t>
            </w:r>
          </w:p>
        </w:tc>
      </w:tr>
      <w:tr w14:paraId="647C90B7">
        <w:trPr>
          <w:jc w:val="center"/>
        </w:trPr>
        <w:tc>
          <w:tcPr>
            <w:tcW w:w="2268" w:type="dxa"/>
            <w:shd w:val="clear" w:color="auto" w:fill="F2F2F2"/>
          </w:tcPr>
          <w:p w14:paraId="5124909F">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Class balance documented</w:t>
            </w:r>
          </w:p>
        </w:tc>
        <w:tc>
          <w:tcPr>
            <w:tcW w:w="2268" w:type="dxa"/>
            <w:shd w:val="clear" w:color="auto" w:fill="F2F2F2"/>
          </w:tcPr>
          <w:p w14:paraId="3EAF5421">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SPW per batch</w:t>
            </w:r>
          </w:p>
        </w:tc>
        <w:tc>
          <w:tcPr>
            <w:tcW w:w="3118" w:type="dxa"/>
            <w:shd w:val="clear" w:color="auto" w:fill="F2F2F2"/>
          </w:tcPr>
          <w:p w14:paraId="0DE9A96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Computed for both schemes</w:t>
            </w:r>
          </w:p>
        </w:tc>
        <w:tc>
          <w:tcPr>
            <w:tcW w:w="1417" w:type="dxa"/>
            <w:shd w:val="clear" w:color="auto" w:fill="F2F2F2"/>
          </w:tcPr>
          <w:p w14:paraId="04260B2E">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Ready</w:t>
            </w:r>
          </w:p>
        </w:tc>
      </w:tr>
      <w:tr w14:paraId="3F5F5A79">
        <w:trPr>
          <w:jc w:val="center"/>
        </w:trPr>
        <w:tc>
          <w:tcPr>
            <w:tcW w:w="2268" w:type="dxa"/>
          </w:tcPr>
          <w:p w14:paraId="4EC6FEFD">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Feature stability</w:t>
            </w:r>
          </w:p>
        </w:tc>
        <w:tc>
          <w:tcPr>
            <w:tcW w:w="2268" w:type="dxa"/>
          </w:tcPr>
          <w:p w14:paraId="33D9035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Low batch-to-batch drift</w:t>
            </w:r>
          </w:p>
        </w:tc>
        <w:tc>
          <w:tcPr>
            <w:tcW w:w="3118" w:type="dxa"/>
          </w:tcPr>
          <w:p w14:paraId="2EAD070C">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CV &lt; 10% for 4/5 key features</w:t>
            </w:r>
          </w:p>
        </w:tc>
        <w:tc>
          <w:tcPr>
            <w:tcW w:w="1417" w:type="dxa"/>
          </w:tcPr>
          <w:p w14:paraId="08F9B255">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Ready</w:t>
            </w:r>
          </w:p>
        </w:tc>
      </w:tr>
      <w:tr w14:paraId="6DCA87E2">
        <w:trPr>
          <w:jc w:val="center"/>
        </w:trPr>
        <w:tc>
          <w:tcPr>
            <w:tcW w:w="2268" w:type="dxa"/>
            <w:shd w:val="clear" w:color="auto" w:fill="F2F2F2"/>
          </w:tcPr>
          <w:p w14:paraId="7571C912">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Single modeling-ready file</w:t>
            </w:r>
          </w:p>
        </w:tc>
        <w:tc>
          <w:tcPr>
            <w:tcW w:w="2268" w:type="dxa"/>
            <w:shd w:val="clear" w:color="auto" w:fill="F2F2F2"/>
          </w:tcPr>
          <w:p w14:paraId="560A2A7A">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All keys, features, labels</w:t>
            </w:r>
          </w:p>
        </w:tc>
        <w:tc>
          <w:tcPr>
            <w:tcW w:w="3118" w:type="dxa"/>
            <w:shd w:val="clear" w:color="auto" w:fill="F2F2F2"/>
          </w:tcPr>
          <w:p w14:paraId="0343ECC3">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34-column Parquet, 201.7 MB</w:t>
            </w:r>
          </w:p>
        </w:tc>
        <w:tc>
          <w:tcPr>
            <w:tcW w:w="1417" w:type="dxa"/>
            <w:shd w:val="clear" w:color="auto" w:fill="F2F2F2"/>
          </w:tcPr>
          <w:p w14:paraId="2A9C82B9">
            <w:pPr>
              <w:spacing w:after="0" w:line="240" w:lineRule="auto"/>
              <w:rPr>
                <w:rFonts w:hint="default" w:ascii="Times New Roman Regular" w:hAnsi="Times New Roman Regular" w:cs="Times New Roman Regular"/>
              </w:rPr>
            </w:pPr>
            <w:r>
              <w:rPr>
                <w:rFonts w:hint="default" w:ascii="Times New Roman Regular" w:hAnsi="Times New Roman Regular" w:cs="Times New Roman Regular"/>
                <w:sz w:val="18"/>
              </w:rPr>
              <w:t>Ready</w:t>
            </w:r>
          </w:p>
        </w:tc>
      </w:tr>
    </w:tbl>
    <w:p w14:paraId="1E9E15B3">
      <w:pPr>
        <w:rPr>
          <w:rFonts w:hint="default" w:ascii="Times New Roman Regular" w:hAnsi="Times New Roman Regular" w:cs="Times New Roman Regular"/>
        </w:rPr>
      </w:pPr>
    </w:p>
    <w:p w14:paraId="0E2755DD">
      <w:pPr>
        <w:rPr>
          <w:rFonts w:hint="default" w:ascii="Times New Roman Regular" w:hAnsi="Times New Roman Regular" w:cs="Times New Roman Regular"/>
        </w:rPr>
      </w:pPr>
      <w:r>
        <w:rPr>
          <w:rFonts w:hint="default" w:ascii="Times New Roman Regular" w:hAnsi="Times New Roman Regular" w:cs="Times New Roman Regular"/>
          <w:b/>
        </w:rPr>
        <w:t>The dataset is ready for the 2×4 factorial experiment.</w:t>
      </w:r>
    </w:p>
    <w:p w14:paraId="75AF0C82">
      <w:pPr>
        <w:pStyle w:val="3"/>
        <w:rPr>
          <w:rFonts w:hint="default" w:ascii="Times New Roman Regular" w:hAnsi="Times New Roman Regular" w:cs="Times New Roman Regular"/>
        </w:rPr>
      </w:pPr>
      <w:r>
        <w:rPr>
          <w:rFonts w:hint="default" w:ascii="Times New Roman Regular" w:hAnsi="Times New Roman Regular" w:cs="Times New Roman Regular"/>
        </w:rPr>
        <w:t>9. References</w:t>
      </w:r>
    </w:p>
    <w:p w14:paraId="5CE05495">
      <w:pPr>
        <w:pStyle w:val="23"/>
        <w:spacing w:after="80"/>
        <w:rPr>
          <w:rFonts w:hint="default" w:ascii="Times New Roman Regular" w:hAnsi="Times New Roman Regular" w:cs="Times New Roman Regular"/>
        </w:rPr>
      </w:pPr>
      <w:r>
        <w:rPr>
          <w:rFonts w:hint="default" w:ascii="Times New Roman Regular" w:hAnsi="Times New Roman Regular" w:cs="Times New Roman Regular"/>
        </w:rPr>
        <w:t>[1] De Caigny, A., Coussement, K., De Bock, K. W., &amp; Lessmann, S. (2023). Leveraging purchase sequence information for churn prediction with latent Dirichlet allocation. Expert Systems with Applications, 232, 120596.</w:t>
      </w:r>
    </w:p>
    <w:p w14:paraId="56650DDA">
      <w:pPr>
        <w:pStyle w:val="23"/>
        <w:spacing w:after="80"/>
        <w:rPr>
          <w:rFonts w:hint="default" w:ascii="Times New Roman Regular" w:hAnsi="Times New Roman Regular" w:cs="Times New Roman Regular"/>
        </w:rPr>
      </w:pPr>
      <w:r>
        <w:rPr>
          <w:rFonts w:hint="default" w:ascii="Times New Roman Regular" w:hAnsi="Times New Roman Regular" w:cs="Times New Roman Regular"/>
        </w:rPr>
        <w:t>[2] Gattermann-Itschert, T., &amp; Thonemann, U. W. (2022). Proactive customer retention management in a non-contractual B2B setting based on churn prediction with random forests. Industrial Marketing Management, 107, 134–147.</w:t>
      </w:r>
    </w:p>
    <w:p w14:paraId="5F30DFC2">
      <w:pPr>
        <w:pStyle w:val="23"/>
        <w:spacing w:after="80"/>
        <w:rPr>
          <w:rFonts w:hint="default" w:ascii="Times New Roman Regular" w:hAnsi="Times New Roman Regular" w:cs="Times New Roman Regular"/>
        </w:rPr>
      </w:pPr>
      <w:r>
        <w:rPr>
          <w:rFonts w:hint="default" w:ascii="Times New Roman Regular" w:hAnsi="Times New Roman Regular" w:cs="Times New Roman Regular"/>
        </w:rPr>
        <w:t>[3] Jain, H., Yadav, G., &amp; Manohar, R. (2024). XGBoost-based customer churn prediction with SHAP interpretability in the telecommunications industry. Journal of Computational Science, 75, 102199.</w:t>
      </w:r>
    </w:p>
    <w:p w14:paraId="134D3904">
      <w:pPr>
        <w:pStyle w:val="23"/>
        <w:spacing w:after="80"/>
        <w:rPr>
          <w:rFonts w:hint="default" w:ascii="Times New Roman Regular" w:hAnsi="Times New Roman Regular" w:cs="Times New Roman Regular"/>
        </w:rPr>
      </w:pPr>
      <w:r>
        <w:rPr>
          <w:rFonts w:hint="default" w:ascii="Times New Roman Regular" w:hAnsi="Times New Roman Regular" w:cs="Times New Roman Regular"/>
        </w:rPr>
        <w:t>[4] Mena, G., De Caigny, A., Coussement, K., De Bock, K. W., &amp; Lessmann, S. (2023). Churn prediction with sequential patterns and machine learning. European Journal of Operational Research, 305(2), 1048–1065.</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FB56CF6"/>
    <w:multiLevelType w:val="singleLevel"/>
    <w:tmpl w:val="6FB56CF6"/>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5"/>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E74CD1"/>
    <w:rsid w:val="6FEA6F17"/>
    <w:rsid w:val="DBDE6CEB"/>
    <w:rsid w:val="DEDF34CA"/>
    <w:rsid w:val="DF7AE9E1"/>
    <w:rsid w:val="EDB317D6"/>
    <w:rsid w:val="EFFBB136"/>
    <w:rsid w:val="FFE957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PHƯƠNG THẢODƯƠNG</cp:lastModifiedBy>
  <dcterms:modified xsi:type="dcterms:W3CDTF">2026-08-02T23:49:09Z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97C0173FA826515557376F6A463518B1_42</vt:lpwstr>
  </property>
</Properties>
</file>