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8"/>
          <w:szCs w:val="28"/>
        </w:rPr>
        <w:t xml:space="preserve">MIS780 Advanced AI for Business — Assessment 2</w:t>
      </w:r>
    </w:p>
    <w:p>
      <w:pPr>
        <w:spacing w:after="360" w:before="0"/>
        <w:jc w:val="center"/>
      </w:pPr>
      <w:r>
        <w:rPr>
          <w:sz w:val="24"/>
          <w:szCs w:val="24"/>
        </w:rPr>
        <w:t xml:space="preserve">Task 3 — 24-Hour PM2.5 Forecasting with Recurrent Neural Networks</w:t>
      </w:r>
    </w:p>
    <w:p>
      <w:pPr>
        <w:spacing w:after="80" w:before="0"/>
        <w:jc w:val="center"/>
      </w:pPr>
      <w:r>
        <w:rPr>
          <w:sz w:val="22"/>
          <w:szCs w:val="22"/>
        </w:rPr>
        <w:t xml:space="preserve">Phuong Viet Dang  ·  Student ID 224383373</w:t>
      </w:r>
    </w:p>
    <w:p>
      <w:pPr>
        <w:spacing w:after="480" w:before="0"/>
        <w:jc w:val="center"/>
      </w:pPr>
      <w:r>
        <w:rPr>
          <w:i/>
          <w:iCs/>
          <w:color w:val="595959"/>
          <w:sz w:val="22"/>
          <w:szCs w:val="22"/>
        </w:rPr>
        <w:t xml:space="preserve">Trimester 2, 2025</w:t>
      </w:r>
    </w:p>
    <w:p>
      <w:pPr>
        <w:pStyle w:val="Heading1"/>
        <w:spacing w:after="180" w:before="360"/>
      </w:pPr>
      <w:r>
        <w:t xml:space="preserve">1. Executive Summary</w:t>
      </w:r>
    </w:p>
    <w:p>
      <w:pPr>
        <w:spacing w:after="80" w:before="80" w:line="300"/>
      </w:pPr>
      <w:r>
        <w:t xml:space="preserve">Air-quality forecasting plays a critical role in public health response and urban environmental planning. This task uses a multivariate hourly time-series spanning March 2013 to February 2017 to develop and evaluate Recurrent Neural Network (RNN) models that predict PM2.5 concentrations 24 hours ahead from a 21-day lookback window.</w:t>
      </w:r>
    </w:p>
    <w:p>
      <w:pPr>
        <w:spacing w:after="80" w:before="80" w:line="300"/>
      </w:pPr>
      <w:r>
        <w:t xml:space="preserve">Six RNN architectures were trained under identical conditions and benchmarked against a naïve repeat-last baseline, with January 2016 used as a strict hold-out test set. The best model (GRU-128 with MAE loss) achieved test MAE of 45.64 µg/m³ and RMSE of 64.70 µg/m³, reducing error by approximately 35% versus the naïve baseline.</w:t>
      </w:r>
    </w:p>
    <w:p>
      <w:pPr>
        <w:spacing w:after="80" w:before="80" w:line="300"/>
      </w:pPr>
      <w:r>
        <w:t xml:space="preserve">However, the headline metric hides a material limitation: examining the model's behaviour on individual forecast windows reveals systematic regression-to-the-mean — peak-pollution episodes are under-predicted and clean-air days are over-predicted. This is the most important finding of the assessment, and it directly motivates the recommendations for future work (peak-aware loss, quantile forecasts, and multi-station modelling).</w:t>
      </w:r>
    </w:p>
    <w:p>
      <w:pPr>
        <w:spacing w:after="80" w:before="80" w:line="300"/>
        <w:rPr>
          <w:i/>
          <w:iCs/>
        </w:rPr>
      </w:pPr>
      <w:r>
        <w:rPr>
          <w:i/>
          <w:iCs/>
        </w:rPr>
        <w:t xml:space="preserve">The model is fit-for-purpose as a directional 0–6 hour advisory tool and as a baseline for further development. It is not yet suitable for operational decisions on extreme-pollution days, where the regression-to-mean behaviour would systematically miss the events the alert system is designed to catch.</w:t>
      </w:r>
    </w:p>
    <w:p>
      <w:pPr>
        <w:pStyle w:val="Heading1"/>
        <w:spacing w:after="180" w:before="360"/>
      </w:pPr>
      <w:r>
        <w:t xml:space="preserve">2. Data Preprocessing</w:t>
      </w:r>
    </w:p>
    <w:p>
      <w:pPr>
        <w:pStyle w:val="Heading2"/>
        <w:spacing w:after="120" w:before="240"/>
      </w:pPr>
      <w:r>
        <w:t xml:space="preserve">2.1 Dataset</w:t>
      </w:r>
    </w:p>
    <w:p>
      <w:pPr>
        <w:spacing w:after="80" w:before="80" w:line="300"/>
      </w:pPr>
      <w:r>
        <w:t xml:space="preserve">The dataset contains 35,064 hourly observations from a single monitoring station spanning 2013-03-01 to 2017-02-28. Variables include the target (PM2.5) and ten covariates: SO2, NO2, CO, O3 (pollutants); TEMP, PRES, DEWP, WSPM (meteorological); plus derived cyclical time features.</w:t>
      </w:r>
    </w:p>
    <w:p>
      <w:pPr>
        <w:pStyle w:val="Heading2"/>
        <w:spacing w:after="120" w:before="240"/>
      </w:pPr>
      <w:r>
        <w:t xml:space="preserve">2.2 Cleaning</w:t>
      </w:r>
    </w:p>
    <w:p>
      <w:pPr>
        <w:pStyle w:val="ListParagraph"/>
        <w:numPr>
          <w:ilvl w:val="0"/>
          <w:numId w:val="2"/>
        </w:numPr>
        <w:spacing w:after="40" w:before="40" w:line="280"/>
      </w:pPr>
      <w:r>
        <w:t xml:space="preserve">Missing values: 1,198 cells across NO2 (692) and O3 (506). Handled via forward-fill then back-fill to maintain temporal continuity without introducing future leakage.</w:t>
      </w:r>
    </w:p>
    <w:p>
      <w:pPr>
        <w:pStyle w:val="ListParagraph"/>
        <w:numPr>
          <w:ilvl w:val="0"/>
          <w:numId w:val="2"/>
        </w:numPr>
        <w:spacing w:after="40" w:before="40" w:line="280"/>
      </w:pPr>
      <w:r>
        <w:t xml:space="preserve">Datetime parsing: source uses day-first format (e.g., '1/03/2013 0:00'); explicit dayfirst=True flag avoids the silent month/day swap that pandas defaults can introduce.</w:t>
      </w:r>
    </w:p>
    <w:p>
      <w:pPr>
        <w:pStyle w:val="ListParagraph"/>
        <w:numPr>
          <w:ilvl w:val="0"/>
          <w:numId w:val="2"/>
        </w:numPr>
        <w:spacing w:after="40" w:before="40" w:line="280"/>
      </w:pPr>
      <w:r>
        <w:t xml:space="preserve">Type conversion and time-ordered sort applied before any train/validation/test split.</w:t>
      </w:r>
    </w:p>
    <w:p>
      <w:pPr>
        <w:pStyle w:val="Heading2"/>
        <w:spacing w:after="120" w:before="240"/>
      </w:pPr>
      <w:r>
        <w:t xml:space="preserve">2.3 Feature Engineering</w:t>
      </w:r>
    </w:p>
    <w:p>
      <w:pPr>
        <w:spacing w:after="80" w:before="80" w:line="300"/>
      </w:pPr>
      <w:r>
        <w:t xml:space="preserve">Cyclic encodings of hour-of-day (sin_hour, cos_hour) and day-of-week (sin_dow, cos_dow) were added so the network does not have to learn that hour 23 and hour 0 are adjacent. Total feature count: 13.</w:t>
      </w:r>
    </w:p>
    <w:p>
      <w:pPr>
        <w:pStyle w:val="Heading2"/>
        <w:spacing w:after="120" w:before="240"/>
      </w:pPr>
      <w:r>
        <w:t xml:space="preserve">2.4 Scaling</w:t>
      </w:r>
    </w:p>
    <w:p>
      <w:pPr>
        <w:spacing w:after="80" w:before="80" w:line="300"/>
      </w:pPr>
      <w:r>
        <w:t xml:space="preserve">All features were scaled with MinMaxScaler fit on the training set only, with separate scalers for inputs and target. Predictions are inverse-transformed and clipped at zero before evaluation.</w:t>
      </w:r>
    </w:p>
    <w:p>
      <w:pPr>
        <w:pStyle w:val="Heading2"/>
        <w:spacing w:after="120" w:before="240"/>
      </w:pPr>
      <w:r>
        <w:t xml:space="preserve">2.5 Sequence Generation and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900"/>
        <w:gridCol w:w="1960"/>
      </w:tblGrid>
      <w:tr>
        <w:trPr>
          <w:tblHeader/>
        </w:trPr>
        <w:tc>
          <w:tcPr>
            <w:tcW w:type="dxa" w:w="15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Split</w:t>
            </w:r>
          </w:p>
        </w:tc>
        <w:tc>
          <w:tcPr>
            <w:tcW w:type="dxa" w:w="40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Date range</w:t>
            </w:r>
          </w:p>
        </w:tc>
        <w:tc>
          <w:tcPr>
            <w:tcW w:type="dxa" w:w="19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Hours</w:t>
            </w:r>
          </w:p>
        </w:tc>
        <w:tc>
          <w:tcPr>
            <w:tcW w:type="dxa" w:w="19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Forecast windows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Train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2013-03-01 → 2015-10-30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22,378</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21,850</w:t>
            </w:r>
          </w:p>
        </w:tc>
      </w:tr>
      <w:tr>
        <w:trPr>
          <w:tblHeader w:val="false"/>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Validation</w:t>
            </w:r>
          </w:p>
        </w:tc>
        <w:tc>
          <w:tcPr>
            <w:tcW w:type="dxa" w:w="4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2015-11-01 → 2015-12-31 (last 10% of train)</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2,486</w:t>
            </w:r>
          </w:p>
        </w:tc>
        <w:tc>
          <w:tcPr>
            <w:tcW w:type="dxa" w:w="1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1,958</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Test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2016-01-01 → 2016-01-31 (strict hold-out)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744</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721</w:t>
            </w:r>
          </w:p>
        </w:tc>
      </w:tr>
    </w:tbl>
    <w:p>
      <w:pPr>
        <w:spacing w:after="80" w:before="0"/>
      </w:pPr>
      <w:r>
        <w:t xml:space="preserve"/>
      </w:r>
    </w:p>
    <w:p>
      <w:pPr>
        <w:spacing w:after="80" w:before="80" w:line="300"/>
      </w:pPr>
      <w:r>
        <w:t xml:space="preserve">Validation is the chronological tail of training (no shuffling), preserving time order. When forming test windows, the last 504 training hours are bridged so the first January-1 forecast has full context using past data only — no leakage.</w:t>
      </w:r>
    </w:p>
    <w:p>
      <w:pPr>
        <w:pStyle w:val="Heading2"/>
        <w:spacing w:after="120" w:before="240"/>
      </w:pPr>
      <w:r>
        <w:t xml:space="preserve">2.6 Exploratory Analysis</w:t>
      </w:r>
    </w:p>
    <w:p>
      <w:pPr>
        <w:pStyle w:val="ListParagraph"/>
        <w:numPr>
          <w:ilvl w:val="0"/>
          <w:numId w:val="2"/>
        </w:numPr>
        <w:spacing w:after="40" w:before="40" w:line="280"/>
      </w:pPr>
      <w:r>
        <w:t xml:space="preserve">Coverage is dense and continuous across the four years; no gaps requiring imputation beyond cell-level missing values.</w:t>
      </w:r>
    </w:p>
    <w:p>
      <w:pPr>
        <w:pStyle w:val="ListParagraph"/>
        <w:numPr>
          <w:ilvl w:val="0"/>
          <w:numId w:val="2"/>
        </w:numPr>
        <w:spacing w:after="40" w:before="40" w:line="280"/>
      </w:pPr>
      <w:r>
        <w:t xml:space="preserve">Target distribution is heavy-tailed: median ≈ 60 µg/m³, p95 ≈ 247, p99 ≈ 378. Extreme episodes are rare but high-magnitude — this is what makes peak prediction hard.</w:t>
      </w:r>
    </w:p>
    <w:p>
      <w:pPr>
        <w:pStyle w:val="ListParagraph"/>
        <w:numPr>
          <w:ilvl w:val="0"/>
          <w:numId w:val="2"/>
        </w:numPr>
        <w:spacing w:after="40" w:before="40" w:line="280"/>
      </w:pPr>
      <w:r>
        <w:t xml:space="preserve">Diurnal profile shows elevated PM2.5 at morning and evening rush hours — captured by the cyclic time features.</w:t>
      </w:r>
    </w:p>
    <w:p>
      <w:pPr>
        <w:pStyle w:val="ListParagraph"/>
        <w:numPr>
          <w:ilvl w:val="0"/>
          <w:numId w:val="2"/>
        </w:numPr>
        <w:spacing w:after="40" w:before="40" w:line="280"/>
      </w:pPr>
      <w:r>
        <w:t xml:space="preserve">PM2.5 correlates positively with PM10 (where available), CO, and NO2; weak/inverse with wind speed.</w:t>
      </w:r>
    </w:p>
    <w:p>
      <w:pPr>
        <w:pStyle w:val="Heading1"/>
        <w:spacing w:after="180" w:before="360"/>
      </w:pPr>
      <w:r>
        <w:t xml:space="preserve">3. Predictive Modelling</w:t>
      </w:r>
    </w:p>
    <w:p>
      <w:pPr>
        <w:pStyle w:val="Heading2"/>
        <w:spacing w:after="120" w:before="240"/>
      </w:pPr>
      <w:r>
        <w:t xml:space="preserve">3.1 Forecasting Setup</w:t>
      </w:r>
    </w:p>
    <w:p>
      <w:pPr>
        <w:pStyle w:val="ListParagraph"/>
        <w:numPr>
          <w:ilvl w:val="0"/>
          <w:numId w:val="2"/>
        </w:numPr>
        <w:spacing w:after="40" w:before="40" w:line="280"/>
      </w:pPr>
      <w:r>
        <w:rPr>
          <w:b/>
          <w:bCs/>
        </w:rPr>
        <w:t xml:space="preserve">Task: </w:t>
      </w:r>
      <w:r>
        <w:t xml:space="preserve">predict hourly PM2.5 for the next 24 hours (direct multi-step output: one model produces the full 24-value vector).</w:t>
      </w:r>
    </w:p>
    <w:p>
      <w:pPr>
        <w:pStyle w:val="ListParagraph"/>
        <w:numPr>
          <w:ilvl w:val="0"/>
          <w:numId w:val="2"/>
        </w:numPr>
        <w:spacing w:after="40" w:before="40" w:line="280"/>
      </w:pPr>
      <w:r>
        <w:rPr>
          <w:b/>
          <w:bCs/>
        </w:rPr>
        <w:t xml:space="preserve">Lookback: </w:t>
      </w:r>
      <w:r>
        <w:t xml:space="preserve">21 days (504 hours) of multivariate history per forecast window — enough to capture multi-day pollution build-up and decay episodes.</w:t>
      </w:r>
    </w:p>
    <w:p>
      <w:pPr>
        <w:pStyle w:val="ListParagraph"/>
        <w:numPr>
          <w:ilvl w:val="0"/>
          <w:numId w:val="2"/>
        </w:numPr>
        <w:spacing w:after="40" w:before="40" w:line="280"/>
      </w:pPr>
      <w:r>
        <w:rPr>
          <w:b/>
          <w:bCs/>
        </w:rPr>
        <w:t xml:space="preserve">Output: </w:t>
      </w:r>
      <w:r>
        <w:t xml:space="preserve">Dense(24) layer, no activation, with predictions inverse-scaled and clipped at zero.</w:t>
      </w:r>
    </w:p>
    <w:p>
      <w:pPr>
        <w:pStyle w:val="Heading2"/>
        <w:spacing w:after="120" w:before="240"/>
      </w:pPr>
      <w:r>
        <w:t xml:space="preserve">3.2 Final Model</w:t>
      </w:r>
    </w:p>
    <w:p>
      <w:pPr>
        <w:spacing w:after="80" w:before="80" w:line="300"/>
      </w:pPr>
      <w:r>
        <w:t xml:space="preserve">Architecture: GRU(128) → Dense(24). Optimiser: Adam. Loss: MAE. Batch size: 64. Epochs: up to 100 with EarlyStopping on val_loss (patience 10, restore best weights). Random seed fixed for reproducibility. Total trainable parameters: ~58,000.</w:t>
      </w:r>
    </w:p>
    <w:p>
      <w:pPr>
        <w:pStyle w:val="Heading2"/>
        <w:spacing w:after="120" w:before="240"/>
      </w:pPr>
      <w:r>
        <w:t xml:space="preserve">3.3 Why this model</w:t>
      </w:r>
    </w:p>
    <w:p>
      <w:pPr>
        <w:spacing w:after="80" w:before="80" w:line="300"/>
      </w:pPr>
      <w:r>
        <w:t xml:space="preserve">Six variants were tested under identical training conditions (see Section 4). The GRU-128 with MAE loss produced the lowest test MAE/RMSE while remaining the simplest of the architectures — its gating mechanism (reset + update gates) is structurally simpler than LSTM (input + forget + output gates) yet generalises at least as well on this dataset.</w:t>
      </w:r>
    </w:p>
    <w:p>
      <w:pPr>
        <w:pStyle w:val="Heading2"/>
        <w:spacing w:after="120" w:before="240"/>
      </w:pPr>
      <w:r>
        <w:t xml:space="preserve">3.4 Operational Fit</w:t>
      </w:r>
    </w:p>
    <w:p>
      <w:pPr>
        <w:spacing w:after="80" w:before="80" w:line="300"/>
      </w:pPr>
      <w:r>
        <w:t xml:space="preserve">Forecasts are most reliable in the 0–6 hour window (1-hour MAE ≈ 18.5 µg/m³). Errors grow with lead time, reaching 50–55 µg/m³ at the 24-hour mark. This shape is expected for direct multi-step forecasting and is consistent across all six RNN variants.</w:t>
      </w:r>
    </w:p>
    <w:p>
      <w:pPr>
        <w:pStyle w:val="Heading1"/>
        <w:spacing w:after="180" w:before="360"/>
      </w:pPr>
      <w:r>
        <w:t xml:space="preserve">4. Experiments Report</w:t>
      </w:r>
    </w:p>
    <w:p>
      <w:pPr>
        <w:pStyle w:val="Heading2"/>
        <w:spacing w:after="120" w:before="240"/>
      </w:pPr>
      <w:r>
        <w:t xml:space="preserve">4.1 Models Benchmarked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55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Model</w:t>
            </w:r>
          </w:p>
        </w:tc>
        <w:tc>
          <w:tcPr>
            <w:tcW w:type="dxa" w:w="8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Loss</w:t>
            </w:r>
          </w:p>
        </w:tc>
        <w:tc>
          <w:tcPr>
            <w:tcW w:type="dxa" w:w="55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Rationale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LSTM-128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MAE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Single-layer baseline; 128 units for diurnal + multi-day structure</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StackedLSTM 128→64</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MAE</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Deeper temporal hierarchy: short cycles + longer regimes</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GRU-128</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MAE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Simpler gating; often generalises better at similar capacity</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LSTM-128 + Dropout(0.1)</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MAE</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Light regularisation when train and val track closely</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LSTM-128 (MSE)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MSE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Penalise large errors more — does it improve peak prediction?</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GRU-128 (no dropout)</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MAE</w:t>
            </w:r>
          </w:p>
        </w:tc>
        <w:tc>
          <w:tcPr>
            <w:tcW w:type="dxa" w:w="5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Test whether dropout restricts amplitude on peaks</w:t>
            </w:r>
          </w:p>
        </w:tc>
      </w:tr>
    </w:tbl>
    <w:p>
      <w:pPr>
        <w:spacing w:after="80" w:before="0"/>
      </w:pPr>
      <w:r>
        <w:t xml:space="preserve"/>
      </w:r>
    </w:p>
    <w:p>
      <w:pPr>
        <w:pStyle w:val="Heading2"/>
        <w:spacing w:after="120" w:before="240"/>
      </w:pPr>
      <w:r>
        <w:t xml:space="preserve">4.2 Test Set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30"/>
        <w:gridCol w:w="2030"/>
      </w:tblGrid>
      <w:tr>
        <w:trPr>
          <w:tblHeader/>
        </w:trPr>
        <w:tc>
          <w:tcPr>
            <w:tcW w:type="dxa" w:w="8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Rank</w:t>
            </w:r>
          </w:p>
        </w:tc>
        <w:tc>
          <w:tcPr>
            <w:tcW w:type="dxa" w:w="45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Model</w:t>
            </w:r>
          </w:p>
        </w:tc>
        <w:tc>
          <w:tcPr>
            <w:tcW w:type="dxa" w:w="203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Test MAE</w:t>
            </w:r>
          </w:p>
        </w:tc>
        <w:tc>
          <w:tcPr>
            <w:tcW w:type="dxa" w:w="203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Test RMSE</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GRU-128 (efficient alt.)</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45.64</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64.70</w:t>
            </w:r>
          </w:p>
        </w:tc>
      </w:tr>
      <w:tr>
        <w:trPr>
          <w:tblHeader w:val="false"/>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2</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GRU-128 (no dropout)</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46.06</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65.09</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StackedLSTM 128→64</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46.47</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64.00</w:t>
            </w:r>
          </w:p>
        </w:tc>
      </w:tr>
      <w:tr>
        <w:trPr>
          <w:tblHeader w:val="false"/>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4</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LSTM-128 + Dropout(0.1)</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46.62</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66.26</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LSTM-128 (capacity)</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49.42</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68.44</w:t>
            </w:r>
          </w:p>
        </w:tc>
      </w:tr>
      <w:tr>
        <w:trPr>
          <w:tblHeader w:val="false"/>
        </w:trP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6</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LSTM-128 (MSE)</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53.85</w:t>
            </w:r>
          </w:p>
        </w:tc>
        <w:tc>
          <w:tcPr>
            <w:tcW w:type="dxa" w:w="20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70.19</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Naïve baseline (repeat-last)</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69.75</w:t>
            </w:r>
          </w:p>
        </w:tc>
        <w:tc>
          <w:tcPr>
            <w:tcW w:type="dxa" w:w="20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98.52</w:t>
            </w:r>
          </w:p>
        </w:tc>
      </w:tr>
    </w:tbl>
    <w:p>
      <w:pPr>
        <w:spacing w:after="80" w:before="0"/>
      </w:pPr>
      <w:r>
        <w:t xml:space="preserve"/>
      </w:r>
    </w:p>
    <w:p>
      <w:pPr>
        <w:spacing w:after="80" w:before="80" w:line="300"/>
      </w:pPr>
      <w:r>
        <w:t xml:space="preserve">All six RNN variants beat the naïve baseline. The two GRU variants take the top two MAE positions, with the stacked LSTM a close third. The MSE-loss variant performed worst — penalising large errors more heavily widened the average error rather than improving peaks.</w:t>
      </w:r>
    </w:p>
    <w:p>
      <w:pPr>
        <w:pStyle w:val="Heading2"/>
        <w:spacing w:after="120" w:before="240"/>
      </w:pPr>
      <w:r>
        <w:t xml:space="preserve">4.3 Horizon-Wise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Lead time (hours)</w:t>
            </w:r>
          </w:p>
        </w:tc>
        <w:tc>
          <w:tcPr>
            <w:tcW w:type="dxa" w:w="312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MAE</w:t>
            </w:r>
          </w:p>
        </w:tc>
        <w:tc>
          <w:tcPr>
            <w:tcW w:type="dxa" w:w="312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RMSE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1</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18.5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35.3</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6</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40.3</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55.3</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12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~46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~63</w:t>
            </w:r>
          </w:p>
        </w:tc>
      </w:tr>
      <w:tr>
        <w:trPr>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24</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~53</w:t>
            </w:r>
          </w:p>
        </w:tc>
        <w:tc>
          <w:tcPr>
            <w:tcW w:type="dxa" w:w="312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~71</w:t>
            </w:r>
          </w:p>
        </w:tc>
      </w:tr>
    </w:tbl>
    <w:p>
      <w:pPr>
        <w:spacing w:after="80" w:before="0"/>
      </w:pPr>
      <w:r>
        <w:t xml:space="preserve"/>
      </w:r>
    </w:p>
    <w:p>
      <w:pPr>
        <w:spacing w:after="80" w:before="80" w:line="300"/>
      </w:pPr>
      <w:r>
        <w:t xml:space="preserve">Errors grow with lead time, as expected for direct multi-step forecasting. The most actionable window is 0–6 hours; 6–12 hours is useful with growing uncertainty; 18–24 hours should carry explicit confidence bands or be replaced with a probabilistic model.</w:t>
      </w:r>
    </w:p>
    <w:p>
      <w:pPr>
        <w:pStyle w:val="Heading2"/>
        <w:spacing w:after="120" w:before="240"/>
      </w:pPr>
      <w:r>
        <w:t xml:space="preserve">4.4 Interpretation of the Six-Model Comparison</w:t>
      </w:r>
    </w:p>
    <w:p>
      <w:pPr>
        <w:pStyle w:val="ListParagraph"/>
        <w:numPr>
          <w:ilvl w:val="0"/>
          <w:numId w:val="2"/>
        </w:numPr>
        <w:spacing w:after="40" w:before="40" w:line="280"/>
      </w:pPr>
      <w:r>
        <w:rPr>
          <w:b/>
          <w:bCs/>
        </w:rPr>
        <w:t xml:space="preserve">GRU vs LSTM: </w:t>
      </w:r>
      <w:r>
        <w:t xml:space="preserve">GRUs win at this scale. Fewer parameters, comparable or better generalisation, and faster training. The conventional wisdom that LSTMs are 'more powerful' didn't translate into better test-set performance here.</w:t>
      </w:r>
    </w:p>
    <w:p>
      <w:pPr>
        <w:pStyle w:val="ListParagraph"/>
        <w:numPr>
          <w:ilvl w:val="0"/>
          <w:numId w:val="2"/>
        </w:numPr>
        <w:spacing w:after="40" w:before="40" w:line="280"/>
      </w:pPr>
      <w:r>
        <w:rPr>
          <w:b/>
          <w:bCs/>
        </w:rPr>
        <w:t xml:space="preserve">Stacking: </w:t>
      </w:r>
      <w:r>
        <w:t xml:space="preserve">the stacked LSTM was competitive on RMSE but marginally behind on MAE — not enough lift to justify the added training cost for this problem size.</w:t>
      </w:r>
    </w:p>
    <w:p>
      <w:pPr>
        <w:pStyle w:val="ListParagraph"/>
        <w:numPr>
          <w:ilvl w:val="0"/>
          <w:numId w:val="2"/>
        </w:numPr>
        <w:spacing w:after="40" w:before="40" w:line="280"/>
      </w:pPr>
      <w:r>
        <w:rPr>
          <w:b/>
          <w:bCs/>
        </w:rPr>
        <w:t xml:space="preserve">Dropout: </w:t>
      </w:r>
      <w:r>
        <w:t xml:space="preserve">minimal effect. Train and validation losses tracked closely without it, suggesting this dataset is not heavily prone to overfitting at this model capacity.</w:t>
      </w:r>
    </w:p>
    <w:p>
      <w:pPr>
        <w:pStyle w:val="ListParagraph"/>
        <w:numPr>
          <w:ilvl w:val="0"/>
          <w:numId w:val="2"/>
        </w:numPr>
        <w:spacing w:after="40" w:before="40" w:line="280"/>
      </w:pPr>
      <w:r>
        <w:rPr>
          <w:b/>
          <w:bCs/>
        </w:rPr>
        <w:t xml:space="preserve">MSE vs MAE: </w:t>
      </w:r>
      <w:r>
        <w:t xml:space="preserve">MSE was hypothesised to push peaks higher; in practice it widened average error without convincing peak gains. MAE is the better default for this target.</w:t>
      </w:r>
    </w:p>
    <w:p>
      <w:pPr>
        <w:pStyle w:val="Heading1"/>
        <w:spacing w:after="180" w:before="360"/>
      </w:pPr>
      <w:r>
        <w:t xml:space="preserve">5. Failure-Mode Analysis</w:t>
      </w:r>
    </w:p>
    <w:p>
      <w:pPr>
        <w:spacing w:after="80" w:before="80" w:line="300"/>
        <w:rPr>
          <w:i/>
          <w:iCs/>
        </w:rPr>
      </w:pPr>
      <w:r>
        <w:rPr>
          <w:i/>
          <w:iCs/>
        </w:rPr>
        <w:t xml:space="preserve">Aggregate metrics like MAE = 45.6 µg/m³ hide substantial variation across forecast windows. Inspecting individual day-by-day predictions on the January 2016 test set reveals a systematic regression-to-the-mean pattern that the headline number does not capture.</w:t>
      </w:r>
    </w:p>
    <w:p>
      <w:pPr>
        <w:pStyle w:val="Heading2"/>
        <w:spacing w:after="120" w:before="240"/>
      </w:pPr>
      <w:r>
        <w:t xml:space="preserve">5.1 Failure Mode 1 — Under-prediction on peak days</w:t>
      </w:r>
    </w:p>
    <w:p>
      <w:pPr>
        <w:spacing w:after="80" w:before="80" w:line="300"/>
      </w:pPr>
      <w:r>
        <w:t xml:space="preserve">On January 1, 2016, actual PM2.5 ranged from 100 to 340 µg/m³ — a clear high-pollution episode. The model predicted a flat band of 30–95 µg/m³ across the same 24 hours. The forecast correctly identifies that air quality is elevated, but massively under-states the magnitude. On a day where the actual value would trigger an 'Unhealthy' health advisory, the model would communicate 'Moderate'.</w:t>
      </w:r>
    </w:p>
    <w:p>
      <w:pPr>
        <w:pStyle w:val="Heading2"/>
        <w:spacing w:after="120" w:before="240"/>
      </w:pPr>
      <w:r>
        <w:t xml:space="preserve">5.2 Failure Mode 2 — Over-prediction on clean days</w:t>
      </w:r>
    </w:p>
    <w:p>
      <w:pPr>
        <w:spacing w:after="80" w:before="80" w:line="300"/>
      </w:pPr>
      <w:r>
        <w:t xml:space="preserve">On January 2, 2016, actual PM2.5 sat at 5–20 µg/m³ — a clean day. The model predicted 50–325 µg/m³ across the same window — entirely the wrong direction and magnitude. On a clean day, the model would falsely trigger advisories.</w:t>
      </w:r>
    </w:p>
    <w:p>
      <w:pPr>
        <w:pStyle w:val="Heading2"/>
        <w:spacing w:after="120" w:before="240"/>
      </w:pPr>
      <w:r>
        <w:t xml:space="preserve">5.3 Why this happens</w:t>
      </w:r>
    </w:p>
    <w:p>
      <w:pPr>
        <w:spacing w:after="80" w:before="80" w:line="300"/>
      </w:pPr>
      <w:r>
        <w:t xml:space="preserve">The training distribution is dominated by mid-range readings; extreme-high and extreme-low days are under-represented. MAE loss further encourages the model to predict toward the conditional mean — when peaks are rare, trading peak fidelity for average accuracy is the optimal MAE-minimising strategy. The architecture is doing exactly what it was trained to do; the problem is that 'minimise mean absolute error' is the wrong objective for an alerting system where extreme events are precisely what we care about.</w:t>
      </w:r>
    </w:p>
    <w:p>
      <w:pPr>
        <w:pStyle w:val="Heading2"/>
        <w:spacing w:after="120" w:before="240"/>
      </w:pPr>
      <w:r>
        <w:t xml:space="preserve">5.4 Implications</w:t>
      </w:r>
    </w:p>
    <w:p>
      <w:pPr>
        <w:pStyle w:val="ListParagraph"/>
        <w:numPr>
          <w:ilvl w:val="0"/>
          <w:numId w:val="2"/>
        </w:numPr>
        <w:spacing w:after="40" w:before="40" w:line="280"/>
      </w:pPr>
      <w:r>
        <w:t xml:space="preserve">Headline MAE understates real-world risk: the model is most wrong on the days the prediction matters most.</w:t>
      </w:r>
    </w:p>
    <w:p>
      <w:pPr>
        <w:pStyle w:val="ListParagraph"/>
        <w:numPr>
          <w:ilvl w:val="0"/>
          <w:numId w:val="2"/>
        </w:numPr>
        <w:spacing w:after="40" w:before="40" w:line="280"/>
      </w:pPr>
      <w:r>
        <w:t xml:space="preserve">The 35% improvement vs naïve is real for typical days but narrows significantly on extreme days.</w:t>
      </w:r>
    </w:p>
    <w:p>
      <w:pPr>
        <w:pStyle w:val="ListParagraph"/>
        <w:numPr>
          <w:ilvl w:val="0"/>
          <w:numId w:val="2"/>
        </w:numPr>
        <w:spacing w:after="40" w:before="40" w:line="280"/>
      </w:pPr>
      <w:r>
        <w:t xml:space="preserve">Operational deployment requires either a peak-aware loss (asymmetric weighting), a probabilistic output (quantile forecasts), or a hybrid system that routes extreme observations to a dedicated peak-detection model. These are addressed in Section 7.</w:t>
      </w:r>
    </w:p>
    <w:p>
      <w:pPr>
        <w:pStyle w:val="Heading1"/>
        <w:spacing w:after="180" w:before="360"/>
      </w:pPr>
      <w:r>
        <w:t xml:space="preserve">6. Limitations</w:t>
      </w:r>
    </w:p>
    <w:p>
      <w:pPr>
        <w:pStyle w:val="ListParagraph"/>
        <w:numPr>
          <w:ilvl w:val="0"/>
          <w:numId w:val="2"/>
        </w:numPr>
        <w:spacing w:after="40" w:before="40" w:line="280"/>
      </w:pPr>
      <w:r>
        <w:rPr>
          <w:b/>
          <w:bCs/>
        </w:rPr>
        <w:t xml:space="preserve">Single test month. </w:t>
      </w:r>
      <w:r>
        <w:t xml:space="preserve">January 2016 is one month with 721 forecast windows. Differences smaller than ~1 MAE between models may not be statistically significant; rolling-origin cross-validation across multiple months would tighten the confidence intervals on model rankings.</w:t>
      </w:r>
    </w:p>
    <w:p>
      <w:pPr>
        <w:pStyle w:val="ListParagraph"/>
        <w:numPr>
          <w:ilvl w:val="0"/>
          <w:numId w:val="2"/>
        </w:numPr>
        <w:spacing w:after="40" w:before="40" w:line="280"/>
      </w:pPr>
      <w:r>
        <w:rPr>
          <w:b/>
          <w:bCs/>
        </w:rPr>
        <w:t xml:space="preserve">Single station. </w:t>
      </w:r>
      <w:r>
        <w:t xml:space="preserve">The model is trained on one monitoring station. Performance may differ at locations with different emission profiles or weather regimes; no spatial signal-sharing across sites.</w:t>
      </w:r>
    </w:p>
    <w:p>
      <w:pPr>
        <w:pStyle w:val="ListParagraph"/>
        <w:numPr>
          <w:ilvl w:val="0"/>
          <w:numId w:val="2"/>
        </w:numPr>
        <w:spacing w:after="40" w:before="40" w:line="280"/>
      </w:pPr>
      <w:r>
        <w:rPr>
          <w:b/>
          <w:bCs/>
        </w:rPr>
        <w:t xml:space="preserve">Weak baseline. </w:t>
      </w:r>
      <w:r>
        <w:t xml:space="preserve">The naïve repeat-last baseline is the lowest-effort comparison. Stronger baselines (seasonal naïve at 24h lag, or a 7-day same-hour mean) would close some of the gap to the RNN and produce a more honest 'value-add' figure.</w:t>
      </w:r>
    </w:p>
    <w:p>
      <w:pPr>
        <w:pStyle w:val="ListParagraph"/>
        <w:numPr>
          <w:ilvl w:val="0"/>
          <w:numId w:val="2"/>
        </w:numPr>
        <w:spacing w:after="40" w:before="40" w:line="280"/>
      </w:pPr>
      <w:r>
        <w:rPr>
          <w:b/>
          <w:bCs/>
        </w:rPr>
        <w:t xml:space="preserve">Point estimates only. </w:t>
      </w:r>
      <w:r>
        <w:t xml:space="preserve">No uncertainty quantification. For a heavy-tailed target where extreme events drive the operational use case, point estimates are inadequate — quantile or probabilistic forecasts are needed.</w:t>
      </w:r>
    </w:p>
    <w:p>
      <w:pPr>
        <w:pStyle w:val="ListParagraph"/>
        <w:numPr>
          <w:ilvl w:val="0"/>
          <w:numId w:val="2"/>
        </w:numPr>
        <w:spacing w:after="40" w:before="40" w:line="280"/>
      </w:pPr>
      <w:r>
        <w:rPr>
          <w:b/>
          <w:bCs/>
        </w:rPr>
        <w:t xml:space="preserve">Regression-to-mean on extremes. </w:t>
      </w:r>
      <w:r>
        <w:t xml:space="preserve">Documented in Section 5. The model systematically under-predicts peaks and over-predicts troughs.</w:t>
      </w:r>
    </w:p>
    <w:p>
      <w:pPr>
        <w:pStyle w:val="ListParagraph"/>
        <w:numPr>
          <w:ilvl w:val="0"/>
          <w:numId w:val="2"/>
        </w:numPr>
        <w:spacing w:after="40" w:before="40" w:line="280"/>
      </w:pPr>
      <w:r>
        <w:rPr>
          <w:b/>
          <w:bCs/>
        </w:rPr>
        <w:t xml:space="preserve">Static feature set. </w:t>
      </w:r>
      <w:r>
        <w:t xml:space="preserve">No real-time external signals (traffic data, fire/dust events, regional pollution transport) that often drive the rare events the model misses.</w:t>
      </w:r>
    </w:p>
    <w:p>
      <w:pPr>
        <w:pStyle w:val="Heading1"/>
        <w:spacing w:after="180" w:before="360"/>
      </w:pPr>
      <w:r>
        <w:t xml:space="preserve">7. Future Work</w:t>
      </w:r>
    </w:p>
    <w:p>
      <w:pPr>
        <w:spacing w:after="80" w:before="80" w:line="300"/>
      </w:pPr>
      <w:r>
        <w:t xml:space="preserve">Each item below directly targets a limitation identified in Sections 5 and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Issue identified</w:t>
            </w:r>
          </w:p>
        </w:tc>
        <w:tc>
          <w:tcPr>
            <w:tcW w:type="dxa" w:w="58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spacing w:after="0" w:before="0"/>
              <w:jc w:val="left"/>
            </w:pPr>
            <w:r>
              <w:rPr>
                <w:b/>
                <w:bCs/>
                <w:color w:val="FFFFFF"/>
                <w:sz w:val="20"/>
                <w:szCs w:val="20"/>
              </w:rPr>
              <w:t xml:space="preserve">Proposed response</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Regression-to-mean on peaks (§5)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Asymmetric / peak-aware loss; weighted MAE that penalises under-prediction more</w:t>
            </w:r>
          </w:p>
        </w:tc>
      </w:tr>
      <w:tr>
        <w:trPr>
          <w:tblHeader w:val="false"/>
        </w:trP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Point estimates only (§6)</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Quantile forecasts (pinball loss) producing prediction intervals, not single values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Single test month (§6)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Rolling-origin cross-validation across multiple months; report mean ± std</w:t>
            </w:r>
          </w:p>
        </w:tc>
      </w:tr>
      <w:tr>
        <w:trPr>
          <w:tblHeader w:val="false"/>
        </w:trP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Weak baseline (§6)</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Add seasonal naïve and 7-day same-hour mean baselines for fair comparison</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Single station (§6)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Multi-station modelling; share signal across nearby monitors</w:t>
            </w:r>
          </w:p>
        </w:tc>
      </w:tr>
      <w:tr>
        <w:trPr>
          <w:tblHeader w:val="false"/>
        </w:trP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Static feature set (§6)</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before="0"/>
              <w:jc w:val="left"/>
            </w:pPr>
            <w:r>
              <w:rPr>
                <w:b w:val="false"/>
                <w:bCs w:val="false"/>
                <w:color w:val="000000"/>
                <w:sz w:val="20"/>
                <w:szCs w:val="20"/>
              </w:rPr>
              <w:t xml:space="preserve">Integrate traffic, fire/dust events, regional transport features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Operational gap on peaks (§5)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jc w:val="left"/>
            </w:pPr>
            <w:r>
              <w:rPr>
                <w:b w:val="false"/>
                <w:bCs w:val="false"/>
                <w:color w:val="000000"/>
                <w:sz w:val="20"/>
                <w:szCs w:val="20"/>
              </w:rPr>
              <w:t xml:space="preserve">Hybrid system: combine RNN forecast with rule-based peak-detection layer</w:t>
            </w:r>
          </w:p>
        </w:tc>
      </w:tr>
    </w:tbl>
    <w:p>
      <w:pPr>
        <w:spacing w:after="80" w:before="0"/>
      </w:pPr>
      <w:r>
        <w:t xml:space="preserve"/>
      </w:r>
    </w:p>
    <w:p>
      <w:pPr>
        <w:pStyle w:val="Heading1"/>
        <w:spacing w:after="180" w:before="360"/>
      </w:pPr>
      <w:r>
        <w:t xml:space="preserve">8. Conclusion</w:t>
      </w:r>
    </w:p>
    <w:p>
      <w:pPr>
        <w:spacing w:after="80" w:before="80" w:line="300"/>
      </w:pPr>
      <w:r>
        <w:t xml:space="preserve">Across six RNN variants under identical training conditions, GRU-128 with MAE loss and a 21-day lookback delivered the best test-set performance on January 2016 (MAE 45.64, RMSE 64.70 µg/m³), reducing error by approximately 35% versus the naïve baseline.</w:t>
      </w:r>
    </w:p>
    <w:p>
      <w:pPr>
        <w:spacing w:after="80" w:before="80" w:line="300"/>
      </w:pPr>
      <w:r>
        <w:t xml:space="preserve">More importantly, examining individual forecast windows revealed systematic regression-to-the-mean: the model under-calls peak-pollution days and over-calls clean days. This is the single most important finding of the assessment, because it determines what the model can and cannot be deployed for. The current model is suitable as a directional 0–6 hour advisory tool and as a foundation for further iteration; it is not yet suitable for high-stakes alerting where extreme events are precisely the targets of interest.</w:t>
      </w:r>
    </w:p>
    <w:p>
      <w:pPr>
        <w:spacing w:after="80" w:before="80" w:line="300"/>
      </w:pPr>
      <w:r>
        <w:t xml:space="preserve">Section 7 maps each limitation to a concrete next step. The highest-leverage improvements are peak-aware loss functions and quantile forecasts — both directly target the regression-to-mean issue and would change the model from a point-estimate forecaster into something operationally useful for alerting.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MIS780 T2 2025 Task 3 — PM2.5 Forecasting Report</dc:title>
  <dc:creator>Phuong Viet Dang</dc:creator>
  <cp:lastModifiedBy>Un-named</cp:lastModifiedBy>
  <cp:revision>1</cp:revision>
  <dcterms:created xsi:type="dcterms:W3CDTF">2026-05-09T12:27:21.402Z</dcterms:created>
  <dcterms:modified xsi:type="dcterms:W3CDTF">2026-05-09T12:27:21.402Z</dcterms:modified>
</cp:coreProperties>
</file>

<file path=docProps/custom.xml><?xml version="1.0" encoding="utf-8"?>
<Properties xmlns="http://schemas.openxmlformats.org/officeDocument/2006/custom-properties" xmlns:vt="http://schemas.openxmlformats.org/officeDocument/2006/docPropsVTypes"/>
</file>