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56"/>
          <w:szCs w:val="56"/>
        </w:rPr>
        <w:t xml:space="preserve">AGROLINK</w:t>
      </w:r>
    </w:p>
    <w:p>
      <w:pPr>
        <w:pBdr>
          <w:top w:val="single" w:color="2E7D32" w:sz="8"/>
          <w:bottom w:val="single" w:color="2E7D32" w:sz="8"/>
        </w:pBd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color w:val="2E7D32"/>
          <w:sz w:val="22"/>
          <w:szCs w:val="22"/>
        </w:rPr>
        <w:t xml:space="preserve">  โครงการธุรกิจข้าวครบวงจร  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40"/>
          <w:szCs w:val="40"/>
        </w:rPr>
        <w:t xml:space="preserve">คู่มือแนะนำโครงการ</w:t>
      </w:r>
    </w:p>
    <w:p>
      <w:pPr>
        <w:spacing w:before="10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4"/>
          <w:szCs w:val="24"/>
        </w:rPr>
        <w:t xml:space="preserve">Integrated Rice Business Project — Introduction Guide</w:t>
      </w:r>
    </w:p>
    <w:p>
      <w:pPr>
        <w:spacing w:before="800"/>
        <w:jc w:val="center"/>
      </w:pPr>
      <w:r>
        <w:rPr>
          <w:rFonts w:ascii="TH Sarabun New" w:cs="TH Sarabun New" w:eastAsia="TH Sarabun New" w:hAnsi="TH Sarabun New"/>
          <w:b/>
          <w:bCs/>
          <w:color w:val="B8860B"/>
          <w:sz w:val="30"/>
          <w:szCs w:val="30"/>
        </w:rPr>
        <w:t xml:space="preserve">ปลูกข้าวไม่ต้องมีเงินสดล่วงหน้า</w:t>
      </w:r>
    </w:p>
    <w:p>
      <w:pPr>
        <w:spacing w:before="4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4"/>
          <w:szCs w:val="24"/>
        </w:rPr>
        <w:t xml:space="preserve">ระบบการเงิน + เทคโนโลยี + สหกรณ์ + ตลาด + คาร์บอนเครดิต ที่ออกแบบไว้ให้แล้ว</w:t>
      </w:r>
    </w:p>
    <w:p>
      <w:pPr>
        <w:spacing w:before="1600"/>
        <w:jc w:val="center"/>
      </w:pPr>
      <w:r>
        <w:rPr>
          <w:rFonts w:ascii="TH Sarabun New" w:cs="TH Sarabun New" w:eastAsia="TH Sarabun New" w:hAnsi="TH Sarabun New"/>
          <w:color w:val="777777"/>
          <w:sz w:val="22"/>
          <w:szCs w:val="22"/>
        </w:rPr>
        <w:t xml:space="preserve">ฉบับร่างเพื่อพิจารณา — 20 กันยายน 2569</w:t>
      </w:r>
    </w:p>
    <w:p>
      <w:r>
        <w:br w:type="page"/>
      </w:r>
    </w:p>
    <w:p>
      <w:pPr>
        <w:pStyle w:val="Heading1"/>
        <w:pBdr>
          <w:bottom w:val="single" w:color="2E7D32" w:sz="6"/>
        </w:pBdr>
        <w:spacing w:after="15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สารบัญ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1. ที่มาของโครงการ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3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2. แนวคิดหลักและประโยชน์ที่จะได้รับ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4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3. โครงสร้างทางการเงิน: เกษตรกรไม่ต้องลงทุนเงินสด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5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4. บทบาทและความรับผิดชอบของผู้เกี่ยวข้องแต่ละฝ่าย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6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     4.1 เกษตรกร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6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     4.2 สหกรณ์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6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     4.3 ธนาคาร / ผู้ให้กู้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6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     4.4 ผู้ให้บริการปรับพื้นที่และเซนเซอร์วัดน้ำ (AWD)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6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     4.5 AgroLink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6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     4.6 โรงสี / ผู้ซื้อ / โรงไฟฟ้าชีวมวล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6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     4.7 ผู้นำเข้าแม่ปุ๋ย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7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     4.8 ผู้ผลิตเคมีเกษตร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7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     4.9 อบก. (TGO)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7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     4.10 KUniverse (หน่วยงานตรวจสอบ)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7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5. เป้าหมายการเติบโต 15 ปี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8</w:t>
      </w:r>
    </w:p>
    <w:p>
      <w:pPr>
        <w:tabs>
          <w:tab w:val="right" w:pos="9026" w:leader="dot"/>
        </w:tabs>
        <w:spacing w:after="14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6. บทสรุป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	9</w:t>
      </w:r>
    </w:p>
    <w:p>
      <w:r>
        <w:br w:type="page"/>
      </w:r>
    </w:p>
    <w:p>
      <w:pPr>
        <w:pStyle w:val="Heading1"/>
        <w:pBdr>
          <w:bottom w:val="single" w:color="2E7D32" w:sz="6"/>
        </w:pBdr>
        <w:spacing w:after="15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1. ที่มาของโครงการ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เกษตรกรผู้ปลูกข้าวไทยส่วนใหญ่เผชิญปัญหาเดียวกันมาหลายสิบปี: ต้องหาเงินสดมาลงทุนเองตั้งแต่ต้นฤดู ทั้งค่าเมล็ดพันธุ์ ปุ๋ย ค่าเช่าเครื่องจักร โดยไม่รู้แน่ชัดว่าจะขายข้าวได้ราคาเท่าไรในปลายฤดู หากปีใดราคาตกหรือผลผลิตเสียหาย เกษตรกรต้องแบกรับความเสี่ยงทั้งหมดไว้คนเดียว ขณะที่ปัจจัยการผลิตอย่างปุ๋ยก็มักซื้อผ่านพ่อค้าคนกลางหลายชั้นในราคาสูงกว่าที่ควรจะเป็น และหลังเก็บเกี่ยวฟางข้าวจำนวนมากมักถูกเผาทิ้งเพราะไม่มีช่องทางใช้ประโยชน์ ส่งผลกระทบต่อดินและสร้างมลพิษ PM2.5 ซ้ำเติมปัญหาสิ่งแวดล้อม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ในอีกด้านหนึ่ง ธนาคารและสหกรณ์การเกษตรมีเงินทุนพร้อมปล่อยกู้ ผู้ให้บริการเครื่องจักรและเทคโนโลยีมีอุปกรณ์ทันสมัยพร้อมใช้งาน โรงสีและโรงไฟฟ้าชีวมวลต้องการวัตถุดิบที่มีคุณภาพและตรวจสอบย้อนกลับได้ และตลาดคาร์บอนเครดิตกำลังเติบโตต้องการข้อมูลการผลิตที่น่าเชื่อถือ — แต่ทุกฝ่ายเหล่านี้ไม่เคยถูกเชื่อมเข้าด้วยกันเป็นระบบเดียวที่ทำงานร่วมกันได้จริง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AgroLink จึงถูกออกแบบขึ้นเพื่อเป็น "ตัวเชื่อม" ดิจิทัลที่นำทุกฝ่ายมารวมกัน โดยเริ่มต้นจากคำถามง่ายๆ ว่า: ถ้าเกษตรกรไม่ต้องหาเงินสดมาลงทุนเองเลย แต่ยังคงเป็นเจ้าของผลผลิตและรายได้ทั้งหมดหลังหักต้นทุน จะช่วยให้ระบบการผลิตข้าวของประเทศดีขึ้นได้แค่ไหน — โครงการธุรกิจข้าวครบวงจรนี้คือคำตอบของคำถามนั้น เปิดโครงการนำร่องขนาด 10,000 ไร่ต่อสหกรณ์ ขยายเครือข่ายอย่างต่อเนื่อง โดยมีกลไกทางการเงิน เทคโนโลยี และตลาด ที่ออกแบบและทดสอบไว้ล่วงหน้าแล้ว</w:t>
      </w:r>
    </w:p>
    <w:p>
      <w:r>
        <w:br w:type="page"/>
      </w:r>
    </w:p>
    <w:p>
      <w:pPr>
        <w:pStyle w:val="Heading1"/>
        <w:pBdr>
          <w:bottom w:val="single" w:color="2E7D32" w:sz="6"/>
        </w:pBdr>
        <w:spacing w:after="15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2. แนวคิดหลักและประโยชน์ที่จะได้รับ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i/>
          <w:iCs/>
          <w:color w:val="1F3864"/>
          <w:sz w:val="26"/>
          <w:szCs w:val="26"/>
        </w:rPr>
        <w:t xml:space="preserve">“เกษตรกรไม่ต้องใช้เงินสดของตนเองเริ่มต้นฤดูกาล — ใช้ระบบการเงิน + เทคโนโลยี + สหกรณ์ + ตลาด + Carbon Credit เชื่อมกันเป็นระบบเดียว”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โครงการประกอบด้วยกิจกรรมหลัก 4 ส่วนที่ทำงานร่วมกัน: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การผลิตข้าวไม่ใช้เงินสดล่วงหน้า — เงินทุนหมุนเวียนจากธนาคาร/สหกรณ์ เบิกเป็นงวดตามกิจกรรมเพาะปลูกจริง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ปุ๋ยสั่งตัดลดต้นทุน — ตรวจดิน คำนวณสูตรเฉพาะแปลง รวมคำสั่งซื้อทั้งเครือข่ายเพื่อประมูลราคาส่ง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คาร์บอนเครดิตจากนาเปียกสลับแห้ง (AWD) — ลดการใช้น้ำและก๊าซมีเทน ระยะโครงการ 5 ปี ไม่ต้องลงทุนอุปกรณ์เอง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เศรษฐกิจฟางข้าว — เก็บฟางแทนการเผา แปรรูปเป็นเชื้อเพลิงชีวมวลขายสร้างรายได้เสริม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ประโยชน์ที่แต่ละฝ่ายจะได้รับ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ผู้ได้รับประโยชน์</w:t>
            </w:r>
          </w:p>
        </w:tc>
        <w:tc>
          <w:tcPr>
            <w:tcW w:type="dxa" w:w="7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ประโยชน์หลัก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เกษตรกร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ไม่ต้องหาเงินสดลงทุนเอง ลดต้นทุนปุ๋ย เพิ่มผลผลิตจากดินที่ดีขึ้น มีรายได้เสริมจากคาร์บอนเครดิตและฟางข้าว ลดความเสี่ยงจากการกู้นอกระบบ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สหกรณ์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มีบทบาทเป็นศูนย์กลางบริการสมาชิกที่ชัดเจนขึ้น มีรายได้จากการรวบรวมผลผลิต จัดซื้อปัจจัยการผลิต และส่วนแบ่งจากบริการต่างๆ โดยไม่ต้องแบกความเสี่ยงด้านเงินทุนเอง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ธนาคาร/ผู้ให้กู้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ปล่อยสินเชื่อที่มีข้อมูลติดตามกิจกรรมการผลิตแบบดิจิทัลรองรับ ลดความเสี่ยงหนี้เสียเมื่อเทียบกับสินเชื่อเกษตรแบบเดิม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สิ่งแวดล้อม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ลดการเผาตอซัง/ฟางข้าว ลดการใช้น้ำและก๊าซเรือนกระจกจากนาข้าว ลดการใช้ปุ๋ยเกินความจำเป็น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ประเทศ/สังคม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ยกระดับระบบผลิตข้าวไทยให้มีมาตรฐาน ตรวจสอบย้อนกลับได้ แข่งขันได้ในตลาดที่ให้ความสำคัญกับความยั่งยืนมากขึ้นทุกปี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/>
        </w:pBdr>
        <w:spacing w:after="15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3. โครงสร้างทางการเงิน: เกษตรกรไม่ต้องลงทุนเงินสด</w:t>
      </w:r>
    </w:p>
    <w:p>
      <w:pPr>
        <w:pBdr>
          <w:top w:val="single" w:color="A33A2E" w:sz="4"/>
          <w:bottom w:val="single" w:color="A33A2E" w:sz="4"/>
          <w:left w:val="single" w:color="A33A2E" w:sz="4"/>
          <w:right w:val="single" w:color="A33A2E" w:sz="4"/>
        </w:pBdr>
        <w:shd w:fill="FFF4E5" w:val="clear"/>
        <w:spacing w:after="200" w:before="80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ข้อควรเข้าใจให้ตรงกัน: คำว่า “ไม่ต้องลงทุนเงินสด” หมายถึงเกษตรกรไม่ต้องควักเงินสดของตนเองล่วงหน้าเท่านั้น ไม่ใช่ต้นทุนเป็นศูนย์ ต้นทุนที่แท้จริงยังเกิดขึ้นเสมอ เพียงแต่มีธนาคาร สหกรณ์ และผู้ให้บริการเป็นผู้จัดหาเงินทุนล่วงหน้าแทน แล้วรับชำระคืนจากรายได้หลังขายผลผลิตหรือขายคาร์บอน/ฟางในภายหลัง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3.1 เงินทุนการผลิตข้าว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เกษตรกรรับเงินทุนหมุนเวียนจากธนาคารหรือสหกรณ์เป็นงวดตามกิจกรรมจริง (เตรียมแปลง → ปลูก → บำรุงรักษา → เก็บเกี่ยว) แทนการหาเงินสดมาลงทุนเองทั้งฤดูกาล เมื่อขายข้าวได้ ระบบจะหักชำระคืนเงินทุนและค่าบริการต่างๆ โดยอัตโนมัติผ่านแพลตฟอร์ม ก่อนโอนเงินส่วนที่เหลือให้เกษตรกร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3.2 อุปกรณ์ปรับพื้นที่และเซนเซอร์วัดน้ำ (สำหรับกิจกรรมคาร์บอนเครดิต)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นี่คือส่วนที่ออกแบบไว้อย่างรอบคอบที่สุด: ผู้ให้บริการปรับพื้นที่ด้วยเลเซอร์ และผู้ให้เช่าเซนเซอร์วัดระดับน้ำ เป็นผู้กู้เงินจากธนาคารมาลงทุนอุปกรณ์เอง และรับภาระดอกเบี้ยเอง เกษตรกรไม่จ่ายเงินสดส่วนนี้เลยแม้แต่บาทเดียว แล้วค่อยๆ ผ่อนชำระค่าบริการคืนเป็นรายปีตลอด 5 ปี จากรายได้ 2 ทางเท่านั้นคือ การขายคาร์บอนเครดิต และการขายฟางข้าว — ไม่แตะรายได้จากการขายข้าวเลย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เหตุผลที่โครงสร้างนี้ทำได้จริง: ผู้ให้บริการอุปกรณ์มีลูกค้าจำนวนมากในเครือข่ายเดียวกัน ทำให้กู้เงินธนาคารได้ง่ายกว่าเกษตรกรรายย่อยแต่ละคนที่ไปกู้เอง ความเสี่ยงด้านเครดิตจึงถูกยกไปอยู่กับผู้ที่บริหารความเสี่ยงนี้เป็นธุรกิจหลักโดยตรง ไม่ใช่เกษตรกร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3.3 สรุปภาพรวมเงินทุนตลอดโครงการ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กิจกรรม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ใครเป็นผู้จ่ายเงินก่อน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เกษตรกรชำระคืนจากอะไร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การผลิตข้าว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ธนาคาร/สหกรณ์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รายได้จากการขายข้าวในฤดูนั้น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ปุ๋ยสั่งตัด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รวมอยู่ในวงเงินผลิต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รายได้จากการขายข้าว (ต้นทุนที่ลดลงแล้ว)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อุปกรณ์ AWD (ปรับพื้นที่/เซนเซอร์)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ผู้ให้บริการอุปกรณ์ (กู้เอง)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รายได้คาร์บอนเครดิต + ขายฟาง ทยอย 5 ปี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/>
        </w:pBdr>
        <w:spacing w:after="15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4. บทบาทและความรับผิดชอบของผู้เกี่ยวข้องแต่ละฝ่าย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4.1 เกษตรกร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นำแปลงนาเข้าร่วมโครงการ และปฏิบัติตามแผนการผลิตที่ตกลงไว้ (ช่วงเวลาปลูก บำรุงรักษา จัดการน้ำแบบ AWD)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อนุญาตให้ติดตั้งอุปกรณ์ตรวจวัด (เซนเซอร์น้ำ ภาพถ่ายดาวเทียม) เพื่อยืนยันกิจกรรมการผลิตตามระบบ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ขายผลผลิตข้าว ฟางข้าว และคาร์บอนเครดิตผ่านระบบ AgroLink เพื่อให้การหักชำระหนี้เป็นไปโดยอัตโนมัติและโปร่งใส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ไม่ต้องเตรียมเงินสดลงทุนล่วงหน้าในทุกกิจกรรมของโครงการ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4.2 สหกรณ์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เป็นศูนย์กลางประสานงานกับสมาชิกในพื้นที่ ลานตาก โกดัง และเครือข่ายโรงสี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รวบรวมคำสั่งซื้อปัจจัยการผลิตของสมาชิกเพื่อจัดประมูลราคาส่ง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ผสมปุ๋ยสั่งตัดตามสูตรเฉพาะแปลงที่คำนวณจากผลตรวจดินของสมาชิกแต่ละราย แล้วจำหน่ายให้สมาชิกโดยตรง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ติดตามความคืบหน้าการผลิตร่วมกับ AgroLink และช่วยแก้ปัญหาหน้างานกับสมาชิก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รับส่วนแบ่งรายได้จากกิจกรรมต่างๆ ของโครงการตามที่ตกลงไว้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4.3 ธนาคาร / ผู้ให้กู้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จัดหาวงเงินทุนหมุนเวียนสำหรับการผลิตข้าว เบิกจ่ายเป็นงวดตามกิจกรรมจริงผ่านระบบติดตามของ AgroLink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รับชำระคืนอัตโนมัติ ณ จุดขายผลผลิต ลดความเสี่ยงหนี้เสียเมื่อเทียบกับการปล่อยกู้แบบดั้งเดิม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4.4 ผู้ให้บริการปรับพื้นที่และเซนเซอร์วัดน้ำ (AWD)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ลงทุนอุปกรณ์ปรับพื้นที่ด้วยเลเซอร์และเซนเซอร์วัดระดับน้ำด้วยเงินทุนของตนเอง (กู้เองจากธนาคาร)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ให้บริการแก่เกษตรกรโดยไม่เก็บเงินสดล่วงหน้า และรับความเสี่ยงด้านการเงิน/ดอกเบี้ยของตนเอง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รับชำระค่าบริการคืนทยอยเป็นรายปีตลอด 5 ปี จากรายได้คาร์บอนเครดิตและฟางข้าวของเกษตรกรที่ใช้บริการ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4.5 AgroLink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เป็นโครงสร้างพื้นฐานดิจิทัลกลาง เชื่อมทุกฝ่ายเข้าด้วยกัน: แพลตฟอร์ม ข้อมูลดาวเทียม AI การจัดซื้อ ระบบตรวจวัดคาร์บอน (MRV) ตลาดกลาง และระบบหักบัญชีอัตโนมัติ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ดูแลความโปร่งใสของธุรกรรมทุกฝ่าย และประสานงานกับผู้ตรวจสอบคาร์บอนเครดิตและหน่วยงานภาครัฐที่เกี่ยวข้อง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รับรายได้จากค่าธรรมเนียมบริการต่างๆ ตามที่ตกลงกับแต่ละฝ่าย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4.6 โรงสี / ผู้ซื้อ / โรงไฟฟ้าชีวมวล / โรงงานปูนซีเมนต์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รับซื้อข้าวเปลือกจากเกษตรกรในเครือข่าย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รับซื้อเชื้อเพลิงชีวมวลจากฟางข้าว ทั้งโรงไฟฟ้าชีวมวลและโรงงานปูนซีเมนต์ที่ใช้เชื้อเพลิงชีวมวลทดแทนถ่านหินในกระบวนการผลิต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ได้รับข้อมูลตรวจสอบย้อนกลับที่น่าเชื่อถือประกอบการรับซื้อ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4.7 ผู้นำเข้าแม่ปุ๋ย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เข้าร่วมประมูลขายแม่ปุ๋ย (วัตถุดิบตั้งต้น N-P-K) ให้กับเครือข่ายผ่านระบบรวมคำสั่งซื้อของ AgroLink (Reverse Auction)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แข่งขันราคากันโดยตรงในระบบประมูล ทำให้เครือข่ายได้ราคาแม่ปุ๋ยระดับราคาส่ง แทนการซื้อผ่านพ่อค้าคนกลางหลายชั้นแบบเดิม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ได้ประโยชน์จากคำสั่งซื้อรวมที่มีปริมาณแน่นอนและคาดการณ์ล่วงหน้าได้ ช่วยวางแผนการนำเข้าและบริหารสต๊อกได้แม่นยำขึ้น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4.8 ผู้ผลิตเคมีเกษตร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ผลิตและจำหน่ายสารเคมีเกษตรอื่นๆ ที่เครือข่ายต้องการ (เช่น ยาปราบศัตรูพืช ฮอร์โมนพืช) นอกเหนือจากแม่ปุ๋ยที่สหกรณ์นำไปผสมเอง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รับคำสั่งซื้อรวมจากเครือข่ายผ่านระบบของ AgroLink ทำให้มีกำลังการผลิต/นำเข้าที่แน่นอนและวางแผนได้ล่วงหน้า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ควบคุมคุณภาพสินค้าให้ได้มาตรฐานตามที่เครือข่ายกำหนด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4.9 อบก. (TGO)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รับรองมาตรฐานและขึ้นทะเบียนคาร์บอนเครดิตให้พร้อมซื้อขายในตลาด (T-VER Registration)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กำหนดหลักเกณฑ์และเครื่องมือคำนวณการลดก๊าซเรือนกระจกที่ใช้อ้างอิงทั่วประเทศ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2E7D32"/>
          <w:sz w:val="26"/>
          <w:szCs w:val="26"/>
        </w:rPr>
        <w:t xml:space="preserve">4.10 KUniverse (หน่วยงานตรวจสอบ)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ทำหน้าที่ผู้ตรวจสอบความถูกต้องของข้อมูล (MRV — Measurement, Reporting, Verification) ก่อนนำส่งขึ้นทะเบียนกับ อบก.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ตรวจสอบและรับรองข้อมูลด้าน Green/GHG/ESG ของโครงการ เพื่อสร้างความน่าเชื่อถือให้กับคาร์บอนเครดิตที่ AgroLink นำออกขาย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เป็นหน่วยงานอิสระที่แยกจาก AgroLink โดยตรง เพื่อให้ผู้ซื้อคาร์บอนเครดิตมั่นใจได้ว่าข้อมูลผ่านการตรวจสอบจากบุคคลที่สาม</w:t>
      </w:r>
    </w:p>
    <w:p>
      <w:r>
        <w:br w:type="page"/>
      </w:r>
    </w:p>
    <w:p>
      <w:pPr>
        <w:pStyle w:val="Heading1"/>
        <w:pBdr>
          <w:bottom w:val="single" w:color="2E7D32" w:sz="6"/>
        </w:pBdr>
        <w:spacing w:after="15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5. เป้าหมายการเติบโต 15 ปี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เป้าหมายการเติบโตของโครงการกำหนดเป็น 3 ช่วง ตามความพร้อมของเครือข่ายที่คาดว่าจะเปลี่ยนไปเมื่อฐานใหญ่ขึ้น: ปีที่ 1-5 เติบโตปีละ 50% (ช่วงบุกเบิก ฐานยังเล็ก) ปีที่ 6-10 เติบโตปีละ 25% (ช่วงขยายตัว) และปีที่ 11-15 เติบโตปีละ 10% (ช่วงเครือข่ายเข้าสู่ความอิ่มตัวและเน้นความมั่นคง) โดยเริ่มต้นจากปีที่ 1 ที่ 120,000 ไร่ (เทียบเท่าประมาณ 12 สหกรณ์ ขนาดสหกรณ์ละ 10,000 ไร่)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ปี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พื้นที่สะสม (ไร่)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เทียบเท่าสหกรณ์ (10,000 ไร่/แห่ง)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อัตราเพิ่มจากปีก่อน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120,000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≈12 แห่ง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180,000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≈18 แห่ง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+50%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270,000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≈27 แห่ง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+50%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405,000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≈41 แห่ง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+50%</w:t>
            </w:r>
          </w:p>
        </w:tc>
      </w:tr>
      <w:tr>
        <w:tc>
          <w:tcPr>
            <w:tcW w:type="dxa" w:w="12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608,000</w:t>
            </w:r>
          </w:p>
        </w:tc>
        <w:tc>
          <w:tcPr>
            <w:tcW w:type="dxa" w:w="26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≈61 แห่ง</w:t>
            </w:r>
          </w:p>
        </w:tc>
        <w:tc>
          <w:tcPr>
            <w:tcW w:type="dxa" w:w="29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+50%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759,000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≈76 แห่ง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+25%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949,000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≈95 แห่ง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+25%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1,187,000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≈119 แห่ง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+25%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1,483,000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≈148 แห่ง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+25%</w:t>
            </w:r>
          </w:p>
        </w:tc>
      </w:tr>
      <w:tr>
        <w:tc>
          <w:tcPr>
            <w:tcW w:type="dxa" w:w="12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1,854,000</w:t>
            </w:r>
          </w:p>
        </w:tc>
        <w:tc>
          <w:tcPr>
            <w:tcW w:type="dxa" w:w="26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≈185 แห่ง</w:t>
            </w:r>
          </w:p>
        </w:tc>
        <w:tc>
          <w:tcPr>
            <w:tcW w:type="dxa" w:w="29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+25%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2,039,000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≈204 แห่ง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+10%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2,243,000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≈224 แห่ง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+10%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2,468,000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≈247 แห่ง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+10%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2,714,000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≈271 แห่ง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+10%</w:t>
            </w:r>
          </w:p>
        </w:tc>
      </w:tr>
      <w:tr>
        <w:tc>
          <w:tcPr>
            <w:tcW w:type="dxa" w:w="12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26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2,986,000</w:t>
            </w:r>
          </w:p>
        </w:tc>
        <w:tc>
          <w:tcPr>
            <w:tcW w:type="dxa" w:w="26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≈299 แห่ง</w:t>
            </w:r>
          </w:p>
        </w:tc>
        <w:tc>
          <w:tcPr>
            <w:tcW w:type="dxa" w:w="29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+10%</w:t>
            </w:r>
          </w:p>
        </w:tc>
      </w:tr>
    </w:tbl>
    <w:p>
      <w:pPr>
        <w:pBdr>
          <w:top w:val="single" w:color="E8A33D" w:sz="4"/>
          <w:bottom w:val="single" w:color="E8A33D" w:sz="4"/>
          <w:left w:val="single" w:color="E8A33D" w:sz="4"/>
          <w:right w:val="single" w:color="E8A33D" w:sz="4"/>
        </w:pBdr>
        <w:shd w:fill="FFF4E5" w:val="clear"/>
        <w:spacing w:after="200" w:before="80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ตรวจสอบขนาดเทียบบริบทประเทศ: พื้นที่นาปรังทั่วประเทศมีประมาณ 12.2 ล้านไร่ (ข้อมูล สศก.) พื้นที่เป้าหมายในปีที่ 15 (≈2.99 ล้านไร่) จึงเทียบเท่าประมาณ 24.5% ของพื้นที่นาปรังทั้งประเทศ หรือประมาณ 4.2% ของพื้นที่นาข้าวทั้งหมดทุกฤดูรวมกัน (นาปี+นาปรัง ≈70-73 ล้านไร่) — เป็นเป้าหมายที่ทะเยอทะยานแต่อยู่ในวิสัยที่พอวางแผนได้จริงมากกว่าอัตราเดิม (+50% ตลอด 15 ปี) อย่างมีนัยสำคัญ อย่างไรก็ตามยังต้องมีการขยายทีมงาน เงินทุนหมุนเวียน และเครือข่ายสหกรณ์ให้สอดคล้องกับอัตราเร่งในแต่ละช่วง โดยเฉพาะช่วงปีที่ 6-10 ที่เครือข่ายจะโตจาก 61 เป็น 185 สหกรณ์ ซึ่งเป็นช่วงที่ต้องการการลงทุนขยายทีมภาคสนามมากที่สุด</w:t>
      </w:r>
    </w:p>
    <w:p>
      <w:r>
        <w:br w:type="page"/>
      </w:r>
    </w:p>
    <w:p>
      <w:pPr>
        <w:pStyle w:val="Heading1"/>
        <w:pBdr>
          <w:bottom w:val="single" w:color="2E7D32" w:sz="6"/>
        </w:pBdr>
        <w:spacing w:after="15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6. บทสรุป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โครงการธุรกิจข้าวครบวงจรโดย AgroLink คือความพยายามเปลี่ยนระบบผลิตข้าวไทยจาก "เกษตรกรลงทุนเอง แบกความเสี่ยงเอง" ไปสู่ระบบที่มีการเงิน เทคโนโลยี ตลาด และกลไกด้านสิ่งแวดล้อมทำงานร่วมกันเป็นหนึ่งเดียว โดยออกแบบให้เกษตรกรเป็นศูนย์กลางที่ได้รับประโยชน์สูงสุด ไม่ต้องแบกรับภาระเงินทุนหรือความเสี่ยงทางการเงินที่ไม่จำเป็น ขณะที่ทุกฝ่ายที่เกี่ยวข้อง — สหกรณ์ ธนาคาร ผู้ให้บริการเทคโนโลยี ตลาดรับซื้อ และภาคสิ่งแวดล้อม — ต่างได้รับประโยชน์ร่วมกันในระบบเดียวกันนี้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คู่มือฉบับนี้เป็นเอกสารเบื้องต้นสำหรับพิจารณาและทำความเข้าใจภาพรวมโครงการ รายละเอียดเชิงตัวเลขเฉพาะด้าน (แผนธุรกิจฉบับเต็ม แผนรายได้ 5 ปี งบการเงิน Pre-Seed) มีอยู่ในเอกสารประกอบชุดอื่นของ AgroLink ผู้สนใจเข้าร่วมโครงการในฐานะสหกรณ์ เกษตรกร หรือพันธมิตรทางธุรกิจ สามารถติดต่อทีมงาน AgroLink เพื่อขอข้อมูลเพิ่มเติมได้</w:t>
      </w:r>
    </w:p>
    <w:p>
      <w:pPr>
        <w:pBdr>
          <w:top w:val="single" w:color="CCCCCC" w:sz="4"/>
        </w:pBdr>
        <w:spacing w:before="400"/>
      </w:pPr>
      <w:r>
        <w:rPr>
          <w:rFonts w:ascii="TH Sarabun New" w:cs="TH Sarabun New" w:eastAsia="TH Sarabun New" w:hAnsi="TH Sarabun New"/>
          <w:i/>
          <w:iCs/>
          <w:color w:val="777777"/>
          <w:sz w:val="20"/>
          <w:szCs w:val="20"/>
        </w:rPr>
        <w:t xml:space="preserve">เอกสารนี้เป็นคู่มือแนะนำเบื้องต้นสำหรับการพิจารณาภายในเท่านั้น (Draft for Consideration) รายละเอียดเชิงสัญญา การเงิน และกฎหมาย ต้องอ้างอิงเอกสารฉบับเต็มและได้รับการตรวจสอบจากทีมการเงิน/กฎหมายก่อนใช้งานจริง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2026-09-20T07:35:49.071Z</dcterms:created>
  <dcterms:modified xsi:type="dcterms:W3CDTF">2026-09-20T07:35:49.081Z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