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bookmarkStart w:id="0" w:name="_GoBack"/>
        <w:bookmarkEnd w:id="0"/>
        <w:p w14:paraId="1D0E7F64" w14:textId="4D39FD43" w:rsidR="00C04C0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7387" w:history="1">
            <w:r w:rsidR="00C04C0C" w:rsidRPr="002A66E2">
              <w:rPr>
                <w:rStyle w:val="Hyperlink"/>
                <w:noProof/>
              </w:rPr>
              <w:t>Introduction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039F113" w14:textId="460C066F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8" w:history="1">
            <w:r w:rsidRPr="002A66E2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4642" w14:textId="311DE744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9" w:history="1">
            <w:r w:rsidRPr="002A66E2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4271" w14:textId="5727B387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0" w:history="1">
            <w:r w:rsidRPr="002A66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DB8B" w14:textId="288929C5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1" w:history="1">
            <w:r w:rsidRPr="002A66E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2BF3" w14:textId="6C80B5C7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2" w:history="1">
            <w:r w:rsidRPr="002A66E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FBEA" w14:textId="134A8656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3" w:history="1">
            <w:r w:rsidRPr="002A66E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3CC3" w14:textId="66709E43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4" w:history="1">
            <w:r w:rsidRPr="002A66E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EF51" w14:textId="4E59EC5B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5" w:history="1">
            <w:r w:rsidRPr="002A66E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AE2C" w14:textId="5E09C15B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6" w:history="1">
            <w:r w:rsidRPr="002A66E2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AD38" w14:textId="6AEB97C2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7" w:history="1">
            <w:r w:rsidRPr="002A66E2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1203" w14:textId="405C974E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8" w:history="1">
            <w:r w:rsidRPr="002A66E2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E0AC" w14:textId="25F4B205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9" w:history="1">
            <w:r w:rsidRPr="002A66E2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E966" w14:textId="339EB500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0" w:history="1">
            <w:r w:rsidRPr="002A66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A967" w14:textId="1533FCD1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1" w:history="1">
            <w:r w:rsidRPr="002A66E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8E00" w14:textId="0CD4B82E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2" w:history="1">
            <w:r w:rsidRPr="002A66E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How many people</w:t>
            </w:r>
            <w:r w:rsidRPr="002A66E2">
              <w:rPr>
                <w:rStyle w:val="Hyperlink"/>
                <w:i/>
                <w:noProof/>
              </w:rPr>
              <w:t xml:space="preserve"> randomizedTo </w:t>
            </w:r>
            <w:r w:rsidRPr="002A66E2">
              <w:rPr>
                <w:rStyle w:val="Hyperlink"/>
                <w:noProof/>
              </w:rPr>
              <w:t>treatment arms in</w:t>
            </w:r>
            <w:r w:rsidRPr="002A66E2">
              <w:rPr>
                <w:rStyle w:val="Hyperlink"/>
                <w:i/>
                <w:noProof/>
              </w:rPr>
              <w:t xml:space="preserve"> </w:t>
            </w:r>
            <w:r w:rsidRPr="002A66E2">
              <w:rPr>
                <w:rStyle w:val="Hyperlink"/>
                <w:noProof/>
              </w:rPr>
              <w:t>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5C51" w14:textId="42BB1ACC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3" w:history="1">
            <w:r w:rsidRPr="002A66E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8E77" w14:textId="57C1D2A8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4" w:history="1">
            <w:r w:rsidRPr="002A66E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5734" w14:textId="4C4233DA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5" w:history="1">
            <w:r w:rsidRPr="002A66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Extend to Other Graphs (Federated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35EA" w14:textId="0B0D2EE4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6" w:history="1">
            <w:r w:rsidRPr="002A66E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2B8B" w14:textId="2A6DC57E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7" w:history="1">
            <w:r w:rsidRPr="002A66E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7605" w14:textId="7E8451EE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8" w:history="1">
            <w:r w:rsidRPr="002A66E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87D7" w14:textId="2B4794EB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9" w:history="1">
            <w:r w:rsidRPr="002A66E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1DD7" w14:textId="5B018763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0" w:history="1">
            <w:r w:rsidRPr="002A66E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C008" w14:textId="5EFDF7E7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1" w:history="1">
            <w:r w:rsidRPr="002A66E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E7B9" w14:textId="65DC8240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2" w:history="1">
            <w:r w:rsidRPr="002A66E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5E81" w14:textId="0BB49C0C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3" w:history="1">
            <w:r w:rsidRPr="002A66E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3A7A" w14:textId="03597601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4" w:history="1">
            <w:r w:rsidRPr="002A66E2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3C54" w14:textId="0C8C5A40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5" w:history="1">
            <w:r w:rsidRPr="002A66E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2C79" w14:textId="5ED9C923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6" w:history="1">
            <w:r w:rsidRPr="002A66E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DC27" w14:textId="5EB06851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7" w:history="1">
            <w:r w:rsidRPr="002A66E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6E81" w14:textId="5AF91A36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8" w:history="1">
            <w:r w:rsidRPr="002A66E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1665" w14:textId="4C32AF8D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9" w:history="1">
            <w:r w:rsidRPr="002A66E2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A66E2">
              <w:rPr>
                <w:rStyle w:val="Hyperlink"/>
                <w:noProof/>
              </w:rPr>
              <w:t>Are your HumanStudySubjects in other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D7C4" w14:textId="51FE099B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0" w:history="1">
            <w:r w:rsidRPr="002A66E2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4116" w14:textId="74E6E7FE" w:rsidR="00C04C0C" w:rsidRDefault="00C04C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1" w:history="1">
            <w:r w:rsidRPr="002A66E2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2EC5529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1" w:name="h.gjdgxs" w:colFirst="0" w:colLast="0"/>
      <w:bookmarkStart w:id="2" w:name="_Ref484596991"/>
      <w:bookmarkStart w:id="3" w:name="_Ref484597004"/>
      <w:bookmarkStart w:id="4" w:name="_Toc10807387"/>
      <w:bookmarkEnd w:id="1"/>
      <w:r w:rsidR="00D337F0">
        <w:lastRenderedPageBreak/>
        <w:t>Introduction</w:t>
      </w:r>
      <w:bookmarkEnd w:id="2"/>
      <w:bookmarkEnd w:id="3"/>
      <w:bookmarkEnd w:id="4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5pt;height:26.2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42508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10807388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425089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10807389"/>
      <w:r>
        <w:t>Exercises</w:t>
      </w:r>
      <w:bookmarkEnd w:id="13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10807390"/>
      <w:r>
        <w:t>Create Your</w:t>
      </w:r>
      <w:r w:rsidR="008169B1">
        <w:t xml:space="preserve"> </w:t>
      </w:r>
      <w:r w:rsidR="00E948F4">
        <w:t>Study Graph</w:t>
      </w:r>
      <w:bookmarkEnd w:id="14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10807391"/>
      <w:bookmarkEnd w:id="15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6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10807392"/>
      <w:r>
        <w:t xml:space="preserve">Add a </w:t>
      </w:r>
      <w:r w:rsidR="00277453">
        <w:t>Study</w:t>
      </w:r>
      <w:r w:rsidR="00EE369B">
        <w:t xml:space="preserve"> Information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425090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80739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10807394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10807395"/>
      <w:r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21425091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10807396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10807397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10807398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5EAA38B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04C0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69B5F955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 w:rsidRPr="00C04C0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10807399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10807400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10807401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10807402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10807403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24D426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04C0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10807404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26246A1B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5823D665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425092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10807405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807406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807407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72C2D7D0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019E680F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807408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807409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807410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807411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30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425093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5D2ABDD5" w:rsidR="000C249B" w:rsidRDefault="000777D1" w:rsidP="00BD76D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80741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80741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425094" r:id="rId43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7952B504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C04C0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80741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425095" r:id="rId47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807415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807416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807417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807418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27B3E315" w:rsidR="00296703" w:rsidRPr="00296703" w:rsidRDefault="009C0A65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5" w:name="_Toc10807419"/>
      <w:r>
        <w:t>A</w:t>
      </w:r>
      <w:r w:rsidR="009D3F1B">
        <w:t xml:space="preserve">re your </w:t>
      </w:r>
      <w:proofErr w:type="spellStart"/>
      <w:r w:rsidR="009D3F1B">
        <w:t>HumanStudySubjects</w:t>
      </w:r>
      <w:proofErr w:type="spellEnd"/>
      <w:r w:rsidR="009D3F1B">
        <w:t xml:space="preserve"> in other trials?</w:t>
      </w:r>
      <w:bookmarkEnd w:id="55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21425096" r:id="rId51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807420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C04C0C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C04C0C" w:rsidP="001D51A3">
      <w:pPr>
        <w:pStyle w:val="ListParagraph"/>
        <w:numPr>
          <w:ilvl w:val="0"/>
          <w:numId w:val="3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53AE603C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E26E89">
        <w:t>CSS2019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807421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368B" w14:textId="77777777" w:rsidR="00770804" w:rsidRDefault="00770804">
      <w:pPr>
        <w:spacing w:after="0" w:line="240" w:lineRule="auto"/>
      </w:pPr>
      <w:r>
        <w:separator/>
      </w:r>
    </w:p>
  </w:endnote>
  <w:endnote w:type="continuationSeparator" w:id="0">
    <w:p w14:paraId="3214A3BE" w14:textId="77777777" w:rsidR="00770804" w:rsidRDefault="0077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C04C0C" w:rsidRDefault="00C04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C04C0C" w:rsidRDefault="00C0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C04C0C" w:rsidRDefault="00C04C0C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C04C0C" w:rsidRDefault="00C0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1D97" w14:textId="77777777" w:rsidR="00770804" w:rsidRDefault="00770804">
      <w:pPr>
        <w:spacing w:after="0" w:line="240" w:lineRule="auto"/>
      </w:pPr>
      <w:r>
        <w:separator/>
      </w:r>
    </w:p>
  </w:footnote>
  <w:footnote w:type="continuationSeparator" w:id="0">
    <w:p w14:paraId="6D157008" w14:textId="77777777" w:rsidR="00770804" w:rsidRDefault="00770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C04C0C" w:rsidRDefault="00C04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C04C0C" w:rsidRDefault="00C04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C04C0C" w:rsidRDefault="00C04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0804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0A6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04C0C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4B4A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oleObject" Target="embeddings/oleObject8.bin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jpeg"/><Relationship Id="rId53" Type="http://schemas.openxmlformats.org/officeDocument/2006/relationships/hyperlink" Target="http://www.learningsparql.com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s://www.youtube.com/watch?v=FvGndkpa4K0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864AE-FC9A-45A9-AED8-3E3418DD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4135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112</cp:revision>
  <cp:lastPrinted>2019-06-07T17:47:00Z</cp:lastPrinted>
  <dcterms:created xsi:type="dcterms:W3CDTF">2018-08-20T23:39:00Z</dcterms:created>
  <dcterms:modified xsi:type="dcterms:W3CDTF">2019-06-07T19:05:00Z</dcterms:modified>
</cp:coreProperties>
</file>