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4"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3"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will be made available after the conference.</w:t>
      </w:r>
    </w:p>
    <w:bookmarkEnd w:id="23"/>
    <w:bookmarkEnd w:id="24"/>
    <w:bookmarkStart w:id="25" w:name="summary"/>
    <w:p>
      <w:pPr>
        <w:pStyle w:val="Heading1"/>
      </w:pPr>
      <w:r>
        <w:t xml:space="preserve">2. Summary</w:t>
      </w:r>
    </w:p>
    <w:p>
      <w:pPr>
        <w:pStyle w:val="FirstParagraph"/>
      </w:pPr>
      <w:r>
        <w:t xml:space="preserve">In summary, this book has no content whatsoever.</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5"/>
    <w:bookmarkStart w:id="27" w:name="references"/>
    <w:p>
      <w:pPr>
        <w:pStyle w:val="Heading1"/>
      </w:pPr>
      <w:r>
        <w:t xml:space="preserve">References</w:t>
      </w:r>
    </w:p>
    <w:bookmarkStart w:id="26" w:name="refs"/>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2023-10-30T14:31:22Z</dcterms:created>
  <dcterms:modified xsi:type="dcterms:W3CDTF">2023-10-30T14:31:22Z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