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E5AE" w14:textId="77777777" w:rsidR="009F6E8C" w:rsidRPr="00650C7B" w:rsidRDefault="009F6E8C">
      <w:pPr>
        <w:rPr>
          <w:b/>
          <w:sz w:val="28"/>
        </w:rPr>
      </w:pPr>
      <w:r w:rsidRPr="00650C7B">
        <w:rPr>
          <w:b/>
          <w:sz w:val="28"/>
        </w:rPr>
        <w:t xml:space="preserve">CBER SEND Pilot </w:t>
      </w:r>
      <w:r w:rsidR="00CE1403">
        <w:rPr>
          <w:b/>
          <w:sz w:val="28"/>
        </w:rPr>
        <w:t>3</w:t>
      </w:r>
      <w:r w:rsidR="008B7864">
        <w:rPr>
          <w:b/>
          <w:sz w:val="28"/>
        </w:rPr>
        <w:t xml:space="preserve"> </w:t>
      </w:r>
      <w:r w:rsidRPr="00650C7B">
        <w:rPr>
          <w:b/>
          <w:sz w:val="28"/>
        </w:rPr>
        <w:t xml:space="preserve">– </w:t>
      </w:r>
      <w:r w:rsidR="00650C7B" w:rsidRPr="00650C7B">
        <w:rPr>
          <w:b/>
          <w:sz w:val="28"/>
        </w:rPr>
        <w:t>S</w:t>
      </w:r>
      <w:r w:rsidR="008B7864">
        <w:rPr>
          <w:b/>
          <w:sz w:val="28"/>
        </w:rPr>
        <w:t>tandardized</w:t>
      </w:r>
      <w:r w:rsidRPr="00650C7B">
        <w:rPr>
          <w:b/>
          <w:sz w:val="28"/>
        </w:rPr>
        <w:t xml:space="preserve"> data </w:t>
      </w:r>
      <w:r w:rsidR="008B7864">
        <w:rPr>
          <w:b/>
          <w:sz w:val="28"/>
        </w:rPr>
        <w:t xml:space="preserve">validation </w:t>
      </w:r>
      <w:r w:rsidRPr="00650C7B">
        <w:rPr>
          <w:b/>
          <w:sz w:val="28"/>
        </w:rPr>
        <w:t>review</w:t>
      </w:r>
    </w:p>
    <w:p w14:paraId="01560E8B" w14:textId="77777777" w:rsidR="0095500A" w:rsidRDefault="0095500A"/>
    <w:p w14:paraId="0383B94C" w14:textId="77777777" w:rsidR="00307C41" w:rsidRPr="00E71C9E" w:rsidRDefault="00307C41" w:rsidP="00307C41">
      <w:pPr>
        <w:rPr>
          <w:b/>
          <w:u w:val="single"/>
        </w:rPr>
      </w:pPr>
      <w:bookmarkStart w:id="0" w:name="_GoBack"/>
      <w:bookmarkEnd w:id="0"/>
      <w:r w:rsidRPr="00E71C9E">
        <w:rPr>
          <w:b/>
          <w:u w:val="single"/>
        </w:rPr>
        <w:t xml:space="preserve">I. Comments for CBER Nonclinical Reviewers: </w:t>
      </w:r>
    </w:p>
    <w:p w14:paraId="6F68426B" w14:textId="77777777" w:rsidR="002E5B3D" w:rsidRDefault="002E5B3D" w:rsidP="000C126F">
      <w:pPr>
        <w:pStyle w:val="ListParagraph"/>
        <w:numPr>
          <w:ilvl w:val="0"/>
          <w:numId w:val="1"/>
        </w:numPr>
      </w:pPr>
      <w:r>
        <w:t xml:space="preserve">The </w:t>
      </w:r>
      <w:r w:rsidR="00630D32">
        <w:t>data definition file (</w:t>
      </w:r>
      <w:r>
        <w:t>Define.xml</w:t>
      </w:r>
      <w:r w:rsidR="00630D32">
        <w:t>)</w:t>
      </w:r>
      <w:r>
        <w:t xml:space="preserve"> </w:t>
      </w:r>
      <w:r w:rsidR="00630D32">
        <w:t>h</w:t>
      </w:r>
      <w:r>
        <w:t xml:space="preserve">as various issues with regards to compliance with CDISC Define specification – see </w:t>
      </w:r>
      <w:proofErr w:type="spellStart"/>
      <w:r>
        <w:t>DataFit</w:t>
      </w:r>
      <w:proofErr w:type="spellEnd"/>
      <w:r>
        <w:t xml:space="preserve"> reports for details</w:t>
      </w:r>
      <w:r w:rsidR="008F01B6">
        <w:t xml:space="preserve"> (not review related)</w:t>
      </w:r>
      <w:r>
        <w:t xml:space="preserve">. </w:t>
      </w:r>
    </w:p>
    <w:p w14:paraId="0DC8EA5A" w14:textId="0170FB13" w:rsidR="00D35D24" w:rsidRDefault="00D35D24" w:rsidP="00D35D24">
      <w:pPr>
        <w:pStyle w:val="ListParagraph"/>
        <w:ind w:left="1080"/>
        <w:rPr>
          <w:color w:val="4F81BD" w:themeColor="accent1"/>
        </w:rPr>
      </w:pPr>
      <w:r w:rsidRPr="00D35D24">
        <w:rPr>
          <w:color w:val="4F81BD" w:themeColor="accent1"/>
        </w:rPr>
        <w:t>These are not review related.</w:t>
      </w:r>
    </w:p>
    <w:p w14:paraId="665CB71B" w14:textId="5275C3E6" w:rsidR="009E24F4" w:rsidRPr="00D35D24" w:rsidRDefault="009E24F4" w:rsidP="00D35D24">
      <w:pPr>
        <w:pStyle w:val="ListParagraph"/>
        <w:ind w:left="1080"/>
        <w:rPr>
          <w:color w:val="4F81BD" w:themeColor="accent1"/>
        </w:rPr>
      </w:pPr>
      <w:r>
        <w:rPr>
          <w:color w:val="4F81BD" w:themeColor="accent1"/>
        </w:rPr>
        <w:t xml:space="preserve">SEND people has general </w:t>
      </w:r>
      <w:r w:rsidR="006C689F">
        <w:rPr>
          <w:color w:val="4F81BD" w:themeColor="accent1"/>
        </w:rPr>
        <w:t>question about how define is used, specification of the define seems fit for clinical, but</w:t>
      </w:r>
      <w:r w:rsidR="00B86188">
        <w:rPr>
          <w:color w:val="4F81BD" w:themeColor="accent1"/>
        </w:rPr>
        <w:t xml:space="preserve"> might not make sense of non-clinical community</w:t>
      </w:r>
      <w:r w:rsidR="00D24A64">
        <w:rPr>
          <w:color w:val="4F81BD" w:themeColor="accent1"/>
        </w:rPr>
        <w:t>. Improve the use of define</w:t>
      </w:r>
      <w:r w:rsidR="002C62ED">
        <w:rPr>
          <w:color w:val="4F81BD" w:themeColor="accent1"/>
        </w:rPr>
        <w:t xml:space="preserve"> can contribute to the </w:t>
      </w:r>
      <w:r w:rsidR="001B53E7">
        <w:rPr>
          <w:color w:val="4F81BD" w:themeColor="accent1"/>
        </w:rPr>
        <w:t>standardization</w:t>
      </w:r>
      <w:r w:rsidR="00FC522C">
        <w:rPr>
          <w:color w:val="4F81BD" w:themeColor="accent1"/>
        </w:rPr>
        <w:t xml:space="preserve"> of define in non-clinical community. </w:t>
      </w:r>
    </w:p>
    <w:p w14:paraId="6FD32C53" w14:textId="77777777" w:rsidR="00A0383B" w:rsidRDefault="00A0383B" w:rsidP="00A0383B">
      <w:pPr>
        <w:pStyle w:val="ListParagraph"/>
        <w:ind w:left="1080"/>
      </w:pPr>
    </w:p>
    <w:p w14:paraId="13585DBF" w14:textId="77777777" w:rsidR="00630D32" w:rsidRPr="00D35D24" w:rsidRDefault="00630D32" w:rsidP="0091369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D35D24">
        <w:rPr>
          <w:rFonts w:eastAsia="Times New Roman"/>
        </w:rPr>
        <w:t xml:space="preserve">The </w:t>
      </w:r>
      <w:proofErr w:type="spellStart"/>
      <w:r w:rsidRPr="00D35D24">
        <w:rPr>
          <w:rFonts w:eastAsia="Times New Roman"/>
        </w:rPr>
        <w:t>nSDRG</w:t>
      </w:r>
      <w:proofErr w:type="spellEnd"/>
      <w:r w:rsidRPr="00D35D24">
        <w:rPr>
          <w:rFonts w:eastAsia="Times New Roman"/>
        </w:rPr>
        <w:t xml:space="preserve"> section 4.3 says: “No supplemental qualifiers are used”. But there are MA and MI </w:t>
      </w:r>
      <w:proofErr w:type="spellStart"/>
      <w:r w:rsidRPr="00D35D24">
        <w:rPr>
          <w:rFonts w:eastAsia="Times New Roman"/>
        </w:rPr>
        <w:t>suppquals</w:t>
      </w:r>
      <w:proofErr w:type="spellEnd"/>
      <w:r w:rsidRPr="00D35D24">
        <w:rPr>
          <w:rFonts w:eastAsia="Times New Roman"/>
        </w:rPr>
        <w:t xml:space="preserve"> in the submission.</w:t>
      </w:r>
      <w:r w:rsidR="00D35D24" w:rsidRPr="00D35D24">
        <w:rPr>
          <w:rFonts w:eastAsia="Times New Roman"/>
        </w:rPr>
        <w:t xml:space="preserve"> </w:t>
      </w:r>
      <w:r w:rsidRPr="00D35D24">
        <w:rPr>
          <w:rFonts w:eastAsia="Times New Roman"/>
        </w:rPr>
        <w:t xml:space="preserve">By looking at the data contents in </w:t>
      </w:r>
      <w:proofErr w:type="spellStart"/>
      <w:r w:rsidRPr="00D35D24">
        <w:rPr>
          <w:rFonts w:eastAsia="Times New Roman"/>
        </w:rPr>
        <w:t>SuppMA</w:t>
      </w:r>
      <w:proofErr w:type="spellEnd"/>
      <w:r w:rsidRPr="00D35D24">
        <w:rPr>
          <w:rFonts w:eastAsia="Times New Roman"/>
        </w:rPr>
        <w:t xml:space="preserve"> and </w:t>
      </w:r>
      <w:proofErr w:type="spellStart"/>
      <w:r w:rsidRPr="00D35D24">
        <w:rPr>
          <w:rFonts w:eastAsia="Times New Roman"/>
        </w:rPr>
        <w:t>SuppMI</w:t>
      </w:r>
      <w:proofErr w:type="spellEnd"/>
      <w:r w:rsidRPr="00D35D24">
        <w:rPr>
          <w:rFonts w:eastAsia="Times New Roman"/>
        </w:rPr>
        <w:t xml:space="preserve">, it seems that neither of the datasets is needed considering the captured </w:t>
      </w:r>
      <w:proofErr w:type="spellStart"/>
      <w:r w:rsidRPr="00D35D24">
        <w:rPr>
          <w:rFonts w:eastAsia="Times New Roman"/>
        </w:rPr>
        <w:t>suppqual</w:t>
      </w:r>
      <w:proofErr w:type="spellEnd"/>
      <w:r w:rsidRPr="00D35D24">
        <w:rPr>
          <w:rFonts w:eastAsia="Times New Roman"/>
        </w:rPr>
        <w:t xml:space="preserve"> information can be found in the primary datasets (MA and MI) – see the original result value variables. </w:t>
      </w:r>
    </w:p>
    <w:p w14:paraId="401129F3" w14:textId="77777777" w:rsidR="00923AFB" w:rsidRPr="005F1CCF" w:rsidRDefault="00A0383B" w:rsidP="00923AFB">
      <w:pPr>
        <w:pStyle w:val="ListParagraph"/>
        <w:spacing w:after="0" w:line="240" w:lineRule="auto"/>
        <w:ind w:left="1080"/>
        <w:contextualSpacing w:val="0"/>
        <w:rPr>
          <w:rFonts w:eastAsia="Times New Roman"/>
          <w:color w:val="4F81BD" w:themeColor="accent1"/>
        </w:rPr>
      </w:pPr>
      <w:r w:rsidRPr="005F1CCF">
        <w:rPr>
          <w:rFonts w:eastAsia="Times New Roman"/>
          <w:color w:val="4F81BD" w:themeColor="accent1"/>
        </w:rPr>
        <w:t>What is “Result Modifiers”</w:t>
      </w:r>
      <w:r w:rsidR="00D35D24" w:rsidRPr="005F1CCF">
        <w:rPr>
          <w:rFonts w:eastAsia="Times New Roman"/>
          <w:color w:val="4F81BD" w:themeColor="accent1"/>
        </w:rPr>
        <w:t xml:space="preserve"> in </w:t>
      </w:r>
      <w:proofErr w:type="spellStart"/>
      <w:r w:rsidR="00D35D24" w:rsidRPr="005F1CCF">
        <w:rPr>
          <w:rFonts w:eastAsia="Times New Roman"/>
          <w:color w:val="4F81BD" w:themeColor="accent1"/>
        </w:rPr>
        <w:t>suppMA</w:t>
      </w:r>
      <w:proofErr w:type="spellEnd"/>
      <w:r w:rsidRPr="005F1CCF">
        <w:rPr>
          <w:rFonts w:eastAsia="Times New Roman"/>
          <w:color w:val="4F81BD" w:themeColor="accent1"/>
        </w:rPr>
        <w:t>?  Are they duplicate information in MAORRES?</w:t>
      </w:r>
      <w:r w:rsidR="003D6949" w:rsidRPr="005F1CCF">
        <w:rPr>
          <w:rFonts w:eastAsia="Times New Roman"/>
          <w:color w:val="4F81BD" w:themeColor="accent1"/>
        </w:rPr>
        <w:t xml:space="preserve"> We noticed it is listed in </w:t>
      </w:r>
      <w:proofErr w:type="spellStart"/>
      <w:r w:rsidR="003D6949" w:rsidRPr="005F1CCF">
        <w:rPr>
          <w:rFonts w:eastAsia="Times New Roman"/>
          <w:color w:val="4F81BD" w:themeColor="accent1"/>
        </w:rPr>
        <w:t>suppMA</w:t>
      </w:r>
      <w:proofErr w:type="spellEnd"/>
      <w:r w:rsidR="003D6949" w:rsidRPr="005F1CCF">
        <w:rPr>
          <w:rFonts w:eastAsia="Times New Roman"/>
          <w:color w:val="4F81BD" w:themeColor="accent1"/>
        </w:rPr>
        <w:t xml:space="preserve"> when “MASTRESC” is not “UNREMARKABLE”.</w:t>
      </w:r>
    </w:p>
    <w:p w14:paraId="6D8326A4" w14:textId="77777777" w:rsidR="00A0383B" w:rsidRDefault="00A0383B" w:rsidP="00923AFB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</w:p>
    <w:p w14:paraId="5B6E59D6" w14:textId="77777777" w:rsidR="005A2C90" w:rsidRPr="00AA0B34" w:rsidRDefault="005A2C90" w:rsidP="005A2C90">
      <w:pPr>
        <w:pStyle w:val="ListParagraph"/>
        <w:numPr>
          <w:ilvl w:val="0"/>
          <w:numId w:val="1"/>
        </w:numPr>
      </w:pPr>
      <w:r>
        <w:t xml:space="preserve">The dosage amount value is expressed in various forms (ex: </w:t>
      </w:r>
      <w:r w:rsidR="00630D32">
        <w:t xml:space="preserve">1.024e13, </w:t>
      </w:r>
      <w:r w:rsidRPr="005A2C90">
        <w:rPr>
          <w:rFonts w:ascii="Times New Roman" w:hAnsi="Times New Roman" w:cs="Times New Roman"/>
          <w:color w:val="000000"/>
          <w:sz w:val="20"/>
          <w:szCs w:val="20"/>
        </w:rPr>
        <w:t>1.024x10</w:t>
      </w:r>
      <w:r w:rsidRPr="005A2C90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13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Verdana" w:hAnsi="Verdana"/>
          <w:sz w:val="18"/>
          <w:szCs w:val="18"/>
        </w:rPr>
        <w:t xml:space="preserve">10^13, </w:t>
      </w:r>
      <w:r w:rsidRPr="005A2C90">
        <w:rPr>
          <w:sz w:val="20"/>
          <w:szCs w:val="20"/>
        </w:rPr>
        <w:t>1E13</w:t>
      </w:r>
      <w:r>
        <w:rPr>
          <w:sz w:val="20"/>
          <w:szCs w:val="20"/>
        </w:rPr>
        <w:t>). Ideally there should be a single correct expression to be used throughout the submission.</w:t>
      </w:r>
    </w:p>
    <w:p w14:paraId="3379551D" w14:textId="77777777" w:rsidR="00AA0B34" w:rsidRPr="00D35D24" w:rsidRDefault="00D35D24" w:rsidP="00AA0B34">
      <w:pPr>
        <w:pStyle w:val="ListParagraph"/>
        <w:ind w:left="1080"/>
        <w:rPr>
          <w:color w:val="FF0000"/>
          <w:sz w:val="20"/>
          <w:szCs w:val="20"/>
        </w:rPr>
      </w:pPr>
      <w:r w:rsidRPr="00D35D24">
        <w:rPr>
          <w:color w:val="FF0000"/>
          <w:sz w:val="20"/>
          <w:szCs w:val="20"/>
        </w:rPr>
        <w:t xml:space="preserve">See below </w:t>
      </w:r>
      <w:r w:rsidR="00A87731" w:rsidRPr="00D35D24">
        <w:rPr>
          <w:color w:val="FF0000"/>
          <w:sz w:val="20"/>
          <w:szCs w:val="20"/>
        </w:rPr>
        <w:t>different display in different places</w:t>
      </w:r>
      <w:r w:rsidRPr="00D35D24">
        <w:rPr>
          <w:color w:val="FF0000"/>
          <w:sz w:val="20"/>
          <w:szCs w:val="20"/>
        </w:rPr>
        <w:t>:</w:t>
      </w:r>
    </w:p>
    <w:p w14:paraId="50C3025D" w14:textId="77777777" w:rsidR="00D35D24" w:rsidRPr="00CF1FBC" w:rsidRDefault="00D35D24" w:rsidP="00D35D24">
      <w:pPr>
        <w:pStyle w:val="ListParagraph"/>
        <w:ind w:left="1080" w:firstLine="360"/>
        <w:rPr>
          <w:color w:val="FF0000"/>
        </w:rPr>
      </w:pPr>
      <w:r w:rsidRPr="00CF1FBC">
        <w:rPr>
          <w:color w:val="FF0000"/>
        </w:rPr>
        <w:t xml:space="preserve">1.024e13: </w:t>
      </w:r>
      <w:r w:rsidRPr="00CF1FBC">
        <w:rPr>
          <w:color w:val="FF0000"/>
        </w:rPr>
        <w:tab/>
        <w:t xml:space="preserve">Study Report; </w:t>
      </w:r>
    </w:p>
    <w:p w14:paraId="643E98E7" w14:textId="77777777" w:rsidR="00D35D24" w:rsidRPr="00CF1FBC" w:rsidRDefault="00D35D24" w:rsidP="00D35D24">
      <w:pPr>
        <w:pStyle w:val="ListParagraph"/>
        <w:ind w:left="1080" w:firstLine="360"/>
        <w:rPr>
          <w:rFonts w:ascii="Times New Roman" w:hAnsi="Times New Roman" w:cs="Times New Roman"/>
          <w:color w:val="FF0000"/>
          <w:sz w:val="20"/>
          <w:szCs w:val="20"/>
        </w:rPr>
      </w:pPr>
      <w:r w:rsidRPr="00CF1FBC">
        <w:rPr>
          <w:rFonts w:ascii="Times New Roman" w:hAnsi="Times New Roman" w:cs="Times New Roman"/>
          <w:color w:val="FF0000"/>
          <w:sz w:val="20"/>
          <w:szCs w:val="20"/>
        </w:rPr>
        <w:t>1.024x10</w:t>
      </w:r>
      <w:r w:rsidRPr="00CF1FBC">
        <w:rPr>
          <w:rFonts w:ascii="Times New Roman" w:hAnsi="Times New Roman" w:cs="Times New Roman"/>
          <w:color w:val="FF0000"/>
          <w:sz w:val="20"/>
          <w:szCs w:val="20"/>
          <w:vertAlign w:val="superscript"/>
        </w:rPr>
        <w:t>13</w:t>
      </w:r>
      <w:r w:rsidRPr="00CF1FBC">
        <w:rPr>
          <w:rFonts w:ascii="Times New Roman" w:hAnsi="Times New Roman" w:cs="Times New Roman"/>
          <w:color w:val="FF0000"/>
          <w:szCs w:val="20"/>
        </w:rPr>
        <w:t xml:space="preserve">: </w:t>
      </w:r>
      <w:r w:rsidRPr="00CF1FBC">
        <w:rPr>
          <w:rFonts w:ascii="Times New Roman" w:hAnsi="Times New Roman" w:cs="Times New Roman"/>
          <w:color w:val="FF0000"/>
          <w:sz w:val="20"/>
          <w:szCs w:val="20"/>
        </w:rPr>
        <w:tab/>
      </w:r>
      <w:proofErr w:type="spellStart"/>
      <w:r w:rsidRPr="00CF1FBC">
        <w:rPr>
          <w:rFonts w:ascii="Times New Roman" w:hAnsi="Times New Roman" w:cs="Times New Roman"/>
          <w:color w:val="FF0000"/>
          <w:sz w:val="20"/>
          <w:szCs w:val="20"/>
        </w:rPr>
        <w:t>nSDRG</w:t>
      </w:r>
      <w:proofErr w:type="spellEnd"/>
      <w:r w:rsidRPr="00CF1FBC">
        <w:rPr>
          <w:rFonts w:ascii="Times New Roman" w:hAnsi="Times New Roman" w:cs="Times New Roman"/>
          <w:color w:val="FF0000"/>
          <w:sz w:val="20"/>
          <w:szCs w:val="20"/>
        </w:rPr>
        <w:t xml:space="preserve">; </w:t>
      </w:r>
      <w:r w:rsidRPr="00CF1FBC">
        <w:rPr>
          <w:color w:val="FF0000"/>
        </w:rPr>
        <w:t>Study Report;</w:t>
      </w:r>
    </w:p>
    <w:p w14:paraId="507CBE11" w14:textId="77777777" w:rsidR="00D35D24" w:rsidRPr="00CF1FBC" w:rsidRDefault="00D35D24" w:rsidP="00D35D24">
      <w:pPr>
        <w:pStyle w:val="ListParagraph"/>
        <w:ind w:left="1080" w:firstLine="360"/>
        <w:rPr>
          <w:rFonts w:ascii="Verdana" w:hAnsi="Verdana"/>
          <w:color w:val="FF0000"/>
          <w:sz w:val="18"/>
          <w:szCs w:val="18"/>
        </w:rPr>
      </w:pPr>
      <w:r w:rsidRPr="00CF1FBC">
        <w:rPr>
          <w:rFonts w:ascii="Verdana" w:hAnsi="Verdana"/>
          <w:color w:val="FF0000"/>
          <w:sz w:val="18"/>
          <w:szCs w:val="18"/>
        </w:rPr>
        <w:t xml:space="preserve">10^13: </w:t>
      </w:r>
      <w:r w:rsidRPr="00CF1FBC">
        <w:rPr>
          <w:rFonts w:ascii="Verdana" w:hAnsi="Verdana"/>
          <w:color w:val="FF0000"/>
          <w:sz w:val="18"/>
          <w:szCs w:val="18"/>
        </w:rPr>
        <w:tab/>
      </w:r>
      <w:proofErr w:type="spellStart"/>
      <w:r w:rsidRPr="00CF1FBC">
        <w:rPr>
          <w:rFonts w:ascii="Times New Roman" w:hAnsi="Times New Roman" w:cs="Times New Roman"/>
          <w:color w:val="FF0000"/>
          <w:sz w:val="20"/>
          <w:szCs w:val="20"/>
        </w:rPr>
        <w:t>nSDRG</w:t>
      </w:r>
      <w:proofErr w:type="spellEnd"/>
      <w:r w:rsidRPr="00CF1FBC">
        <w:rPr>
          <w:rFonts w:ascii="Times New Roman" w:hAnsi="Times New Roman" w:cs="Times New Roman"/>
          <w:color w:val="FF0000"/>
          <w:sz w:val="20"/>
          <w:szCs w:val="20"/>
        </w:rPr>
        <w:t>; Define.xml; dataset (EX)</w:t>
      </w:r>
    </w:p>
    <w:p w14:paraId="5C947E72" w14:textId="77777777" w:rsidR="00D35D24" w:rsidRPr="00CF1FBC" w:rsidRDefault="00D35D24" w:rsidP="00D35D24">
      <w:pPr>
        <w:pStyle w:val="ListParagraph"/>
        <w:ind w:left="1080" w:firstLine="360"/>
        <w:rPr>
          <w:color w:val="FF0000"/>
          <w:sz w:val="20"/>
          <w:szCs w:val="20"/>
        </w:rPr>
      </w:pPr>
      <w:r w:rsidRPr="00CF1FBC">
        <w:rPr>
          <w:color w:val="FF0000"/>
          <w:sz w:val="20"/>
          <w:szCs w:val="20"/>
        </w:rPr>
        <w:t xml:space="preserve">1E13: </w:t>
      </w:r>
      <w:r w:rsidRPr="00CF1FBC">
        <w:rPr>
          <w:color w:val="FF0000"/>
          <w:sz w:val="20"/>
          <w:szCs w:val="20"/>
        </w:rPr>
        <w:tab/>
      </w:r>
      <w:r w:rsidRPr="00CF1FBC">
        <w:rPr>
          <w:color w:val="FF0000"/>
          <w:sz w:val="20"/>
          <w:szCs w:val="20"/>
        </w:rPr>
        <w:tab/>
      </w:r>
      <w:proofErr w:type="spellStart"/>
      <w:r w:rsidRPr="00CF1FBC">
        <w:rPr>
          <w:rFonts w:ascii="Times New Roman" w:hAnsi="Times New Roman" w:cs="Times New Roman"/>
          <w:color w:val="FF0000"/>
          <w:sz w:val="20"/>
          <w:szCs w:val="20"/>
        </w:rPr>
        <w:t>nSDRG</w:t>
      </w:r>
      <w:proofErr w:type="spellEnd"/>
      <w:r w:rsidRPr="00CF1FBC">
        <w:rPr>
          <w:rFonts w:ascii="Times New Roman" w:hAnsi="Times New Roman" w:cs="Times New Roman"/>
          <w:color w:val="FF0000"/>
          <w:sz w:val="20"/>
          <w:szCs w:val="20"/>
        </w:rPr>
        <w:t>; Define.xml; dataset (DM)</w:t>
      </w:r>
    </w:p>
    <w:p w14:paraId="47C3C750" w14:textId="23D6D26A" w:rsidR="00D35D24" w:rsidRPr="001E002B" w:rsidRDefault="001E002B" w:rsidP="00AA0B34">
      <w:pPr>
        <w:pStyle w:val="ListParagraph"/>
        <w:ind w:left="1080"/>
        <w:rPr>
          <w:color w:val="4F81BD" w:themeColor="accent1"/>
          <w:sz w:val="20"/>
          <w:szCs w:val="20"/>
        </w:rPr>
      </w:pPr>
      <w:r w:rsidRPr="001E002B">
        <w:rPr>
          <w:color w:val="4F81BD" w:themeColor="accent1"/>
          <w:sz w:val="20"/>
          <w:szCs w:val="20"/>
        </w:rPr>
        <w:t xml:space="preserve">Check with </w:t>
      </w:r>
      <w:r w:rsidR="00F2479A">
        <w:rPr>
          <w:color w:val="4F81BD" w:themeColor="accent1"/>
          <w:sz w:val="20"/>
          <w:szCs w:val="20"/>
        </w:rPr>
        <w:t>IG to see if there is any recommendation in data or define</w:t>
      </w:r>
    </w:p>
    <w:p w14:paraId="3CC2111E" w14:textId="77777777" w:rsidR="00A87731" w:rsidRPr="005A2C90" w:rsidRDefault="00A87731" w:rsidP="00AA0B34">
      <w:pPr>
        <w:pStyle w:val="ListParagraph"/>
        <w:ind w:left="1080"/>
      </w:pPr>
    </w:p>
    <w:p w14:paraId="7C17898E" w14:textId="77777777" w:rsidR="00140C88" w:rsidRPr="00A87731" w:rsidRDefault="00140C88" w:rsidP="005A2C90">
      <w:pPr>
        <w:pStyle w:val="ListParagraph"/>
        <w:numPr>
          <w:ilvl w:val="0"/>
          <w:numId w:val="1"/>
        </w:numPr>
      </w:pPr>
      <w:r>
        <w:t>It appears that t</w:t>
      </w:r>
      <w:r w:rsidR="005A2C90">
        <w:t xml:space="preserve">he dosage unit value </w:t>
      </w:r>
      <w:r>
        <w:t>uses two different</w:t>
      </w:r>
      <w:r w:rsidR="005A2C90">
        <w:t xml:space="preserve"> express</w:t>
      </w:r>
      <w:r>
        <w:t>ions:</w:t>
      </w:r>
      <w:r w:rsidR="005A2C90">
        <w:t xml:space="preserve"> VG (“</w:t>
      </w:r>
      <w:r w:rsidR="005A2C90">
        <w:rPr>
          <w:rFonts w:ascii="Verdana" w:hAnsi="Verdana"/>
          <w:sz w:val="18"/>
          <w:szCs w:val="18"/>
        </w:rPr>
        <w:t>vector genomes") and GC (</w:t>
      </w:r>
      <w:r>
        <w:rPr>
          <w:rFonts w:ascii="Verdana" w:hAnsi="Verdana"/>
          <w:sz w:val="18"/>
          <w:szCs w:val="18"/>
        </w:rPr>
        <w:t>“Genome Copies”)</w:t>
      </w:r>
      <w:r w:rsidR="002F0458"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t xml:space="preserve"> Ideally, a single term is used throughout the submissions and/or an explicit clarification about their equivalence is documented in the relevant files (i.e., study report, define.xml, </w:t>
      </w:r>
      <w:proofErr w:type="spellStart"/>
      <w:r>
        <w:rPr>
          <w:rFonts w:ascii="Verdana" w:hAnsi="Verdana"/>
          <w:sz w:val="18"/>
          <w:szCs w:val="18"/>
        </w:rPr>
        <w:t>nSDRG</w:t>
      </w:r>
      <w:proofErr w:type="spellEnd"/>
      <w:r>
        <w:rPr>
          <w:rFonts w:ascii="Verdana" w:hAnsi="Verdana"/>
          <w:sz w:val="18"/>
          <w:szCs w:val="18"/>
        </w:rPr>
        <w:t xml:space="preserve">). </w:t>
      </w:r>
    </w:p>
    <w:p w14:paraId="2E050EBD" w14:textId="77777777" w:rsidR="00A87731" w:rsidRPr="00A87731" w:rsidRDefault="00A87731" w:rsidP="00A87731">
      <w:pPr>
        <w:pStyle w:val="ListParagraph"/>
        <w:ind w:left="1080"/>
        <w:rPr>
          <w:color w:val="FF0000"/>
          <w:sz w:val="20"/>
          <w:szCs w:val="20"/>
        </w:rPr>
      </w:pPr>
      <w:r w:rsidRPr="00A87731">
        <w:rPr>
          <w:color w:val="FF0000"/>
          <w:sz w:val="20"/>
          <w:szCs w:val="20"/>
        </w:rPr>
        <w:t>In SEND data, the unit is vg/kg, in study report it is listed (GC/kg), are they the same?</w:t>
      </w:r>
      <w:r>
        <w:rPr>
          <w:color w:val="FF0000"/>
          <w:sz w:val="20"/>
          <w:szCs w:val="20"/>
        </w:rPr>
        <w:t xml:space="preserve">  Shall they be </w:t>
      </w:r>
      <w:r w:rsidR="004368FF">
        <w:rPr>
          <w:color w:val="FF0000"/>
          <w:sz w:val="20"/>
          <w:szCs w:val="20"/>
        </w:rPr>
        <w:t xml:space="preserve">listed </w:t>
      </w:r>
      <w:r>
        <w:rPr>
          <w:color w:val="FF0000"/>
          <w:sz w:val="20"/>
          <w:szCs w:val="20"/>
        </w:rPr>
        <w:t>consistent?</w:t>
      </w:r>
    </w:p>
    <w:p w14:paraId="13132FC5" w14:textId="13468356" w:rsidR="00A87731" w:rsidRPr="00BB13BC" w:rsidRDefault="00BB13BC" w:rsidP="00A87731">
      <w:pPr>
        <w:pStyle w:val="ListParagraph"/>
        <w:ind w:left="1080"/>
        <w:rPr>
          <w:color w:val="4F81BD" w:themeColor="accent1"/>
        </w:rPr>
      </w:pPr>
      <w:r>
        <w:rPr>
          <w:color w:val="4F81BD" w:themeColor="accent1"/>
        </w:rPr>
        <w:t>Consistent units between report and data might be helpful</w:t>
      </w:r>
    </w:p>
    <w:p w14:paraId="621C5A80" w14:textId="77777777" w:rsidR="00A87731" w:rsidRPr="00140C88" w:rsidRDefault="00A87731" w:rsidP="00A87731">
      <w:pPr>
        <w:pStyle w:val="ListParagraph"/>
        <w:ind w:left="1080"/>
      </w:pPr>
    </w:p>
    <w:p w14:paraId="74C8DAB5" w14:textId="77777777" w:rsidR="000C126F" w:rsidRDefault="000C126F" w:rsidP="000C126F">
      <w:pPr>
        <w:pStyle w:val="ListParagraph"/>
        <w:numPr>
          <w:ilvl w:val="0"/>
          <w:numId w:val="1"/>
        </w:numPr>
      </w:pPr>
      <w:r>
        <w:t>Should the below custom (i.e., non-CDISC terminologies) terminologies be added to the CDISC standard terminologies?</w:t>
      </w:r>
      <w:r w:rsidR="00D429E4">
        <w:t xml:space="preserve"> Note: recommend adding to CDISC if a value is commonly seen in CBER studies.</w:t>
      </w:r>
    </w:p>
    <w:p w14:paraId="587B3568" w14:textId="77777777" w:rsidR="000C126F" w:rsidRDefault="000C126F" w:rsidP="000C126F">
      <w:pPr>
        <w:pStyle w:val="ListParagraph"/>
        <w:ind w:left="1080"/>
      </w:pPr>
    </w:p>
    <w:p w14:paraId="35A8A423" w14:textId="77777777" w:rsidR="002F0458" w:rsidRDefault="002F0458" w:rsidP="002F0458">
      <w:pPr>
        <w:pStyle w:val="ListParagraph"/>
        <w:ind w:left="1080"/>
        <w:rPr>
          <w:rFonts w:eastAsia="Times New Roman" w:cs="Times New Roman"/>
        </w:rPr>
      </w:pPr>
    </w:p>
    <w:p w14:paraId="21ADA61D" w14:textId="77777777" w:rsidR="00D7767B" w:rsidRPr="00867CE9" w:rsidRDefault="002F0458" w:rsidP="00901B36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867CE9">
        <w:rPr>
          <w:rFonts w:ascii="Calibri" w:eastAsia="Times New Roman" w:hAnsi="Calibri" w:cs="Times New Roman"/>
        </w:rPr>
        <w:t xml:space="preserve">In the </w:t>
      </w:r>
      <w:proofErr w:type="spellStart"/>
      <w:r w:rsidRPr="00867CE9">
        <w:rPr>
          <w:rFonts w:ascii="Calibri" w:eastAsia="Times New Roman" w:hAnsi="Calibri" w:cs="Times New Roman"/>
        </w:rPr>
        <w:t>nSDRG</w:t>
      </w:r>
      <w:proofErr w:type="spellEnd"/>
      <w:r w:rsidRPr="00867CE9">
        <w:rPr>
          <w:rFonts w:ascii="Calibri" w:eastAsia="Times New Roman" w:hAnsi="Calibri" w:cs="Times New Roman"/>
        </w:rPr>
        <w:t xml:space="preserve">, the following </w:t>
      </w:r>
      <w:r w:rsidR="00D7767B" w:rsidRPr="00867CE9">
        <w:rPr>
          <w:rFonts w:ascii="Calibri" w:eastAsia="Times New Roman" w:hAnsi="Calibri" w:cs="Times New Roman"/>
        </w:rPr>
        <w:t xml:space="preserve">“Tissue Comments” in </w:t>
      </w:r>
      <w:r w:rsidR="00EE7139" w:rsidRPr="00867CE9">
        <w:rPr>
          <w:rFonts w:ascii="Calibri" w:eastAsia="Times New Roman" w:hAnsi="Calibri" w:cs="Times New Roman"/>
        </w:rPr>
        <w:t xml:space="preserve">MA </w:t>
      </w:r>
      <w:r w:rsidR="00D7767B" w:rsidRPr="00867CE9">
        <w:rPr>
          <w:rFonts w:ascii="Calibri" w:eastAsia="Times New Roman" w:hAnsi="Calibri" w:cs="Times New Roman"/>
        </w:rPr>
        <w:t xml:space="preserve">explanation </w:t>
      </w:r>
      <w:r w:rsidR="00901B36" w:rsidRPr="00867CE9">
        <w:rPr>
          <w:rFonts w:ascii="Calibri" w:eastAsia="Times New Roman" w:hAnsi="Calibri" w:cs="Times New Roman"/>
        </w:rPr>
        <w:t>does not seem</w:t>
      </w:r>
      <w:r w:rsidR="00D7767B" w:rsidRPr="00867CE9">
        <w:rPr>
          <w:rFonts w:ascii="Calibri" w:eastAsia="Times New Roman" w:hAnsi="Calibri" w:cs="Times New Roman"/>
        </w:rPr>
        <w:t xml:space="preserve"> clear</w:t>
      </w:r>
      <w:r w:rsidR="00901B36" w:rsidRPr="00867CE9">
        <w:rPr>
          <w:rFonts w:ascii="Calibri" w:eastAsia="Times New Roman" w:hAnsi="Calibri" w:cs="Times New Roman"/>
        </w:rPr>
        <w:t xml:space="preserve"> and understandable</w:t>
      </w:r>
      <w:r w:rsidR="00D7767B" w:rsidRPr="00867CE9">
        <w:rPr>
          <w:rFonts w:ascii="Calibri" w:eastAsia="Times New Roman" w:hAnsi="Calibri" w:cs="Times New Roman"/>
        </w:rPr>
        <w:t>.</w:t>
      </w:r>
    </w:p>
    <w:p w14:paraId="1DCA6062" w14:textId="77777777" w:rsidR="00867CE9" w:rsidRPr="00867CE9" w:rsidRDefault="00867CE9" w:rsidP="008157F6">
      <w:pPr>
        <w:pStyle w:val="ListParagraph"/>
        <w:numPr>
          <w:ilvl w:val="0"/>
          <w:numId w:val="12"/>
        </w:numPr>
        <w:rPr>
          <w:rFonts w:ascii="Calibri" w:eastAsia="Times New Roman" w:hAnsi="Calibri" w:cs="Times New Roman"/>
        </w:rPr>
      </w:pPr>
      <w:r w:rsidRPr="00867CE9">
        <w:rPr>
          <w:rFonts w:ascii="Calibri" w:eastAsia="Times New Roman" w:hAnsi="Calibri" w:cs="Times New Roman"/>
        </w:rPr>
        <w:lastRenderedPageBreak/>
        <w:t>Timing Variables:</w:t>
      </w:r>
    </w:p>
    <w:p w14:paraId="77E04BC4" w14:textId="22659069" w:rsidR="00867CE9" w:rsidRDefault="00867CE9" w:rsidP="006670BF">
      <w:pPr>
        <w:pStyle w:val="ListParagraph"/>
        <w:numPr>
          <w:ilvl w:val="2"/>
          <w:numId w:val="14"/>
        </w:numPr>
        <w:rPr>
          <w:rFonts w:ascii="Calibri" w:eastAsia="Times New Roman" w:hAnsi="Calibri" w:cs="Times New Roman"/>
        </w:rPr>
      </w:pPr>
      <w:r w:rsidRPr="006670BF">
        <w:rPr>
          <w:rFonts w:ascii="Calibri" w:eastAsia="Times New Roman" w:hAnsi="Calibri" w:cs="Times New Roman"/>
          <w:i/>
        </w:rPr>
        <w:t>“This dataset populates the MADTC with the of data collection dates, not the date/time”,</w:t>
      </w:r>
      <w:r w:rsidRPr="006670BF">
        <w:rPr>
          <w:rFonts w:ascii="Calibri" w:eastAsia="Times New Roman" w:hAnsi="Calibri" w:cs="Times New Roman"/>
        </w:rPr>
        <w:t xml:space="preserve"> don’t understand what that means.</w:t>
      </w:r>
    </w:p>
    <w:p w14:paraId="2D61DAAC" w14:textId="0F5AA677" w:rsidR="001A24F2" w:rsidRPr="00A90AF9" w:rsidRDefault="001A24F2" w:rsidP="001A24F2">
      <w:pPr>
        <w:pStyle w:val="ListParagraph"/>
        <w:ind w:left="2160"/>
        <w:rPr>
          <w:rFonts w:ascii="Calibri" w:eastAsia="Times New Roman" w:hAnsi="Calibri" w:cs="Times New Roman"/>
          <w:color w:val="4F81BD" w:themeColor="accent1"/>
        </w:rPr>
      </w:pPr>
      <w:r w:rsidRPr="00A90AF9">
        <w:rPr>
          <w:rFonts w:ascii="Calibri" w:eastAsia="Times New Roman" w:hAnsi="Calibri" w:cs="Times New Roman"/>
          <w:color w:val="4F81BD" w:themeColor="accent1"/>
        </w:rPr>
        <w:t xml:space="preserve">Time </w:t>
      </w:r>
      <w:r w:rsidR="00A90AF9">
        <w:rPr>
          <w:rFonts w:ascii="Calibri" w:eastAsia="Times New Roman" w:hAnsi="Calibri" w:cs="Times New Roman"/>
          <w:color w:val="4F81BD" w:themeColor="accent1"/>
        </w:rPr>
        <w:t>of observation</w:t>
      </w:r>
      <w:r w:rsidR="00166649">
        <w:rPr>
          <w:rFonts w:ascii="Calibri" w:eastAsia="Times New Roman" w:hAnsi="Calibri" w:cs="Times New Roman"/>
          <w:color w:val="4F81BD" w:themeColor="accent1"/>
        </w:rPr>
        <w:t xml:space="preserve"> might</w:t>
      </w:r>
      <w:r w:rsidRPr="00A90AF9">
        <w:rPr>
          <w:rFonts w:ascii="Calibri" w:eastAsia="Times New Roman" w:hAnsi="Calibri" w:cs="Times New Roman"/>
          <w:color w:val="4F81BD" w:themeColor="accent1"/>
        </w:rPr>
        <w:t xml:space="preserve"> not</w:t>
      </w:r>
      <w:r w:rsidR="00166649">
        <w:rPr>
          <w:rFonts w:ascii="Calibri" w:eastAsia="Times New Roman" w:hAnsi="Calibri" w:cs="Times New Roman"/>
          <w:color w:val="4F81BD" w:themeColor="accent1"/>
        </w:rPr>
        <w:t xml:space="preserve"> be</w:t>
      </w:r>
      <w:r w:rsidRPr="00A90AF9">
        <w:rPr>
          <w:rFonts w:ascii="Calibri" w:eastAsia="Times New Roman" w:hAnsi="Calibri" w:cs="Times New Roman"/>
          <w:color w:val="4F81BD" w:themeColor="accent1"/>
        </w:rPr>
        <w:t xml:space="preserve"> captured</w:t>
      </w:r>
      <w:r w:rsidR="0084629A">
        <w:rPr>
          <w:rFonts w:ascii="Calibri" w:eastAsia="Times New Roman" w:hAnsi="Calibri" w:cs="Times New Roman"/>
          <w:color w:val="4F81BD" w:themeColor="accent1"/>
        </w:rPr>
        <w:t xml:space="preserve">. </w:t>
      </w:r>
      <w:proofErr w:type="spellStart"/>
      <w:r w:rsidR="0084629A">
        <w:rPr>
          <w:rFonts w:ascii="Calibri" w:eastAsia="Times New Roman" w:hAnsi="Calibri" w:cs="Times New Roman"/>
          <w:color w:val="4F81BD" w:themeColor="accent1"/>
        </w:rPr>
        <w:t>nSDRG</w:t>
      </w:r>
      <w:proofErr w:type="spellEnd"/>
      <w:r w:rsidR="0084629A">
        <w:rPr>
          <w:rFonts w:ascii="Calibri" w:eastAsia="Times New Roman" w:hAnsi="Calibri" w:cs="Times New Roman"/>
          <w:color w:val="4F81BD" w:themeColor="accent1"/>
        </w:rPr>
        <w:t xml:space="preserve"> language should be </w:t>
      </w:r>
      <w:proofErr w:type="gramStart"/>
      <w:r w:rsidR="0084629A">
        <w:rPr>
          <w:rFonts w:ascii="Calibri" w:eastAsia="Times New Roman" w:hAnsi="Calibri" w:cs="Times New Roman"/>
          <w:color w:val="4F81BD" w:themeColor="accent1"/>
        </w:rPr>
        <w:t>more clear</w:t>
      </w:r>
      <w:proofErr w:type="gramEnd"/>
      <w:r w:rsidR="0084629A">
        <w:rPr>
          <w:rFonts w:ascii="Calibri" w:eastAsia="Times New Roman" w:hAnsi="Calibri" w:cs="Times New Roman"/>
          <w:color w:val="4F81BD" w:themeColor="accent1"/>
        </w:rPr>
        <w:t>.</w:t>
      </w:r>
    </w:p>
    <w:p w14:paraId="72C798EF" w14:textId="496B93AE" w:rsidR="00BE6C42" w:rsidRDefault="00867CE9" w:rsidP="006670BF">
      <w:pPr>
        <w:pStyle w:val="ListParagraph"/>
        <w:numPr>
          <w:ilvl w:val="2"/>
          <w:numId w:val="14"/>
        </w:numPr>
        <w:rPr>
          <w:rFonts w:ascii="Calibri" w:eastAsia="Times New Roman" w:hAnsi="Calibri" w:cs="Times New Roman"/>
        </w:rPr>
      </w:pPr>
      <w:r w:rsidRPr="006670BF">
        <w:rPr>
          <w:rFonts w:ascii="Calibri" w:hAnsi="Calibri" w:cs="Times New Roman"/>
          <w:i/>
          <w:color w:val="000000"/>
        </w:rPr>
        <w:t>“</w:t>
      </w:r>
      <w:r w:rsidR="00D7767B" w:rsidRPr="006670BF">
        <w:rPr>
          <w:rFonts w:ascii="Calibri" w:hAnsi="Calibri" w:cs="Times New Roman"/>
          <w:i/>
          <w:color w:val="000000"/>
        </w:rPr>
        <w:t>Tissue comments in the microscopic pathology report which noted whether tissues were collected and did not addition interpretation, they were not included in the SEND dataset in the CO-Comments Domain</w:t>
      </w:r>
      <w:r w:rsidR="003E4212" w:rsidRPr="006670BF">
        <w:rPr>
          <w:rFonts w:ascii="Calibri" w:hAnsi="Calibri" w:cs="Times New Roman"/>
          <w:i/>
          <w:color w:val="000000"/>
        </w:rPr>
        <w:t>.</w:t>
      </w:r>
      <w:r w:rsidRPr="006670BF">
        <w:rPr>
          <w:rFonts w:ascii="Calibri" w:hAnsi="Calibri" w:cs="Times New Roman"/>
          <w:i/>
          <w:color w:val="000000"/>
        </w:rPr>
        <w:t>”</w:t>
      </w:r>
      <w:r w:rsidR="003E4212" w:rsidRPr="006670BF">
        <w:rPr>
          <w:rFonts w:ascii="Calibri" w:hAnsi="Calibri" w:cs="Times New Roman"/>
          <w:i/>
          <w:color w:val="000000"/>
        </w:rPr>
        <w:t xml:space="preserve">  </w:t>
      </w:r>
      <w:r w:rsidR="00BE6C42" w:rsidRPr="006670BF">
        <w:rPr>
          <w:rFonts w:ascii="Calibri" w:eastAsia="Times New Roman" w:hAnsi="Calibri" w:cs="Times New Roman"/>
        </w:rPr>
        <w:t>don’t understand what that means.</w:t>
      </w:r>
    </w:p>
    <w:p w14:paraId="3F0D5553" w14:textId="076EE478" w:rsidR="004C00B2" w:rsidRPr="004C00B2" w:rsidRDefault="00742776" w:rsidP="004C00B2">
      <w:pPr>
        <w:pStyle w:val="ListParagraph"/>
        <w:ind w:left="2160"/>
        <w:rPr>
          <w:rFonts w:ascii="Calibri" w:eastAsia="Times New Roman" w:hAnsi="Calibri" w:cs="Times New Roman"/>
          <w:color w:val="4F81BD" w:themeColor="accent1"/>
        </w:rPr>
      </w:pPr>
      <w:r>
        <w:rPr>
          <w:rFonts w:ascii="Calibri" w:hAnsi="Calibri" w:cs="Times New Roman"/>
          <w:color w:val="4F81BD" w:themeColor="accent1"/>
        </w:rPr>
        <w:t>Maybe bad language.</w:t>
      </w:r>
    </w:p>
    <w:p w14:paraId="6E42F70B" w14:textId="77777777" w:rsidR="00D7767B" w:rsidRPr="006670BF" w:rsidRDefault="008157F6" w:rsidP="006670BF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i/>
          <w:color w:val="000000"/>
        </w:rPr>
      </w:pPr>
      <w:r w:rsidRPr="006670BF">
        <w:rPr>
          <w:rFonts w:ascii="Calibri" w:hAnsi="Calibri" w:cs="Times New Roman"/>
          <w:i/>
          <w:color w:val="000000"/>
        </w:rPr>
        <w:t>“</w:t>
      </w:r>
      <w:r w:rsidR="00D7767B" w:rsidRPr="006670BF">
        <w:rPr>
          <w:rFonts w:ascii="Calibri" w:hAnsi="Calibri" w:cs="Times New Roman"/>
          <w:i/>
          <w:color w:val="000000"/>
        </w:rPr>
        <w:t>Measurements (dimensions) of lesions appear in –ORRES are not carried over to –STRESC or CO-Comments Domain</w:t>
      </w:r>
      <w:r w:rsidR="007232BF" w:rsidRPr="006670BF">
        <w:rPr>
          <w:rFonts w:ascii="Calibri" w:hAnsi="Calibri" w:cs="Times New Roman"/>
          <w:i/>
          <w:color w:val="000000"/>
        </w:rPr>
        <w:t>.</w:t>
      </w:r>
      <w:r w:rsidRPr="006670BF">
        <w:rPr>
          <w:rFonts w:ascii="Calibri" w:hAnsi="Calibri" w:cs="Times New Roman"/>
          <w:i/>
          <w:color w:val="000000"/>
        </w:rPr>
        <w:t>”</w:t>
      </w:r>
      <w:r w:rsidR="007232BF" w:rsidRPr="006670BF">
        <w:rPr>
          <w:rFonts w:ascii="Calibri" w:hAnsi="Calibri" w:cs="Times New Roman"/>
          <w:i/>
          <w:color w:val="000000"/>
        </w:rPr>
        <w:t xml:space="preserve">  Why?</w:t>
      </w:r>
    </w:p>
    <w:p w14:paraId="1A0C4255" w14:textId="70A203F7" w:rsidR="00161179" w:rsidRPr="00742776" w:rsidRDefault="00240C98" w:rsidP="007427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4F81BD" w:themeColor="accent1"/>
          <w:sz w:val="23"/>
          <w:szCs w:val="23"/>
        </w:rPr>
      </w:pPr>
      <w:r>
        <w:rPr>
          <w:rFonts w:ascii="Times New Roman" w:hAnsi="Times New Roman" w:cs="Times New Roman"/>
          <w:color w:val="4F81BD" w:themeColor="accent1"/>
          <w:sz w:val="23"/>
          <w:szCs w:val="23"/>
        </w:rPr>
        <w:t>All information from ORRES s</w:t>
      </w:r>
      <w:r w:rsidR="00153DD1">
        <w:rPr>
          <w:rFonts w:ascii="Times New Roman" w:hAnsi="Times New Roman" w:cs="Times New Roman"/>
          <w:color w:val="4F81BD" w:themeColor="accent1"/>
          <w:sz w:val="23"/>
          <w:szCs w:val="23"/>
        </w:rPr>
        <w:t>hould be</w:t>
      </w:r>
      <w:r>
        <w:rPr>
          <w:rFonts w:ascii="Times New Roman" w:hAnsi="Times New Roman" w:cs="Times New Roman"/>
          <w:color w:val="4F81BD" w:themeColor="accent1"/>
          <w:sz w:val="23"/>
          <w:szCs w:val="23"/>
        </w:rPr>
        <w:t xml:space="preserve"> parsed </w:t>
      </w:r>
      <w:r w:rsidR="00153DD1">
        <w:rPr>
          <w:rFonts w:ascii="Times New Roman" w:hAnsi="Times New Roman" w:cs="Times New Roman"/>
          <w:color w:val="4F81BD" w:themeColor="accent1"/>
          <w:sz w:val="23"/>
          <w:szCs w:val="23"/>
        </w:rPr>
        <w:t>at</w:t>
      </w:r>
      <w:r>
        <w:rPr>
          <w:rFonts w:ascii="Times New Roman" w:hAnsi="Times New Roman" w:cs="Times New Roman"/>
          <w:color w:val="4F81BD" w:themeColor="accent1"/>
          <w:sz w:val="23"/>
          <w:szCs w:val="23"/>
        </w:rPr>
        <w:t xml:space="preserve"> standard location</w:t>
      </w:r>
      <w:r w:rsidR="00B834D7">
        <w:rPr>
          <w:rFonts w:ascii="Times New Roman" w:hAnsi="Times New Roman" w:cs="Times New Roman"/>
          <w:color w:val="4F81BD" w:themeColor="accent1"/>
          <w:sz w:val="23"/>
          <w:szCs w:val="23"/>
        </w:rPr>
        <w:t>s</w:t>
      </w:r>
      <w:r>
        <w:rPr>
          <w:rFonts w:ascii="Times New Roman" w:hAnsi="Times New Roman" w:cs="Times New Roman"/>
          <w:color w:val="4F81BD" w:themeColor="accent1"/>
          <w:sz w:val="23"/>
          <w:szCs w:val="23"/>
        </w:rPr>
        <w:t xml:space="preserve"> and </w:t>
      </w:r>
      <w:r w:rsidR="00153DD1">
        <w:rPr>
          <w:rFonts w:ascii="Times New Roman" w:hAnsi="Times New Roman" w:cs="Times New Roman"/>
          <w:color w:val="4F81BD" w:themeColor="accent1"/>
          <w:sz w:val="23"/>
          <w:szCs w:val="23"/>
        </w:rPr>
        <w:t>stand</w:t>
      </w:r>
      <w:r w:rsidR="00FA0301">
        <w:rPr>
          <w:rFonts w:ascii="Times New Roman" w:hAnsi="Times New Roman" w:cs="Times New Roman"/>
          <w:color w:val="4F81BD" w:themeColor="accent1"/>
          <w:sz w:val="23"/>
          <w:szCs w:val="23"/>
        </w:rPr>
        <w:t xml:space="preserve">ard locations would be variables </w:t>
      </w:r>
      <w:r w:rsidR="00B834D7">
        <w:rPr>
          <w:rFonts w:ascii="Times New Roman" w:hAnsi="Times New Roman" w:cs="Times New Roman"/>
          <w:color w:val="4F81BD" w:themeColor="accent1"/>
          <w:sz w:val="23"/>
          <w:szCs w:val="23"/>
        </w:rPr>
        <w:t>within the</w:t>
      </w:r>
      <w:r w:rsidR="00FA0301">
        <w:rPr>
          <w:rFonts w:ascii="Times New Roman" w:hAnsi="Times New Roman" w:cs="Times New Roman"/>
          <w:color w:val="4F81BD" w:themeColor="accent1"/>
          <w:sz w:val="23"/>
          <w:szCs w:val="23"/>
        </w:rPr>
        <w:t xml:space="preserve"> domain or supplement qualifiers</w:t>
      </w:r>
      <w:r w:rsidR="00B834D7">
        <w:rPr>
          <w:rFonts w:ascii="Times New Roman" w:hAnsi="Times New Roman" w:cs="Times New Roman"/>
          <w:color w:val="4F81BD" w:themeColor="accent1"/>
          <w:sz w:val="23"/>
          <w:szCs w:val="23"/>
        </w:rPr>
        <w:t>, not in comments</w:t>
      </w:r>
    </w:p>
    <w:p w14:paraId="6359688E" w14:textId="77777777" w:rsidR="00A8315C" w:rsidRDefault="00A8315C" w:rsidP="002F045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color w:val="000000"/>
          <w:sz w:val="23"/>
          <w:szCs w:val="23"/>
        </w:rPr>
      </w:pPr>
    </w:p>
    <w:p w14:paraId="780CF9D5" w14:textId="77777777" w:rsidR="00A8315C" w:rsidRDefault="00A8315C" w:rsidP="002F045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color w:val="000000"/>
          <w:sz w:val="23"/>
          <w:szCs w:val="23"/>
        </w:rPr>
      </w:pPr>
    </w:p>
    <w:p w14:paraId="24D94FF3" w14:textId="77777777" w:rsidR="00A8315C" w:rsidRDefault="00A8315C" w:rsidP="002F045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color w:val="000000"/>
          <w:sz w:val="23"/>
          <w:szCs w:val="23"/>
        </w:rPr>
      </w:pPr>
    </w:p>
    <w:p w14:paraId="3FDCE296" w14:textId="77777777" w:rsidR="00A8315C" w:rsidRDefault="00A8315C" w:rsidP="002F045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color w:val="000000"/>
          <w:sz w:val="23"/>
          <w:szCs w:val="23"/>
        </w:rPr>
      </w:pPr>
    </w:p>
    <w:p w14:paraId="603DB03D" w14:textId="520DB4BB" w:rsidR="00161179" w:rsidRPr="00E34B26" w:rsidRDefault="00161179" w:rsidP="00E34B26">
      <w:pPr>
        <w:rPr>
          <w:rFonts w:ascii="Times New Roman" w:hAnsi="Times New Roman" w:cs="Times New Roman"/>
          <w:i/>
          <w:color w:val="000000"/>
          <w:sz w:val="23"/>
          <w:szCs w:val="23"/>
        </w:rPr>
      </w:pPr>
    </w:p>
    <w:sectPr w:rsidR="00161179" w:rsidRPr="00E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80261"/>
    <w:multiLevelType w:val="hybridMultilevel"/>
    <w:tmpl w:val="F7B69D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060D06"/>
    <w:multiLevelType w:val="hybridMultilevel"/>
    <w:tmpl w:val="764CAC8E"/>
    <w:lvl w:ilvl="0" w:tplc="65C0FE6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A5AFA"/>
    <w:multiLevelType w:val="hybridMultilevel"/>
    <w:tmpl w:val="DCA06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3098"/>
    <w:multiLevelType w:val="hybridMultilevel"/>
    <w:tmpl w:val="C882A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0DAF"/>
    <w:multiLevelType w:val="hybridMultilevel"/>
    <w:tmpl w:val="764CAC8E"/>
    <w:lvl w:ilvl="0" w:tplc="65C0FE6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978B8"/>
    <w:multiLevelType w:val="hybridMultilevel"/>
    <w:tmpl w:val="1C28A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1D4D42"/>
    <w:multiLevelType w:val="hybridMultilevel"/>
    <w:tmpl w:val="764CAC8E"/>
    <w:lvl w:ilvl="0" w:tplc="65C0FE68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31C07"/>
    <w:multiLevelType w:val="hybridMultilevel"/>
    <w:tmpl w:val="E5C2FA9E"/>
    <w:lvl w:ilvl="0" w:tplc="D1E85FA0">
      <w:start w:val="1"/>
      <w:numFmt w:val="decimal"/>
      <w:lvlText w:val="(%1)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4F641E"/>
    <w:multiLevelType w:val="hybridMultilevel"/>
    <w:tmpl w:val="88209A30"/>
    <w:lvl w:ilvl="0" w:tplc="E8F6CFC6">
      <w:start w:val="5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EF0346"/>
    <w:multiLevelType w:val="hybridMultilevel"/>
    <w:tmpl w:val="16F65150"/>
    <w:lvl w:ilvl="0" w:tplc="04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2F0F3A"/>
    <w:multiLevelType w:val="hybridMultilevel"/>
    <w:tmpl w:val="46BC270E"/>
    <w:lvl w:ilvl="0" w:tplc="31AAADC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6D4811"/>
    <w:multiLevelType w:val="hybridMultilevel"/>
    <w:tmpl w:val="F70652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697ED7"/>
    <w:multiLevelType w:val="hybridMultilevel"/>
    <w:tmpl w:val="87042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0"/>
  </w:num>
  <w:num w:numId="11">
    <w:abstractNumId w:val="5"/>
  </w:num>
  <w:num w:numId="12">
    <w:abstractNumId w:val="12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E"/>
    <w:rsid w:val="00012C7E"/>
    <w:rsid w:val="00046A6A"/>
    <w:rsid w:val="00073AF0"/>
    <w:rsid w:val="000C126F"/>
    <w:rsid w:val="000D2574"/>
    <w:rsid w:val="00114283"/>
    <w:rsid w:val="00117D0F"/>
    <w:rsid w:val="00137E8C"/>
    <w:rsid w:val="00140C88"/>
    <w:rsid w:val="001441D9"/>
    <w:rsid w:val="00153DD1"/>
    <w:rsid w:val="00155137"/>
    <w:rsid w:val="00161179"/>
    <w:rsid w:val="00164B6A"/>
    <w:rsid w:val="00166649"/>
    <w:rsid w:val="001A24F2"/>
    <w:rsid w:val="001A4D0C"/>
    <w:rsid w:val="001B53E7"/>
    <w:rsid w:val="001E002B"/>
    <w:rsid w:val="00204518"/>
    <w:rsid w:val="0021645B"/>
    <w:rsid w:val="00217F8B"/>
    <w:rsid w:val="00223957"/>
    <w:rsid w:val="00240C98"/>
    <w:rsid w:val="002715D0"/>
    <w:rsid w:val="002730E2"/>
    <w:rsid w:val="0028374F"/>
    <w:rsid w:val="002C2E82"/>
    <w:rsid w:val="002C62ED"/>
    <w:rsid w:val="002E5B3D"/>
    <w:rsid w:val="002E73B4"/>
    <w:rsid w:val="002F0458"/>
    <w:rsid w:val="002F3701"/>
    <w:rsid w:val="00307C41"/>
    <w:rsid w:val="00352714"/>
    <w:rsid w:val="003D6949"/>
    <w:rsid w:val="003D7C03"/>
    <w:rsid w:val="003E262B"/>
    <w:rsid w:val="003E4212"/>
    <w:rsid w:val="00401D4E"/>
    <w:rsid w:val="00435D38"/>
    <w:rsid w:val="004368FF"/>
    <w:rsid w:val="004537CC"/>
    <w:rsid w:val="004A650F"/>
    <w:rsid w:val="004C00B2"/>
    <w:rsid w:val="004C2A01"/>
    <w:rsid w:val="004E7873"/>
    <w:rsid w:val="005265BF"/>
    <w:rsid w:val="005450AB"/>
    <w:rsid w:val="00571DB7"/>
    <w:rsid w:val="005A1AA4"/>
    <w:rsid w:val="005A2C90"/>
    <w:rsid w:val="005A6619"/>
    <w:rsid w:val="005D1480"/>
    <w:rsid w:val="005F1CCF"/>
    <w:rsid w:val="00630D32"/>
    <w:rsid w:val="00650C7B"/>
    <w:rsid w:val="006670BF"/>
    <w:rsid w:val="006C689F"/>
    <w:rsid w:val="0072238B"/>
    <w:rsid w:val="007232BF"/>
    <w:rsid w:val="00742776"/>
    <w:rsid w:val="00757827"/>
    <w:rsid w:val="007648AA"/>
    <w:rsid w:val="00771CCD"/>
    <w:rsid w:val="007C5111"/>
    <w:rsid w:val="007D21FB"/>
    <w:rsid w:val="0081069E"/>
    <w:rsid w:val="008157F6"/>
    <w:rsid w:val="0084629A"/>
    <w:rsid w:val="00867CE9"/>
    <w:rsid w:val="008B2571"/>
    <w:rsid w:val="008B7864"/>
    <w:rsid w:val="008D22FC"/>
    <w:rsid w:val="008F01B6"/>
    <w:rsid w:val="008F1AA3"/>
    <w:rsid w:val="00900BBF"/>
    <w:rsid w:val="00901B36"/>
    <w:rsid w:val="00922FF0"/>
    <w:rsid w:val="00923AFB"/>
    <w:rsid w:val="0093499C"/>
    <w:rsid w:val="0094488A"/>
    <w:rsid w:val="0095500A"/>
    <w:rsid w:val="00964DE2"/>
    <w:rsid w:val="009747FC"/>
    <w:rsid w:val="00976F0D"/>
    <w:rsid w:val="009841CC"/>
    <w:rsid w:val="00986122"/>
    <w:rsid w:val="009A50B7"/>
    <w:rsid w:val="009D05C8"/>
    <w:rsid w:val="009E24F4"/>
    <w:rsid w:val="009E6D72"/>
    <w:rsid w:val="009E75AA"/>
    <w:rsid w:val="009F6E8C"/>
    <w:rsid w:val="00A01F0D"/>
    <w:rsid w:val="00A0383B"/>
    <w:rsid w:val="00A137EA"/>
    <w:rsid w:val="00A23E17"/>
    <w:rsid w:val="00A52715"/>
    <w:rsid w:val="00A630C5"/>
    <w:rsid w:val="00A70A2F"/>
    <w:rsid w:val="00A7457E"/>
    <w:rsid w:val="00A77FF2"/>
    <w:rsid w:val="00A8315C"/>
    <w:rsid w:val="00A84242"/>
    <w:rsid w:val="00A87731"/>
    <w:rsid w:val="00A90AF9"/>
    <w:rsid w:val="00A922E6"/>
    <w:rsid w:val="00AA0B34"/>
    <w:rsid w:val="00AD24CF"/>
    <w:rsid w:val="00AF3850"/>
    <w:rsid w:val="00B20193"/>
    <w:rsid w:val="00B225B1"/>
    <w:rsid w:val="00B52B99"/>
    <w:rsid w:val="00B5774E"/>
    <w:rsid w:val="00B81B9C"/>
    <w:rsid w:val="00B834D7"/>
    <w:rsid w:val="00B86188"/>
    <w:rsid w:val="00BB13BC"/>
    <w:rsid w:val="00BE415D"/>
    <w:rsid w:val="00BE6C42"/>
    <w:rsid w:val="00BF16F5"/>
    <w:rsid w:val="00C0138F"/>
    <w:rsid w:val="00C14A19"/>
    <w:rsid w:val="00C20676"/>
    <w:rsid w:val="00C248A9"/>
    <w:rsid w:val="00C30355"/>
    <w:rsid w:val="00C43477"/>
    <w:rsid w:val="00C9558F"/>
    <w:rsid w:val="00CD3964"/>
    <w:rsid w:val="00CD5E14"/>
    <w:rsid w:val="00CE1403"/>
    <w:rsid w:val="00D24A64"/>
    <w:rsid w:val="00D35D24"/>
    <w:rsid w:val="00D429E4"/>
    <w:rsid w:val="00D7690C"/>
    <w:rsid w:val="00D7767B"/>
    <w:rsid w:val="00E12F92"/>
    <w:rsid w:val="00E34A36"/>
    <w:rsid w:val="00E34B26"/>
    <w:rsid w:val="00E415BD"/>
    <w:rsid w:val="00E71C9E"/>
    <w:rsid w:val="00E778C8"/>
    <w:rsid w:val="00E85F58"/>
    <w:rsid w:val="00EA2AC0"/>
    <w:rsid w:val="00EA70B6"/>
    <w:rsid w:val="00EB2321"/>
    <w:rsid w:val="00EB74D6"/>
    <w:rsid w:val="00EC0150"/>
    <w:rsid w:val="00EC74B9"/>
    <w:rsid w:val="00EE7139"/>
    <w:rsid w:val="00EF0B93"/>
    <w:rsid w:val="00F01432"/>
    <w:rsid w:val="00F1157B"/>
    <w:rsid w:val="00F2479A"/>
    <w:rsid w:val="00F42287"/>
    <w:rsid w:val="00F97C30"/>
    <w:rsid w:val="00FA0301"/>
    <w:rsid w:val="00F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2219"/>
  <w15:chartTrackingRefBased/>
  <w15:docId w15:val="{EFF42651-518A-4EEA-92E1-C1DD3AC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1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E8C"/>
    <w:pPr>
      <w:ind w:left="720"/>
      <w:contextualSpacing/>
    </w:pPr>
  </w:style>
  <w:style w:type="character" w:customStyle="1" w:styleId="nci1">
    <w:name w:val="nci1"/>
    <w:basedOn w:val="DefaultParagraphFont"/>
    <w:rsid w:val="004A65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54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350">
              <w:marLeft w:val="0"/>
              <w:marRight w:val="0"/>
              <w:marTop w:val="150"/>
              <w:marBottom w:val="15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  <w:divsChild>
                <w:div w:id="930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982">
              <w:marLeft w:val="0"/>
              <w:marRight w:val="0"/>
              <w:marTop w:val="150"/>
              <w:marBottom w:val="15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  <w:divsChild>
                <w:div w:id="3117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641">
              <w:marLeft w:val="0"/>
              <w:marRight w:val="0"/>
              <w:marTop w:val="150"/>
              <w:marBottom w:val="150"/>
              <w:divBdr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</w:divBdr>
              <w:divsChild>
                <w:div w:id="1378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Shifu</dc:creator>
  <cp:keywords/>
  <dc:description/>
  <cp:lastModifiedBy>Lin, Lisa</cp:lastModifiedBy>
  <cp:revision>45</cp:revision>
  <dcterms:created xsi:type="dcterms:W3CDTF">2020-01-21T18:57:00Z</dcterms:created>
  <dcterms:modified xsi:type="dcterms:W3CDTF">2020-09-22T19:17:00Z</dcterms:modified>
</cp:coreProperties>
</file>