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CBE6F" w14:textId="77777777" w:rsidR="009F6E8C" w:rsidRPr="00650C7B" w:rsidRDefault="009F6E8C">
      <w:pPr>
        <w:rPr>
          <w:b/>
          <w:sz w:val="28"/>
        </w:rPr>
      </w:pPr>
      <w:r w:rsidRPr="00650C7B">
        <w:rPr>
          <w:b/>
          <w:sz w:val="28"/>
        </w:rPr>
        <w:t xml:space="preserve">CBER SEND Pilot </w:t>
      </w:r>
      <w:r w:rsidR="00462B52">
        <w:rPr>
          <w:b/>
          <w:sz w:val="28"/>
        </w:rPr>
        <w:t>4</w:t>
      </w:r>
      <w:r w:rsidR="008B7864">
        <w:rPr>
          <w:b/>
          <w:sz w:val="28"/>
        </w:rPr>
        <w:t xml:space="preserve"> </w:t>
      </w:r>
      <w:r w:rsidRPr="00650C7B">
        <w:rPr>
          <w:b/>
          <w:sz w:val="28"/>
        </w:rPr>
        <w:t xml:space="preserve">– </w:t>
      </w:r>
      <w:r w:rsidR="00650C7B" w:rsidRPr="00650C7B">
        <w:rPr>
          <w:b/>
          <w:sz w:val="28"/>
        </w:rPr>
        <w:t>S</w:t>
      </w:r>
      <w:r w:rsidR="008B7864">
        <w:rPr>
          <w:b/>
          <w:sz w:val="28"/>
        </w:rPr>
        <w:t>tandardized</w:t>
      </w:r>
      <w:r w:rsidRPr="00650C7B">
        <w:rPr>
          <w:b/>
          <w:sz w:val="28"/>
        </w:rPr>
        <w:t xml:space="preserve"> data </w:t>
      </w:r>
      <w:r w:rsidR="008B7864">
        <w:rPr>
          <w:b/>
          <w:sz w:val="28"/>
        </w:rPr>
        <w:t xml:space="preserve">validation </w:t>
      </w:r>
      <w:r w:rsidRPr="00650C7B">
        <w:rPr>
          <w:b/>
          <w:sz w:val="28"/>
        </w:rPr>
        <w:t>review</w:t>
      </w:r>
    </w:p>
    <w:p w14:paraId="5B328037" w14:textId="77777777" w:rsidR="0095500A" w:rsidRDefault="0095500A"/>
    <w:p w14:paraId="3B6D9A4B" w14:textId="77777777" w:rsidR="0095500A" w:rsidRDefault="009D05C8">
      <w:bookmarkStart w:id="0" w:name="_Hlk26878346"/>
      <w:r>
        <w:t xml:space="preserve">Ref: </w:t>
      </w:r>
      <w:r w:rsidR="0095500A">
        <w:t xml:space="preserve">Pilot </w:t>
      </w:r>
      <w:r w:rsidR="00C248A9">
        <w:t>Submission files</w:t>
      </w:r>
      <w:r w:rsidR="0095500A">
        <w:t xml:space="preserve"> and </w:t>
      </w:r>
      <w:proofErr w:type="spellStart"/>
      <w:r w:rsidR="0095500A">
        <w:t>DataFit</w:t>
      </w:r>
      <w:proofErr w:type="spellEnd"/>
      <w:r w:rsidR="0095500A">
        <w:t xml:space="preserve"> validation reports reviewed</w:t>
      </w:r>
      <w:r w:rsidR="00C248A9">
        <w:t xml:space="preserve">: </w:t>
      </w:r>
    </w:p>
    <w:p w14:paraId="76C500B1" w14:textId="0E0EA5BA" w:rsidR="009F6E8C" w:rsidRDefault="009F6E8C" w:rsidP="0095500A">
      <w:pPr>
        <w:ind w:firstLine="720"/>
        <w:rPr>
          <w:color w:val="0070C0"/>
          <w:sz w:val="20"/>
        </w:rPr>
      </w:pPr>
      <w:r w:rsidRPr="009D05C8">
        <w:rPr>
          <w:color w:val="0070C0"/>
          <w:sz w:val="20"/>
        </w:rPr>
        <w:t>\\cbsfs03\CBER_CASA-CV\Validation BLAs, supplements for 2020\</w:t>
      </w:r>
      <w:proofErr w:type="spellStart"/>
      <w:r w:rsidRPr="009D05C8">
        <w:rPr>
          <w:color w:val="0070C0"/>
          <w:sz w:val="20"/>
        </w:rPr>
        <w:t>SEND_Pilot</w:t>
      </w:r>
      <w:proofErr w:type="spellEnd"/>
      <w:r w:rsidRPr="009D05C8">
        <w:rPr>
          <w:color w:val="0070C0"/>
          <w:sz w:val="20"/>
        </w:rPr>
        <w:t>\</w:t>
      </w:r>
      <w:r w:rsidR="00C266C6">
        <w:rPr>
          <w:color w:val="0070C0"/>
          <w:sz w:val="20"/>
        </w:rPr>
        <w:t>XXX</w:t>
      </w:r>
      <w:bookmarkStart w:id="1" w:name="_GoBack"/>
      <w:bookmarkEnd w:id="1"/>
    </w:p>
    <w:p w14:paraId="7EB87125" w14:textId="77777777" w:rsidR="00C248A9" w:rsidRDefault="00C248A9" w:rsidP="009F6E8C"/>
    <w:p w14:paraId="04D9998C" w14:textId="77777777" w:rsidR="00B06A02" w:rsidRPr="00E71C9E" w:rsidRDefault="00B06A02" w:rsidP="00B06A02">
      <w:pPr>
        <w:rPr>
          <w:b/>
          <w:u w:val="single"/>
        </w:rPr>
      </w:pPr>
      <w:r w:rsidRPr="00E71C9E">
        <w:rPr>
          <w:b/>
          <w:u w:val="single"/>
        </w:rPr>
        <w:t xml:space="preserve">I. Comments for CBER Nonclinical Reviewers: </w:t>
      </w:r>
    </w:p>
    <w:p w14:paraId="2AE44223" w14:textId="77777777" w:rsidR="00654F0A" w:rsidRDefault="00654F0A" w:rsidP="00654F0A">
      <w:pPr>
        <w:ind w:firstLine="720"/>
        <w:rPr>
          <w:rFonts w:ascii="Times New Roman" w:hAnsi="Times New Roman" w:cs="Times New Roman"/>
          <w:color w:val="000000"/>
          <w:sz w:val="23"/>
          <w:szCs w:val="23"/>
        </w:rPr>
      </w:pPr>
      <w:r>
        <w:rPr>
          <w:rFonts w:cs="Times New Roman"/>
          <w:color w:val="000000"/>
        </w:rPr>
        <w:t xml:space="preserve">1. </w:t>
      </w:r>
      <w:r w:rsidR="00B06A02" w:rsidRPr="00790D29">
        <w:rPr>
          <w:rFonts w:cs="Times New Roman"/>
          <w:color w:val="000000"/>
        </w:rPr>
        <w:t xml:space="preserve">The </w:t>
      </w:r>
      <w:proofErr w:type="spellStart"/>
      <w:r w:rsidR="00B06A02" w:rsidRPr="00790D29">
        <w:rPr>
          <w:rFonts w:cs="Times New Roman"/>
          <w:color w:val="000000"/>
        </w:rPr>
        <w:t>nSDRG</w:t>
      </w:r>
      <w:proofErr w:type="spellEnd"/>
      <w:r w:rsidR="00B06A02" w:rsidRPr="00790D29">
        <w:rPr>
          <w:rFonts w:cs="Times New Roman"/>
          <w:color w:val="000000"/>
        </w:rPr>
        <w:t xml:space="preserve"> </w:t>
      </w:r>
      <w:r w:rsidR="00B06A02">
        <w:rPr>
          <w:rFonts w:cs="Times New Roman"/>
          <w:color w:val="000000"/>
        </w:rPr>
        <w:t xml:space="preserve">sections </w:t>
      </w:r>
      <w:r w:rsidR="00B06A02">
        <w:rPr>
          <w:b/>
          <w:bCs/>
          <w:sz w:val="23"/>
          <w:szCs w:val="23"/>
        </w:rPr>
        <w:t xml:space="preserve">4.2.6 </w:t>
      </w:r>
      <w:r w:rsidR="00B06A02">
        <w:rPr>
          <w:rFonts w:cs="Times New Roman"/>
          <w:color w:val="000000"/>
        </w:rPr>
        <w:t>says “</w:t>
      </w:r>
      <w:r w:rsidR="00B06A02" w:rsidRPr="00CA6E0B">
        <w:rPr>
          <w:rFonts w:ascii="Times New Roman" w:hAnsi="Times New Roman" w:cs="Times New Roman"/>
          <w:color w:val="000000"/>
          <w:sz w:val="23"/>
          <w:szCs w:val="23"/>
        </w:rPr>
        <w:t>LBDTC is populated with the actual dates/times of analysis and not the sample collection date/time.</w:t>
      </w:r>
      <w:r w:rsidR="00B06A02">
        <w:rPr>
          <w:rFonts w:ascii="Times New Roman" w:hAnsi="Times New Roman" w:cs="Times New Roman"/>
          <w:color w:val="000000"/>
          <w:sz w:val="23"/>
          <w:szCs w:val="23"/>
        </w:rPr>
        <w:t>”</w:t>
      </w:r>
      <w:r w:rsidR="00B06A02" w:rsidRPr="00CA6E0B">
        <w:rPr>
          <w:rFonts w:ascii="Times New Roman" w:hAnsi="Times New Roman" w:cs="Times New Roman"/>
          <w:color w:val="000000"/>
          <w:sz w:val="23"/>
          <w:szCs w:val="23"/>
        </w:rPr>
        <w:t xml:space="preserve"> </w:t>
      </w:r>
    </w:p>
    <w:p w14:paraId="11CA0DFD" w14:textId="77777777" w:rsidR="00654F0A" w:rsidRDefault="00B06A02" w:rsidP="00654F0A">
      <w:pPr>
        <w:ind w:left="1080"/>
        <w:rPr>
          <w:color w:val="4F81BD" w:themeColor="accent1"/>
        </w:rPr>
      </w:pPr>
      <w:r w:rsidRPr="00654F0A">
        <w:rPr>
          <w:rFonts w:cs="Times New Roman"/>
          <w:color w:val="4F81BD" w:themeColor="accent1"/>
        </w:rPr>
        <w:t xml:space="preserve">This seems a deviation from the definition and intended use of LBDTC. </w:t>
      </w:r>
      <w:r w:rsidR="00654F0A" w:rsidRPr="00654F0A">
        <w:rPr>
          <w:color w:val="4F81BD" w:themeColor="accent1"/>
        </w:rPr>
        <w:t>Not sure why LBDTC is not based on the collection date/times.</w:t>
      </w:r>
    </w:p>
    <w:p w14:paraId="0F874B26" w14:textId="77777777" w:rsidR="00CA474A" w:rsidRPr="00654F0A" w:rsidRDefault="00CA474A" w:rsidP="00654F0A">
      <w:pPr>
        <w:ind w:left="1080"/>
        <w:rPr>
          <w:color w:val="4F81BD" w:themeColor="accent1"/>
        </w:rPr>
      </w:pPr>
      <w:r>
        <w:rPr>
          <w:rFonts w:cs="Times New Roman"/>
          <w:color w:val="4F81BD" w:themeColor="accent1"/>
        </w:rPr>
        <w:t xml:space="preserve">This is </w:t>
      </w:r>
      <w:r w:rsidR="008F5FD1">
        <w:rPr>
          <w:rFonts w:cs="Times New Roman"/>
          <w:color w:val="4F81BD" w:themeColor="accent1"/>
        </w:rPr>
        <w:t>common for most of the SEND system</w:t>
      </w:r>
      <w:r>
        <w:rPr>
          <w:rFonts w:cs="Times New Roman"/>
          <w:color w:val="4F81BD" w:themeColor="accent1"/>
        </w:rPr>
        <w:t xml:space="preserve">, because the </w:t>
      </w:r>
      <w:r w:rsidR="008F5FD1">
        <w:rPr>
          <w:rFonts w:cs="Times New Roman"/>
          <w:color w:val="4F81BD" w:themeColor="accent1"/>
        </w:rPr>
        <w:t>collection is done from different system.</w:t>
      </w:r>
      <w:r w:rsidR="008F5FD1">
        <w:rPr>
          <w:color w:val="4F81BD" w:themeColor="accent1"/>
        </w:rPr>
        <w:t xml:space="preserve">  Usually the date is correct, might not be the time.  Depending on what is important for use, can make some suggestion for improvement.</w:t>
      </w:r>
      <w:r w:rsidR="002C07E1">
        <w:rPr>
          <w:color w:val="4F81BD" w:themeColor="accent1"/>
        </w:rPr>
        <w:t xml:space="preserve"> Usually it is important to know the elapse time from dose data and sample collection.</w:t>
      </w:r>
      <w:r w:rsidR="008E758D">
        <w:rPr>
          <w:color w:val="4F81BD" w:themeColor="accent1"/>
        </w:rPr>
        <w:t xml:space="preserve"> Consistency is the key issue. Recommendation: IF the date is the same, </w:t>
      </w:r>
      <w:r w:rsidR="00727E0B">
        <w:rPr>
          <w:color w:val="4F81BD" w:themeColor="accent1"/>
        </w:rPr>
        <w:t>it is meant to be the sample collection date, put whatever information is correct.</w:t>
      </w:r>
    </w:p>
    <w:p w14:paraId="37796C01" w14:textId="3B3975AB" w:rsidR="00B06A02" w:rsidRDefault="00B06A02" w:rsidP="00654F0A">
      <w:pPr>
        <w:pStyle w:val="ListParagraph"/>
        <w:numPr>
          <w:ilvl w:val="0"/>
          <w:numId w:val="10"/>
        </w:numPr>
        <w:autoSpaceDE w:val="0"/>
        <w:autoSpaceDN w:val="0"/>
        <w:adjustRightInd w:val="0"/>
        <w:spacing w:after="0" w:line="240" w:lineRule="auto"/>
        <w:rPr>
          <w:rFonts w:cs="Times New Roman"/>
          <w:color w:val="000000"/>
        </w:rPr>
      </w:pPr>
      <w:r w:rsidRPr="00814F99">
        <w:rPr>
          <w:rFonts w:cs="Times New Roman"/>
          <w:color w:val="000000"/>
        </w:rPr>
        <w:t xml:space="preserve">Datasets SUPPMA and SUPPMI do not seem to provide real additional information supplemental to MA and MI. In other words, the information captured by MARESMOD in SUPPMA is already found in the MAORRES. </w:t>
      </w:r>
    </w:p>
    <w:p w14:paraId="71C50A88" w14:textId="684E0B43" w:rsidR="0058498F" w:rsidRDefault="00E50EFD" w:rsidP="0058498F">
      <w:pPr>
        <w:pStyle w:val="ListParagraph"/>
        <w:autoSpaceDE w:val="0"/>
        <w:autoSpaceDN w:val="0"/>
        <w:adjustRightInd w:val="0"/>
        <w:spacing w:after="0" w:line="240" w:lineRule="auto"/>
        <w:ind w:left="990"/>
        <w:rPr>
          <w:rFonts w:cs="Times New Roman"/>
          <w:color w:val="4F81BD" w:themeColor="accent1"/>
        </w:rPr>
      </w:pPr>
      <w:proofErr w:type="spellStart"/>
      <w:r>
        <w:rPr>
          <w:rFonts w:cs="Times New Roman"/>
          <w:color w:val="4F81BD" w:themeColor="accent1"/>
        </w:rPr>
        <w:t>xx</w:t>
      </w:r>
      <w:r w:rsidR="00A90449">
        <w:rPr>
          <w:rFonts w:cs="Times New Roman"/>
          <w:color w:val="4F81BD" w:themeColor="accent1"/>
        </w:rPr>
        <w:t>RESMOD</w:t>
      </w:r>
      <w:proofErr w:type="spellEnd"/>
      <w:r w:rsidR="00A90449">
        <w:rPr>
          <w:rFonts w:cs="Times New Roman"/>
          <w:color w:val="4F81BD" w:themeColor="accent1"/>
        </w:rPr>
        <w:t xml:space="preserve"> is specifically needed in </w:t>
      </w:r>
      <w:r w:rsidR="003A443D">
        <w:rPr>
          <w:rFonts w:cs="Times New Roman"/>
          <w:color w:val="4F81BD" w:themeColor="accent1"/>
        </w:rPr>
        <w:t>data</w:t>
      </w:r>
      <w:r w:rsidR="003C5976">
        <w:rPr>
          <w:rFonts w:cs="Times New Roman"/>
          <w:color w:val="4F81BD" w:themeColor="accent1"/>
        </w:rPr>
        <w:t xml:space="preserve"> (for discoloration in this instance)</w:t>
      </w:r>
      <w:r w:rsidR="003A443D">
        <w:rPr>
          <w:rFonts w:cs="Times New Roman"/>
          <w:color w:val="4F81BD" w:themeColor="accent1"/>
        </w:rPr>
        <w:t xml:space="preserve">, </w:t>
      </w:r>
      <w:r w:rsidR="008008D0">
        <w:rPr>
          <w:rFonts w:cs="Times New Roman"/>
          <w:color w:val="4F81BD" w:themeColor="accent1"/>
        </w:rPr>
        <w:t xml:space="preserve">pathologist </w:t>
      </w:r>
      <w:r w:rsidR="00D059C9">
        <w:rPr>
          <w:rFonts w:cs="Times New Roman"/>
          <w:color w:val="4F81BD" w:themeColor="accent1"/>
        </w:rPr>
        <w:t>thinks this is clear to identif</w:t>
      </w:r>
      <w:r w:rsidR="00F36962">
        <w:rPr>
          <w:rFonts w:cs="Times New Roman"/>
          <w:color w:val="4F81BD" w:themeColor="accent1"/>
        </w:rPr>
        <w:t>y it, computationally analyz</w:t>
      </w:r>
      <w:r w:rsidR="0058498F">
        <w:rPr>
          <w:rFonts w:cs="Times New Roman"/>
          <w:color w:val="4F81BD" w:themeColor="accent1"/>
        </w:rPr>
        <w:t>ed</w:t>
      </w:r>
      <w:r>
        <w:rPr>
          <w:rFonts w:cs="Times New Roman"/>
          <w:color w:val="4F81BD" w:themeColor="accent1"/>
        </w:rPr>
        <w:t xml:space="preserve">, </w:t>
      </w:r>
      <w:proofErr w:type="spellStart"/>
      <w:r>
        <w:rPr>
          <w:rFonts w:cs="Times New Roman"/>
          <w:color w:val="4F81BD" w:themeColor="accent1"/>
        </w:rPr>
        <w:t>xxORRES</w:t>
      </w:r>
      <w:proofErr w:type="spellEnd"/>
      <w:r>
        <w:rPr>
          <w:rFonts w:cs="Times New Roman"/>
          <w:color w:val="4F81BD" w:themeColor="accent1"/>
        </w:rPr>
        <w:t xml:space="preserve"> contains everything</w:t>
      </w:r>
      <w:r w:rsidR="00BB24F4">
        <w:rPr>
          <w:rFonts w:cs="Times New Roman"/>
          <w:color w:val="4F81BD" w:themeColor="accent1"/>
        </w:rPr>
        <w:t xml:space="preserve">. </w:t>
      </w:r>
      <w:r w:rsidR="00E1052F">
        <w:rPr>
          <w:rFonts w:cs="Times New Roman"/>
          <w:color w:val="4F81BD" w:themeColor="accent1"/>
        </w:rPr>
        <w:t>Reports might contain incidence count</w:t>
      </w:r>
      <w:r w:rsidR="00440EA3">
        <w:rPr>
          <w:rFonts w:cs="Times New Roman"/>
          <w:color w:val="4F81BD" w:themeColor="accent1"/>
        </w:rPr>
        <w:t xml:space="preserve">.  </w:t>
      </w:r>
      <w:r w:rsidR="0024560D">
        <w:rPr>
          <w:rFonts w:cs="Times New Roman"/>
          <w:color w:val="4F81BD" w:themeColor="accent1"/>
        </w:rPr>
        <w:t xml:space="preserve">Same principal </w:t>
      </w:r>
      <w:r w:rsidR="00932698">
        <w:rPr>
          <w:rFonts w:cs="Times New Roman"/>
          <w:color w:val="4F81BD" w:themeColor="accent1"/>
        </w:rPr>
        <w:t>applies to</w:t>
      </w:r>
      <w:r w:rsidR="0024560D">
        <w:rPr>
          <w:rFonts w:cs="Times New Roman"/>
          <w:color w:val="4F81BD" w:themeColor="accent1"/>
        </w:rPr>
        <w:t xml:space="preserve"> MI</w:t>
      </w:r>
      <w:r w:rsidR="00932698">
        <w:rPr>
          <w:rFonts w:cs="Times New Roman"/>
          <w:color w:val="4F81BD" w:themeColor="accent1"/>
        </w:rPr>
        <w:t>.</w:t>
      </w:r>
    </w:p>
    <w:p w14:paraId="1F49255C" w14:textId="77777777" w:rsidR="0058498F" w:rsidRPr="0058498F" w:rsidRDefault="0058498F" w:rsidP="0058498F">
      <w:pPr>
        <w:pStyle w:val="ListParagraph"/>
        <w:autoSpaceDE w:val="0"/>
        <w:autoSpaceDN w:val="0"/>
        <w:adjustRightInd w:val="0"/>
        <w:spacing w:after="0" w:line="240" w:lineRule="auto"/>
        <w:ind w:left="990"/>
        <w:rPr>
          <w:rFonts w:cs="Times New Roman"/>
          <w:color w:val="4F81BD" w:themeColor="accent1"/>
        </w:rPr>
      </w:pPr>
    </w:p>
    <w:p w14:paraId="4831451E" w14:textId="77777777" w:rsidR="005E2429" w:rsidRPr="005E2429" w:rsidRDefault="005E2429" w:rsidP="005E2429">
      <w:pPr>
        <w:pStyle w:val="ListParagraph"/>
        <w:rPr>
          <w:rFonts w:ascii="Times New Roman" w:hAnsi="Times New Roman" w:cs="Times New Roman"/>
          <w:color w:val="000000"/>
          <w:sz w:val="20"/>
          <w:szCs w:val="20"/>
        </w:rPr>
      </w:pPr>
    </w:p>
    <w:p w14:paraId="2535792D" w14:textId="7C62A77F" w:rsidR="005E2429" w:rsidRDefault="005E2429" w:rsidP="00654F0A">
      <w:pPr>
        <w:pStyle w:val="ListParagraph"/>
        <w:numPr>
          <w:ilvl w:val="0"/>
          <w:numId w:val="10"/>
        </w:numPr>
        <w:spacing w:before="240" w:after="120"/>
      </w:pPr>
      <w:r>
        <w:t xml:space="preserve">BW (Body Weight) dataset –BWSTRESU variables: these variables values are currently represented in both ‘g’ and ‘kg’ but should </w:t>
      </w:r>
      <w:r w:rsidR="00A33CFC">
        <w:t>those</w:t>
      </w:r>
      <w:r>
        <w:t xml:space="preserve"> </w:t>
      </w:r>
      <w:r w:rsidR="00FD213D">
        <w:t xml:space="preserve">should’ve </w:t>
      </w:r>
      <w:r>
        <w:t>been standardized into a single unit</w:t>
      </w:r>
      <w:r w:rsidR="00A33CFC">
        <w:t>?  Currently BWTESTCD=TERMBW, the units are ‘kg’; BWTESTCD=BW, the units are ‘g’.</w:t>
      </w:r>
      <w:r>
        <w:t xml:space="preserve">  </w:t>
      </w:r>
    </w:p>
    <w:p w14:paraId="0F766EB2" w14:textId="57342F4C" w:rsidR="00654F0A" w:rsidRPr="00BA66F9" w:rsidRDefault="00BA66F9" w:rsidP="00BA66F9">
      <w:pPr>
        <w:ind w:left="990"/>
        <w:rPr>
          <w:color w:val="4F81BD" w:themeColor="accent1"/>
        </w:rPr>
      </w:pPr>
      <w:r>
        <w:rPr>
          <w:color w:val="4F81BD" w:themeColor="accent1"/>
        </w:rPr>
        <w:t xml:space="preserve">Different system comes out with </w:t>
      </w:r>
      <w:r w:rsidR="00FB74F6">
        <w:rPr>
          <w:color w:val="4F81BD" w:themeColor="accent1"/>
        </w:rPr>
        <w:t>different unit, the same with report.</w:t>
      </w:r>
      <w:r w:rsidR="00AC5077">
        <w:rPr>
          <w:color w:val="4F81BD" w:themeColor="accent1"/>
        </w:rPr>
        <w:t xml:space="preserve"> The rule with SENDIG is unit is consistent with specific test.  </w:t>
      </w:r>
      <w:r w:rsidR="0040593A">
        <w:rPr>
          <w:color w:val="4F81BD" w:themeColor="accent1"/>
        </w:rPr>
        <w:t>TERMBW will not compare with regular</w:t>
      </w:r>
      <w:r w:rsidR="00C52721">
        <w:rPr>
          <w:color w:val="4F81BD" w:themeColor="accent1"/>
        </w:rPr>
        <w:t xml:space="preserve"> weight.</w:t>
      </w:r>
      <w:r w:rsidR="002F46D4">
        <w:rPr>
          <w:color w:val="4F81BD" w:themeColor="accent1"/>
        </w:rPr>
        <w:t xml:space="preserve">  This might be differently across different studies.</w:t>
      </w:r>
    </w:p>
    <w:p w14:paraId="4D8150BF" w14:textId="77777777" w:rsidR="00654F0A" w:rsidRDefault="00654F0A" w:rsidP="00654F0A">
      <w:pPr>
        <w:pStyle w:val="ListParagraph"/>
        <w:spacing w:before="240" w:after="120"/>
        <w:ind w:left="990"/>
      </w:pPr>
    </w:p>
    <w:p w14:paraId="75037E0F" w14:textId="77777777" w:rsidR="005E2429" w:rsidRDefault="005E2429" w:rsidP="00654F0A">
      <w:pPr>
        <w:pStyle w:val="ListParagraph"/>
        <w:numPr>
          <w:ilvl w:val="0"/>
          <w:numId w:val="10"/>
        </w:numPr>
        <w:spacing w:after="120"/>
      </w:pPr>
      <w:r w:rsidRPr="002E73B4">
        <w:t>Define file</w:t>
      </w:r>
      <w:r>
        <w:t xml:space="preserve"> – Microscopic Findings (MI) section</w:t>
      </w:r>
      <w:r w:rsidRPr="002E73B4">
        <w:t>:</w:t>
      </w:r>
      <w:r>
        <w:t xml:space="preserve"> </w:t>
      </w:r>
    </w:p>
    <w:p w14:paraId="2207FB04" w14:textId="2DEC0913" w:rsidR="005E2429" w:rsidRDefault="00D261F6" w:rsidP="005E2429">
      <w:pPr>
        <w:ind w:left="1440"/>
        <w:rPr>
          <w:rFonts w:ascii="Verdana" w:hAnsi="Verdana"/>
          <w:sz w:val="18"/>
          <w:szCs w:val="18"/>
        </w:rPr>
      </w:pPr>
      <w:r>
        <w:t>MISEV has missing value in the data.</w:t>
      </w:r>
      <w:r w:rsidR="005E2429">
        <w:t xml:space="preserve"> </w:t>
      </w:r>
      <w:r>
        <w:t>T</w:t>
      </w:r>
      <w:r w:rsidR="005E2429">
        <w:t xml:space="preserve">he Define file associates MISEV with </w:t>
      </w:r>
      <w:proofErr w:type="spellStart"/>
      <w:r w:rsidR="005E2429">
        <w:t>codelist</w:t>
      </w:r>
      <w:proofErr w:type="spellEnd"/>
      <w:r w:rsidR="005E2429">
        <w:t xml:space="preserve"> </w:t>
      </w:r>
      <w:r w:rsidR="005E2429">
        <w:rPr>
          <w:rFonts w:ascii="Verdana" w:hAnsi="Verdana"/>
          <w:sz w:val="18"/>
          <w:szCs w:val="18"/>
        </w:rPr>
        <w:t>&lt;</w:t>
      </w:r>
      <w:hyperlink r:id="rId5" w:anchor="CL.CL.SEV" w:history="1">
        <w:r w:rsidR="005E2429">
          <w:rPr>
            <w:rStyle w:val="Hyperlink"/>
            <w:rFonts w:ascii="Verdana" w:hAnsi="Verdana"/>
            <w:sz w:val="18"/>
            <w:szCs w:val="18"/>
          </w:rPr>
          <w:t>SEND Severity</w:t>
        </w:r>
      </w:hyperlink>
      <w:r w:rsidR="005E2429">
        <w:rPr>
          <w:rFonts w:ascii="Verdana" w:hAnsi="Verdana"/>
          <w:sz w:val="18"/>
          <w:szCs w:val="18"/>
        </w:rPr>
        <w:t xml:space="preserve">&gt; ["1 OF 5", "2 OF 5", "3 OF 5", "4 OF 5"]. But in SENDIG V3.1, MISEV is associated with </w:t>
      </w:r>
      <w:proofErr w:type="spellStart"/>
      <w:r w:rsidR="005E2429">
        <w:rPr>
          <w:rFonts w:ascii="Verdana" w:hAnsi="Verdana"/>
          <w:sz w:val="18"/>
          <w:szCs w:val="18"/>
        </w:rPr>
        <w:t>codelist</w:t>
      </w:r>
      <w:proofErr w:type="spellEnd"/>
      <w:r w:rsidR="005E2429">
        <w:rPr>
          <w:rFonts w:ascii="Verdana" w:hAnsi="Verdana"/>
          <w:sz w:val="18"/>
          <w:szCs w:val="18"/>
        </w:rPr>
        <w:t xml:space="preserve"> &lt;SEV&gt; [‘MILD’, ‘MODERATE’, ‘SLIGHT’, ‘SEVERE’, ‘MINIMAL’, ‘MARKED’]. Is it a deviation?</w:t>
      </w:r>
      <w:r>
        <w:rPr>
          <w:rFonts w:ascii="Verdana" w:hAnsi="Verdana"/>
          <w:sz w:val="18"/>
          <w:szCs w:val="18"/>
        </w:rPr>
        <w:t xml:space="preserve"> </w:t>
      </w:r>
    </w:p>
    <w:p w14:paraId="5324E323" w14:textId="6D5A7510" w:rsidR="00F165E7" w:rsidRPr="00116927" w:rsidRDefault="00116927" w:rsidP="005E2429">
      <w:pPr>
        <w:ind w:left="1440"/>
        <w:rPr>
          <w:rFonts w:ascii="Verdana" w:hAnsi="Verdana"/>
          <w:color w:val="4F81BD" w:themeColor="accent1"/>
          <w:sz w:val="18"/>
          <w:szCs w:val="18"/>
        </w:rPr>
      </w:pPr>
      <w:r w:rsidRPr="00116927">
        <w:rPr>
          <w:color w:val="4F81BD" w:themeColor="accent1"/>
        </w:rPr>
        <w:lastRenderedPageBreak/>
        <w:t>Issue with SENDIG</w:t>
      </w:r>
      <w:r w:rsidR="00183D83">
        <w:rPr>
          <w:color w:val="4F81BD" w:themeColor="accent1"/>
        </w:rPr>
        <w:t xml:space="preserve"> is aware, </w:t>
      </w:r>
      <w:r w:rsidR="00456D0F">
        <w:rPr>
          <w:color w:val="4F81BD" w:themeColor="accent1"/>
        </w:rPr>
        <w:t>controlled terminology has been changed based on different version.</w:t>
      </w:r>
    </w:p>
    <w:p w14:paraId="49DA6B64" w14:textId="77777777" w:rsidR="005E2429" w:rsidRPr="00FA0FCE" w:rsidRDefault="005E2429" w:rsidP="00654F0A">
      <w:pPr>
        <w:pStyle w:val="ListParagraph"/>
        <w:numPr>
          <w:ilvl w:val="0"/>
          <w:numId w:val="10"/>
        </w:numPr>
        <w:autoSpaceDE w:val="0"/>
        <w:autoSpaceDN w:val="0"/>
        <w:adjustRightInd w:val="0"/>
        <w:spacing w:after="120" w:line="240" w:lineRule="auto"/>
        <w:rPr>
          <w:rFonts w:cstheme="minorHAnsi"/>
          <w:color w:val="000000"/>
          <w:szCs w:val="20"/>
        </w:rPr>
      </w:pPr>
      <w:r w:rsidRPr="00FA0FCE">
        <w:rPr>
          <w:rFonts w:eastAsia="TimesNewRoman" w:cstheme="minorHAnsi"/>
          <w:szCs w:val="20"/>
        </w:rPr>
        <w:t>CL (Clinical Observation) dataset – CLNOMLBL (</w:t>
      </w:r>
      <w:r w:rsidRPr="00690EBD">
        <w:rPr>
          <w:rFonts w:cstheme="minorHAnsi"/>
          <w:color w:val="000000"/>
          <w:szCs w:val="20"/>
        </w:rPr>
        <w:t>Label for Nominal Study Day</w:t>
      </w:r>
      <w:r w:rsidRPr="00FA0FCE">
        <w:rPr>
          <w:rFonts w:cstheme="minorHAnsi"/>
          <w:color w:val="000000"/>
          <w:szCs w:val="20"/>
        </w:rPr>
        <w:t xml:space="preserve">) </w:t>
      </w:r>
      <w:r w:rsidRPr="00FA0FCE">
        <w:rPr>
          <w:rFonts w:eastAsia="TimesNewRoman" w:cstheme="minorHAnsi"/>
          <w:szCs w:val="20"/>
        </w:rPr>
        <w:t xml:space="preserve">variable: </w:t>
      </w:r>
    </w:p>
    <w:p w14:paraId="5B56BCF5" w14:textId="5A7E05E1" w:rsidR="005E2429" w:rsidRPr="008026CB" w:rsidRDefault="005E2429" w:rsidP="005E2429">
      <w:pPr>
        <w:autoSpaceDE w:val="0"/>
        <w:autoSpaceDN w:val="0"/>
        <w:adjustRightInd w:val="0"/>
        <w:spacing w:after="0" w:line="240" w:lineRule="auto"/>
        <w:ind w:left="1440"/>
        <w:rPr>
          <w:rFonts w:cstheme="minorHAnsi"/>
          <w:color w:val="000000"/>
          <w:szCs w:val="20"/>
        </w:rPr>
      </w:pPr>
      <w:r w:rsidRPr="008026CB">
        <w:rPr>
          <w:rFonts w:eastAsia="TimesNewRoman" w:cstheme="minorHAnsi"/>
          <w:szCs w:val="20"/>
        </w:rPr>
        <w:t>Comment: Some of the values appear a bit too cryptic and should be made more explicit (see examples below). Additional guidance or convention may be helpful</w:t>
      </w:r>
      <w:r w:rsidR="00D629B7">
        <w:rPr>
          <w:rFonts w:eastAsia="TimesNewRoman" w:cstheme="minorHAnsi"/>
          <w:szCs w:val="20"/>
        </w:rPr>
        <w:t>.</w:t>
      </w:r>
      <w:r w:rsidRPr="008026CB">
        <w:rPr>
          <w:rFonts w:eastAsia="TimesNewRoman" w:cstheme="minorHAnsi"/>
          <w:szCs w:val="20"/>
        </w:rPr>
        <w:t xml:space="preserve"> </w:t>
      </w:r>
      <w:r w:rsidRPr="008026CB">
        <w:rPr>
          <w:rFonts w:cstheme="minorHAnsi"/>
          <w:color w:val="000000"/>
          <w:szCs w:val="20"/>
        </w:rPr>
        <w:t xml:space="preserve"> </w:t>
      </w:r>
      <w:r w:rsidR="003D67E7">
        <w:rPr>
          <w:rFonts w:cstheme="minorHAnsi"/>
          <w:color w:val="000000"/>
          <w:szCs w:val="20"/>
        </w:rPr>
        <w:t>What is the definition of nominal day</w:t>
      </w:r>
      <w:r w:rsidR="00DA7827">
        <w:rPr>
          <w:rFonts w:cstheme="minorHAnsi"/>
          <w:color w:val="000000"/>
          <w:szCs w:val="20"/>
        </w:rPr>
        <w:t>?  This seems specific to non-clinical study.</w:t>
      </w:r>
    </w:p>
    <w:p w14:paraId="299BF6D8" w14:textId="77777777" w:rsidR="005E2429" w:rsidRPr="00FA0FCE" w:rsidRDefault="005E2429" w:rsidP="005E2429">
      <w:pPr>
        <w:pStyle w:val="ListParagraph"/>
        <w:ind w:left="1080"/>
        <w:rPr>
          <w:rFonts w:cstheme="minorHAnsi"/>
          <w:szCs w:val="20"/>
        </w:rPr>
      </w:pPr>
    </w:p>
    <w:p w14:paraId="5F598F43" w14:textId="77777777" w:rsidR="005E2429" w:rsidRPr="00FA0FCE" w:rsidRDefault="005E2429" w:rsidP="005E2429">
      <w:pPr>
        <w:pStyle w:val="ListParagraph"/>
        <w:ind w:left="1440"/>
        <w:rPr>
          <w:rFonts w:cstheme="minorHAnsi"/>
          <w:szCs w:val="20"/>
          <w:u w:val="single"/>
        </w:rPr>
      </w:pPr>
      <w:r w:rsidRPr="00FA0FCE">
        <w:rPr>
          <w:rFonts w:cstheme="minorHAnsi"/>
          <w:szCs w:val="20"/>
          <w:u w:val="single"/>
        </w:rPr>
        <w:t>Submitted value</w:t>
      </w:r>
      <w:r w:rsidRPr="00FA0FCE">
        <w:rPr>
          <w:rFonts w:cstheme="minorHAnsi"/>
          <w:szCs w:val="20"/>
          <w:u w:val="single"/>
        </w:rPr>
        <w:tab/>
        <w:t>Suggested value for more explicit meaning</w:t>
      </w:r>
    </w:p>
    <w:p w14:paraId="09D9F288" w14:textId="77777777" w:rsidR="005E2429" w:rsidRPr="00FA0FCE" w:rsidRDefault="005E2429" w:rsidP="005E2429">
      <w:pPr>
        <w:pStyle w:val="ListParagraph"/>
        <w:ind w:left="1440"/>
        <w:rPr>
          <w:rFonts w:cstheme="minorHAnsi"/>
          <w:szCs w:val="20"/>
        </w:rPr>
      </w:pPr>
      <w:r w:rsidRPr="00FA0FCE">
        <w:rPr>
          <w:rFonts w:cstheme="minorHAnsi"/>
          <w:szCs w:val="20"/>
        </w:rPr>
        <w:t>Day 1 PostRx1</w:t>
      </w:r>
      <w:r w:rsidRPr="00FA0FCE">
        <w:rPr>
          <w:rFonts w:cstheme="minorHAnsi"/>
          <w:szCs w:val="20"/>
        </w:rPr>
        <w:tab/>
      </w:r>
      <w:r w:rsidRPr="00FA0FCE">
        <w:rPr>
          <w:rFonts w:cstheme="minorHAnsi"/>
          <w:szCs w:val="20"/>
        </w:rPr>
        <w:tab/>
      </w:r>
      <w:r w:rsidRPr="00FA0FCE">
        <w:rPr>
          <w:rFonts w:eastAsia="TimesNewRoman" w:cstheme="minorHAnsi"/>
          <w:szCs w:val="20"/>
        </w:rPr>
        <w:t xml:space="preserve">1 hour </w:t>
      </w:r>
      <w:proofErr w:type="spellStart"/>
      <w:r w:rsidRPr="00FA0FCE">
        <w:rPr>
          <w:rFonts w:eastAsia="TimesNewRoman" w:cstheme="minorHAnsi"/>
          <w:szCs w:val="20"/>
        </w:rPr>
        <w:t>postdose</w:t>
      </w:r>
      <w:proofErr w:type="spellEnd"/>
    </w:p>
    <w:p w14:paraId="093A022F" w14:textId="77777777" w:rsidR="005E2429" w:rsidRPr="00FA0FCE" w:rsidRDefault="005E2429" w:rsidP="005E2429">
      <w:pPr>
        <w:pStyle w:val="ListParagraph"/>
        <w:ind w:left="1440"/>
        <w:rPr>
          <w:rFonts w:eastAsia="TimesNewRoman" w:cstheme="minorHAnsi"/>
          <w:szCs w:val="20"/>
        </w:rPr>
      </w:pPr>
      <w:r w:rsidRPr="00FA0FCE">
        <w:rPr>
          <w:rFonts w:eastAsia="TimesNewRoman" w:cstheme="minorHAnsi"/>
          <w:szCs w:val="20"/>
        </w:rPr>
        <w:t xml:space="preserve">Day 1 PostRx5 </w:t>
      </w:r>
      <w:r w:rsidRPr="00FA0FCE">
        <w:rPr>
          <w:rFonts w:eastAsia="TimesNewRoman" w:cstheme="minorHAnsi"/>
          <w:szCs w:val="20"/>
        </w:rPr>
        <w:tab/>
      </w:r>
      <w:r w:rsidRPr="00FA0FCE">
        <w:rPr>
          <w:rFonts w:eastAsia="TimesNewRoman" w:cstheme="minorHAnsi"/>
          <w:szCs w:val="20"/>
        </w:rPr>
        <w:tab/>
        <w:t xml:space="preserve">4 to 8 hours </w:t>
      </w:r>
      <w:proofErr w:type="spellStart"/>
      <w:r w:rsidRPr="00FA0FCE">
        <w:rPr>
          <w:rFonts w:eastAsia="TimesNewRoman" w:cstheme="minorHAnsi"/>
          <w:szCs w:val="20"/>
        </w:rPr>
        <w:t>pos</w:t>
      </w:r>
      <w:r w:rsidR="00A33CFC">
        <w:rPr>
          <w:rFonts w:eastAsia="TimesNewRoman" w:cstheme="minorHAnsi"/>
          <w:szCs w:val="20"/>
        </w:rPr>
        <w:t>t</w:t>
      </w:r>
      <w:r w:rsidRPr="00FA0FCE">
        <w:rPr>
          <w:rFonts w:eastAsia="TimesNewRoman" w:cstheme="minorHAnsi"/>
          <w:szCs w:val="20"/>
        </w:rPr>
        <w:t>dose</w:t>
      </w:r>
      <w:proofErr w:type="spellEnd"/>
    </w:p>
    <w:p w14:paraId="6E42B981" w14:textId="00B02B91" w:rsidR="005E2429" w:rsidRDefault="005E2429" w:rsidP="005E2429">
      <w:pPr>
        <w:pStyle w:val="ListParagraph"/>
        <w:ind w:left="1080"/>
        <w:rPr>
          <w:rFonts w:eastAsia="TimesNewRoman" w:cstheme="minorHAnsi"/>
          <w:szCs w:val="20"/>
        </w:rPr>
      </w:pPr>
    </w:p>
    <w:p w14:paraId="01840849" w14:textId="582B4B40" w:rsidR="004A2172" w:rsidRDefault="00854BBD" w:rsidP="005E2429">
      <w:pPr>
        <w:pStyle w:val="ListParagraph"/>
        <w:ind w:left="1080"/>
        <w:rPr>
          <w:rFonts w:eastAsia="TimesNewRoman" w:cstheme="minorHAnsi"/>
          <w:color w:val="4F81BD" w:themeColor="accent1"/>
          <w:szCs w:val="20"/>
        </w:rPr>
      </w:pPr>
      <w:r w:rsidRPr="00414402">
        <w:rPr>
          <w:rFonts w:eastAsia="TimesNewRoman" w:cstheme="minorHAnsi"/>
          <w:color w:val="4F81BD" w:themeColor="accent1"/>
          <w:szCs w:val="20"/>
        </w:rPr>
        <w:t>Nominal Day was developed for V3.1, it was to address the clarity of the report and dataset, so the data showed in report is nominal day</w:t>
      </w:r>
      <w:r w:rsidR="00845F34" w:rsidRPr="00414402">
        <w:rPr>
          <w:rFonts w:eastAsia="TimesNewRoman" w:cstheme="minorHAnsi"/>
          <w:color w:val="4F81BD" w:themeColor="accent1"/>
          <w:szCs w:val="20"/>
        </w:rPr>
        <w:t>. Because of the staggered day</w:t>
      </w:r>
      <w:r w:rsidR="003F092A" w:rsidRPr="00414402">
        <w:rPr>
          <w:rFonts w:eastAsia="TimesNewRoman" w:cstheme="minorHAnsi"/>
          <w:color w:val="4F81BD" w:themeColor="accent1"/>
          <w:szCs w:val="20"/>
        </w:rPr>
        <w:t>s</w:t>
      </w:r>
      <w:r w:rsidR="00627C88">
        <w:rPr>
          <w:rFonts w:eastAsia="TimesNewRoman" w:cstheme="minorHAnsi"/>
          <w:color w:val="4F81BD" w:themeColor="accent1"/>
          <w:szCs w:val="20"/>
        </w:rPr>
        <w:t xml:space="preserve"> happened</w:t>
      </w:r>
      <w:r w:rsidR="003F092A" w:rsidRPr="00414402">
        <w:rPr>
          <w:rFonts w:eastAsia="TimesNewRoman" w:cstheme="minorHAnsi"/>
          <w:color w:val="4F81BD" w:themeColor="accent1"/>
          <w:szCs w:val="20"/>
        </w:rPr>
        <w:t>, on report table it is all reported on the same date, but individual data</w:t>
      </w:r>
      <w:r w:rsidR="003E6DDD" w:rsidRPr="00414402">
        <w:rPr>
          <w:rFonts w:eastAsia="TimesNewRoman" w:cstheme="minorHAnsi"/>
          <w:color w:val="4F81BD" w:themeColor="accent1"/>
          <w:szCs w:val="20"/>
        </w:rPr>
        <w:t xml:space="preserve"> is on different day. </w:t>
      </w:r>
    </w:p>
    <w:p w14:paraId="0FF2B5F0" w14:textId="77777777" w:rsidR="00DB2DF5" w:rsidRPr="00414402" w:rsidRDefault="00DB2DF5" w:rsidP="005E2429">
      <w:pPr>
        <w:pStyle w:val="ListParagraph"/>
        <w:ind w:left="1080"/>
        <w:rPr>
          <w:rFonts w:eastAsia="TimesNewRoman" w:cstheme="minorHAnsi"/>
          <w:color w:val="4F81BD" w:themeColor="accent1"/>
          <w:szCs w:val="20"/>
        </w:rPr>
      </w:pPr>
    </w:p>
    <w:p w14:paraId="1CA85421" w14:textId="77777777" w:rsidR="004A2172" w:rsidRPr="00FA0FCE" w:rsidRDefault="004A2172" w:rsidP="005E2429">
      <w:pPr>
        <w:pStyle w:val="ListParagraph"/>
        <w:ind w:left="1080"/>
        <w:rPr>
          <w:rFonts w:eastAsia="TimesNewRoman" w:cstheme="minorHAnsi"/>
          <w:szCs w:val="20"/>
        </w:rPr>
      </w:pPr>
    </w:p>
    <w:p w14:paraId="10D38EF0" w14:textId="77777777" w:rsidR="005E2429" w:rsidRDefault="005E2429" w:rsidP="00654F0A">
      <w:pPr>
        <w:pStyle w:val="ListParagraph"/>
        <w:numPr>
          <w:ilvl w:val="0"/>
          <w:numId w:val="10"/>
        </w:numPr>
        <w:autoSpaceDE w:val="0"/>
        <w:autoSpaceDN w:val="0"/>
        <w:adjustRightInd w:val="0"/>
        <w:spacing w:after="120" w:line="240" w:lineRule="auto"/>
        <w:rPr>
          <w:rFonts w:eastAsia="TimesNewRoman" w:cstheme="minorHAnsi"/>
          <w:szCs w:val="20"/>
        </w:rPr>
      </w:pPr>
      <w:r w:rsidRPr="00FA0FCE">
        <w:rPr>
          <w:rFonts w:eastAsia="TimesNewRoman" w:cstheme="minorHAnsi"/>
          <w:szCs w:val="20"/>
        </w:rPr>
        <w:t>CL (Clinical Observation) dataset – CLTPT and CLTPTNUM variables</w:t>
      </w:r>
      <w:r>
        <w:rPr>
          <w:rFonts w:eastAsia="TimesNewRoman" w:cstheme="minorHAnsi"/>
          <w:szCs w:val="20"/>
        </w:rPr>
        <w:t>:</w:t>
      </w:r>
      <w:r w:rsidRPr="00FA0FCE">
        <w:rPr>
          <w:rFonts w:eastAsia="TimesNewRoman" w:cstheme="minorHAnsi"/>
          <w:szCs w:val="20"/>
        </w:rPr>
        <w:t xml:space="preserve"> </w:t>
      </w:r>
    </w:p>
    <w:p w14:paraId="1F1F5772" w14:textId="77777777" w:rsidR="005E2429" w:rsidRDefault="005E2429" w:rsidP="005E2429">
      <w:pPr>
        <w:ind w:left="1440"/>
        <w:rPr>
          <w:rFonts w:eastAsia="TimesNewRoman" w:cstheme="minorHAnsi"/>
          <w:szCs w:val="20"/>
        </w:rPr>
      </w:pPr>
      <w:r w:rsidRPr="008026CB">
        <w:rPr>
          <w:rFonts w:eastAsia="TimesNewRoman" w:cstheme="minorHAnsi"/>
          <w:szCs w:val="20"/>
        </w:rPr>
        <w:t xml:space="preserve">Comment: these two variables have real values for some records but null values for the other records (even for the same type of CLTEST names). This does not seem the best practice. </w:t>
      </w:r>
    </w:p>
    <w:p w14:paraId="106A641E" w14:textId="62805BAB" w:rsidR="00D629B7" w:rsidRDefault="007944C9" w:rsidP="007944C9">
      <w:pPr>
        <w:ind w:left="1440"/>
        <w:rPr>
          <w:color w:val="4472C4"/>
        </w:rPr>
      </w:pPr>
      <w:r>
        <w:rPr>
          <w:color w:val="4472C4"/>
        </w:rPr>
        <w:t xml:space="preserve">It seems that CLTPTNUM/CLTPT are null for Day </w:t>
      </w:r>
      <w:r w:rsidR="00117EE1">
        <w:rPr>
          <w:color w:val="4472C4"/>
        </w:rPr>
        <w:t>-1, -2,</w:t>
      </w:r>
      <w:r>
        <w:rPr>
          <w:color w:val="4472C4"/>
        </w:rPr>
        <w:t xml:space="preserve"> -7,</w:t>
      </w:r>
      <w:r w:rsidR="00B057ED">
        <w:rPr>
          <w:color w:val="4472C4"/>
        </w:rPr>
        <w:t xml:space="preserve"> 2, 3</w:t>
      </w:r>
      <w:r>
        <w:rPr>
          <w:color w:val="4472C4"/>
        </w:rPr>
        <w:t xml:space="preserve"> and Day 30.  There is only one record each per subject on these days so it seems there is only one assessment done on that day that were not dictated by a planned timepoint within a day.  If that is the case, it makes sense that CLTPTNUM/CLTPT would be null in this instance. </w:t>
      </w:r>
      <w:r w:rsidR="00D629B7">
        <w:rPr>
          <w:color w:val="4472C4"/>
        </w:rPr>
        <w:t xml:space="preserve"> What is “CSO” or “SIRT”?</w:t>
      </w:r>
    </w:p>
    <w:p w14:paraId="5C8F931C" w14:textId="0CAEE736" w:rsidR="007944C9" w:rsidRDefault="007944C9" w:rsidP="007944C9">
      <w:pPr>
        <w:ind w:left="1440"/>
        <w:rPr>
          <w:color w:val="4472C4"/>
        </w:rPr>
      </w:pPr>
      <w:r>
        <w:rPr>
          <w:color w:val="4472C4"/>
        </w:rPr>
        <w:t xml:space="preserve">In Section 4.8.2.2 of the study report, it states that on non-dosing days, clinical signs were recorded at least once.  On days 1, </w:t>
      </w:r>
      <w:r w:rsidR="00AC4CF0">
        <w:rPr>
          <w:color w:val="4472C4"/>
        </w:rPr>
        <w:t>1</w:t>
      </w:r>
      <w:r>
        <w:rPr>
          <w:color w:val="4472C4"/>
        </w:rPr>
        <w:t>5, and 29, which were dosing days, assessments were done at specific timepoints.</w:t>
      </w:r>
    </w:p>
    <w:p w14:paraId="2CE8AD8D" w14:textId="7506C28C" w:rsidR="000D2F6C" w:rsidRDefault="000D2F6C" w:rsidP="007944C9">
      <w:pPr>
        <w:ind w:left="1440"/>
        <w:rPr>
          <w:color w:val="4472C4"/>
        </w:rPr>
      </w:pPr>
      <w:r>
        <w:rPr>
          <w:color w:val="4472C4"/>
        </w:rPr>
        <w:t>Ophthalmology doesn’t have timepoint.</w:t>
      </w:r>
      <w:r w:rsidR="00077E35">
        <w:rPr>
          <w:color w:val="4472C4"/>
        </w:rPr>
        <w:t xml:space="preserve">  </w:t>
      </w:r>
      <w:r w:rsidR="00B06867">
        <w:rPr>
          <w:color w:val="4472C4"/>
        </w:rPr>
        <w:t xml:space="preserve">CSO stands for Cage Side Observation on non-dosing days. SIRT stands for </w:t>
      </w:r>
      <w:r w:rsidR="004F1C5C">
        <w:rPr>
          <w:color w:val="4472C4"/>
        </w:rPr>
        <w:t xml:space="preserve">Detailed Clinical Observation non-dosing days.  </w:t>
      </w:r>
      <w:proofErr w:type="spellStart"/>
      <w:r w:rsidR="00C44EE4">
        <w:rPr>
          <w:color w:val="4472C4"/>
        </w:rPr>
        <w:t>PostRX</w:t>
      </w:r>
      <w:proofErr w:type="spellEnd"/>
      <w:r w:rsidR="00D4205B">
        <w:rPr>
          <w:color w:val="4472C4"/>
        </w:rPr>
        <w:t xml:space="preserve"> is immediate </w:t>
      </w:r>
      <w:proofErr w:type="spellStart"/>
      <w:r w:rsidR="00D4205B">
        <w:rPr>
          <w:color w:val="4472C4"/>
        </w:rPr>
        <w:t>postdose</w:t>
      </w:r>
      <w:proofErr w:type="spellEnd"/>
      <w:r w:rsidR="00D4205B">
        <w:rPr>
          <w:color w:val="4472C4"/>
        </w:rPr>
        <w:t xml:space="preserve">.  </w:t>
      </w:r>
    </w:p>
    <w:p w14:paraId="0B0B8C91" w14:textId="77777777" w:rsidR="005E2429" w:rsidRPr="00FA0FCE" w:rsidRDefault="005E2429" w:rsidP="005E2429">
      <w:pPr>
        <w:pStyle w:val="ListParagraph"/>
        <w:ind w:left="1080"/>
        <w:rPr>
          <w:rFonts w:eastAsia="TimesNewRoman" w:cstheme="minorHAnsi"/>
          <w:szCs w:val="20"/>
        </w:rPr>
      </w:pPr>
    </w:p>
    <w:p w14:paraId="551C3FA9" w14:textId="77777777" w:rsidR="005E2429" w:rsidRDefault="005E2429" w:rsidP="00654F0A">
      <w:pPr>
        <w:pStyle w:val="ListParagraph"/>
        <w:numPr>
          <w:ilvl w:val="0"/>
          <w:numId w:val="10"/>
        </w:numPr>
        <w:autoSpaceDE w:val="0"/>
        <w:autoSpaceDN w:val="0"/>
        <w:adjustRightInd w:val="0"/>
        <w:spacing w:after="120" w:line="240" w:lineRule="auto"/>
        <w:rPr>
          <w:rFonts w:eastAsia="TimesNewRoman" w:cstheme="minorHAnsi"/>
          <w:szCs w:val="20"/>
        </w:rPr>
      </w:pPr>
      <w:r>
        <w:rPr>
          <w:rFonts w:eastAsia="TimesNewRoman" w:cstheme="minorHAnsi"/>
          <w:szCs w:val="20"/>
        </w:rPr>
        <w:t>BW, DS, CL, LB</w:t>
      </w:r>
      <w:r w:rsidRPr="00FA0FCE">
        <w:rPr>
          <w:rFonts w:eastAsia="TimesNewRoman" w:cstheme="minorHAnsi"/>
          <w:szCs w:val="20"/>
        </w:rPr>
        <w:t xml:space="preserve"> datasets</w:t>
      </w:r>
      <w:r>
        <w:rPr>
          <w:rFonts w:eastAsia="TimesNewRoman" w:cstheme="minorHAnsi"/>
          <w:szCs w:val="20"/>
        </w:rPr>
        <w:t xml:space="preserve"> -</w:t>
      </w:r>
      <w:r w:rsidRPr="00FA0FCE">
        <w:rPr>
          <w:rFonts w:eastAsia="TimesNewRoman" w:cstheme="minorHAnsi"/>
          <w:szCs w:val="20"/>
        </w:rPr>
        <w:t xml:space="preserve"> </w:t>
      </w:r>
      <w:proofErr w:type="spellStart"/>
      <w:r w:rsidRPr="00FA0FCE">
        <w:rPr>
          <w:rFonts w:eastAsia="TimesNewRoman" w:cstheme="minorHAnsi"/>
          <w:szCs w:val="20"/>
        </w:rPr>
        <w:t>xxNOMLBL</w:t>
      </w:r>
      <w:proofErr w:type="spellEnd"/>
      <w:r w:rsidRPr="00FA0FCE">
        <w:rPr>
          <w:rFonts w:eastAsia="TimesNewRoman" w:cstheme="minorHAnsi"/>
          <w:szCs w:val="20"/>
        </w:rPr>
        <w:t xml:space="preserve"> (</w:t>
      </w:r>
      <w:r w:rsidRPr="00690EBD">
        <w:rPr>
          <w:rFonts w:cstheme="minorHAnsi"/>
          <w:color w:val="000000"/>
          <w:szCs w:val="20"/>
        </w:rPr>
        <w:t>Label for Nominal Study Day</w:t>
      </w:r>
      <w:r w:rsidRPr="00FA0FCE">
        <w:rPr>
          <w:rFonts w:cstheme="minorHAnsi"/>
          <w:color w:val="000000"/>
          <w:szCs w:val="20"/>
        </w:rPr>
        <w:t xml:space="preserve">) </w:t>
      </w:r>
      <w:r w:rsidRPr="00FA0FCE">
        <w:rPr>
          <w:rFonts w:eastAsia="TimesNewRoman" w:cstheme="minorHAnsi"/>
          <w:szCs w:val="20"/>
        </w:rPr>
        <w:t>variables</w:t>
      </w:r>
      <w:r>
        <w:rPr>
          <w:rFonts w:eastAsia="TimesNewRoman" w:cstheme="minorHAnsi"/>
          <w:szCs w:val="20"/>
        </w:rPr>
        <w:t>:</w:t>
      </w:r>
    </w:p>
    <w:p w14:paraId="37C31DF2" w14:textId="77777777" w:rsidR="005E2429" w:rsidRPr="008026CB" w:rsidRDefault="005E2429" w:rsidP="005E2429">
      <w:pPr>
        <w:ind w:left="1440"/>
        <w:rPr>
          <w:rFonts w:eastAsia="TimesNewRoman" w:cstheme="minorHAnsi"/>
          <w:szCs w:val="20"/>
        </w:rPr>
      </w:pPr>
      <w:r w:rsidRPr="008026CB">
        <w:rPr>
          <w:rFonts w:eastAsia="TimesNewRoman" w:cstheme="minorHAnsi"/>
          <w:szCs w:val="20"/>
        </w:rPr>
        <w:t xml:space="preserve">Comment: the </w:t>
      </w:r>
      <w:proofErr w:type="spellStart"/>
      <w:r w:rsidRPr="008026CB">
        <w:rPr>
          <w:rFonts w:eastAsia="TimesNewRoman" w:cstheme="minorHAnsi"/>
          <w:szCs w:val="20"/>
        </w:rPr>
        <w:t>xxNOMLBL</w:t>
      </w:r>
      <w:proofErr w:type="spellEnd"/>
      <w:r w:rsidRPr="008026CB">
        <w:rPr>
          <w:rFonts w:eastAsia="TimesNewRoman" w:cstheme="minorHAnsi"/>
          <w:szCs w:val="20"/>
        </w:rPr>
        <w:t xml:space="preserve"> variables values seem to adopt quite different conventions (see examples below). Some general naming convention for this could be helpful.</w:t>
      </w:r>
    </w:p>
    <w:p w14:paraId="5360A7CD" w14:textId="77777777" w:rsidR="005E2429" w:rsidRPr="00FA0FCE" w:rsidRDefault="005E2429" w:rsidP="005E2429">
      <w:pPr>
        <w:pStyle w:val="ListParagraph"/>
        <w:ind w:left="1080"/>
        <w:rPr>
          <w:rFonts w:eastAsia="TimesNewRoman" w:cstheme="minorHAnsi"/>
          <w:szCs w:val="20"/>
        </w:rPr>
      </w:pPr>
      <w:r w:rsidRPr="00FA0FCE">
        <w:rPr>
          <w:rFonts w:eastAsia="TimesNewRoman" w:cstheme="minorHAnsi"/>
          <w:szCs w:val="20"/>
        </w:rPr>
        <w:t xml:space="preserve"> </w:t>
      </w:r>
      <w:r>
        <w:rPr>
          <w:rFonts w:eastAsia="TimesNewRoman" w:cstheme="minorHAnsi"/>
          <w:szCs w:val="20"/>
        </w:rPr>
        <w:tab/>
      </w:r>
      <w:r>
        <w:rPr>
          <w:rFonts w:eastAsia="TimesNewRoman" w:cstheme="minorHAnsi"/>
          <w:szCs w:val="20"/>
        </w:rPr>
        <w:tab/>
      </w:r>
      <w:r w:rsidRPr="00FA0FCE">
        <w:rPr>
          <w:rFonts w:eastAsia="TimesNewRoman" w:cstheme="minorHAnsi"/>
          <w:szCs w:val="20"/>
        </w:rPr>
        <w:t>DSNOMDY=31 and DSNOMLBL=</w:t>
      </w:r>
      <w:r w:rsidRPr="000A2DA7">
        <w:rPr>
          <w:rFonts w:eastAsia="TimesNewRoman" w:cstheme="minorHAnsi"/>
          <w:color w:val="00B050"/>
          <w:szCs w:val="20"/>
        </w:rPr>
        <w:t>Week5</w:t>
      </w:r>
    </w:p>
    <w:p w14:paraId="3E1249FA" w14:textId="77777777" w:rsidR="005E2429" w:rsidRPr="00FA0FCE" w:rsidRDefault="005E2429" w:rsidP="005E2429">
      <w:pPr>
        <w:pStyle w:val="ListParagraph"/>
        <w:ind w:left="2160"/>
        <w:rPr>
          <w:rFonts w:eastAsia="TimesNewRoman" w:cstheme="minorHAnsi"/>
          <w:szCs w:val="20"/>
        </w:rPr>
      </w:pPr>
      <w:r w:rsidRPr="00FA0FCE">
        <w:rPr>
          <w:rFonts w:eastAsia="TimesNewRoman" w:cstheme="minorHAnsi"/>
          <w:szCs w:val="20"/>
        </w:rPr>
        <w:t>CLNOMDY=31 and CLNOMLBL=</w:t>
      </w:r>
      <w:r w:rsidRPr="000A2DA7">
        <w:rPr>
          <w:rFonts w:eastAsia="TimesNewRoman" w:cstheme="minorHAnsi"/>
          <w:color w:val="00B050"/>
          <w:szCs w:val="20"/>
        </w:rPr>
        <w:t>Day 31 CSO</w:t>
      </w:r>
    </w:p>
    <w:p w14:paraId="5EACC1E0" w14:textId="77777777" w:rsidR="005E2429" w:rsidRPr="00FA0FCE" w:rsidRDefault="005E2429" w:rsidP="005E2429">
      <w:pPr>
        <w:pStyle w:val="ListParagraph"/>
        <w:ind w:left="2160"/>
        <w:rPr>
          <w:rFonts w:eastAsia="TimesNewRoman" w:cstheme="minorHAnsi"/>
          <w:szCs w:val="20"/>
        </w:rPr>
      </w:pPr>
      <w:r w:rsidRPr="00FA0FCE">
        <w:rPr>
          <w:rFonts w:eastAsia="TimesNewRoman" w:cstheme="minorHAnsi"/>
          <w:szCs w:val="20"/>
        </w:rPr>
        <w:lastRenderedPageBreak/>
        <w:t>BWNOMDY=31 and BWNOMLBL=</w:t>
      </w:r>
      <w:r w:rsidRPr="000A2DA7">
        <w:rPr>
          <w:rFonts w:eastAsia="TimesNewRoman" w:cstheme="minorHAnsi"/>
          <w:color w:val="00B050"/>
          <w:szCs w:val="20"/>
        </w:rPr>
        <w:t>Day 31</w:t>
      </w:r>
    </w:p>
    <w:p w14:paraId="2496A836" w14:textId="77777777" w:rsidR="005E2429" w:rsidRPr="00FA0FCE" w:rsidRDefault="005E2429" w:rsidP="005E2429">
      <w:pPr>
        <w:pStyle w:val="ListParagraph"/>
        <w:ind w:left="1800" w:firstLine="360"/>
        <w:rPr>
          <w:rFonts w:eastAsia="TimesNewRoman" w:cstheme="minorHAnsi"/>
          <w:szCs w:val="20"/>
        </w:rPr>
      </w:pPr>
      <w:r w:rsidRPr="00FA0FCE">
        <w:rPr>
          <w:rFonts w:eastAsia="TimesNewRoman" w:cstheme="minorHAnsi"/>
          <w:szCs w:val="20"/>
        </w:rPr>
        <w:t>BWNOMDY=-7 and BWNOMLBL=</w:t>
      </w:r>
      <w:r w:rsidRPr="000A2DA7">
        <w:rPr>
          <w:rFonts w:eastAsia="TimesNewRoman" w:cstheme="minorHAnsi"/>
          <w:color w:val="7030A0"/>
          <w:szCs w:val="20"/>
        </w:rPr>
        <w:t>Day -7</w:t>
      </w:r>
    </w:p>
    <w:p w14:paraId="42BFE06E" w14:textId="77777777" w:rsidR="005E2429" w:rsidRPr="00FA0FCE" w:rsidRDefault="005E2429" w:rsidP="005E2429">
      <w:pPr>
        <w:pStyle w:val="ListParagraph"/>
        <w:ind w:left="1800" w:firstLine="360"/>
        <w:rPr>
          <w:rFonts w:eastAsia="TimesNewRoman" w:cstheme="minorHAnsi"/>
          <w:szCs w:val="20"/>
        </w:rPr>
      </w:pPr>
      <w:r w:rsidRPr="00FA0FCE">
        <w:rPr>
          <w:rFonts w:eastAsia="TimesNewRoman" w:cstheme="minorHAnsi"/>
          <w:szCs w:val="20"/>
        </w:rPr>
        <w:t>LBNOMDY=-5 and LBNOMLBL=</w:t>
      </w:r>
      <w:r w:rsidRPr="000A2DA7">
        <w:rPr>
          <w:rFonts w:eastAsia="TimesNewRoman" w:cstheme="minorHAnsi"/>
          <w:color w:val="7030A0"/>
          <w:szCs w:val="20"/>
        </w:rPr>
        <w:t>Day -5 Pretreatment</w:t>
      </w:r>
    </w:p>
    <w:p w14:paraId="5611BA5F" w14:textId="14E469D8" w:rsidR="005E2429" w:rsidRDefault="005E2429" w:rsidP="005E2429">
      <w:pPr>
        <w:pStyle w:val="ListParagraph"/>
        <w:ind w:left="1080"/>
        <w:rPr>
          <w:rFonts w:eastAsia="TimesNewRoman" w:cstheme="minorHAnsi"/>
          <w:szCs w:val="20"/>
        </w:rPr>
      </w:pPr>
    </w:p>
    <w:p w14:paraId="19BD38E5" w14:textId="400F98F9" w:rsidR="00592B6A" w:rsidRDefault="007E4A19" w:rsidP="005E2429">
      <w:pPr>
        <w:pStyle w:val="ListParagraph"/>
        <w:ind w:left="1080"/>
        <w:rPr>
          <w:rFonts w:eastAsia="TimesNewRoman" w:cstheme="minorHAnsi"/>
          <w:color w:val="4F81BD" w:themeColor="accent1"/>
          <w:szCs w:val="20"/>
        </w:rPr>
      </w:pPr>
      <w:r>
        <w:rPr>
          <w:rFonts w:eastAsia="TimesNewRoman" w:cstheme="minorHAnsi"/>
          <w:color w:val="4F81BD" w:themeColor="accent1"/>
          <w:szCs w:val="20"/>
        </w:rPr>
        <w:t>Because of d</w:t>
      </w:r>
      <w:r w:rsidR="0002787E">
        <w:rPr>
          <w:rFonts w:eastAsia="TimesNewRoman" w:cstheme="minorHAnsi"/>
          <w:color w:val="4F81BD" w:themeColor="accent1"/>
          <w:szCs w:val="20"/>
        </w:rPr>
        <w:t>ifferent data collection</w:t>
      </w:r>
      <w:r w:rsidR="002F041C">
        <w:rPr>
          <w:rFonts w:eastAsia="TimesNewRoman" w:cstheme="minorHAnsi"/>
          <w:color w:val="4F81BD" w:themeColor="accent1"/>
          <w:szCs w:val="20"/>
        </w:rPr>
        <w:t>.</w:t>
      </w:r>
      <w:r w:rsidR="00F638EF">
        <w:rPr>
          <w:rFonts w:eastAsia="TimesNewRoman" w:cstheme="minorHAnsi"/>
          <w:color w:val="4F81BD" w:themeColor="accent1"/>
          <w:szCs w:val="20"/>
        </w:rPr>
        <w:t xml:space="preserve">  </w:t>
      </w:r>
      <w:r w:rsidR="00AE70A3">
        <w:rPr>
          <w:rFonts w:eastAsia="TimesNewRoman" w:cstheme="minorHAnsi"/>
          <w:color w:val="4F81BD" w:themeColor="accent1"/>
          <w:szCs w:val="20"/>
        </w:rPr>
        <w:t xml:space="preserve">Protocol drives report, report drives </w:t>
      </w:r>
      <w:proofErr w:type="spellStart"/>
      <w:r w:rsidR="00B22FF5">
        <w:rPr>
          <w:rFonts w:eastAsia="TimesNewRoman" w:cstheme="minorHAnsi"/>
          <w:color w:val="4F81BD" w:themeColor="accent1"/>
          <w:szCs w:val="20"/>
        </w:rPr>
        <w:t>xxNOMLBL</w:t>
      </w:r>
      <w:proofErr w:type="spellEnd"/>
      <w:r w:rsidR="00B22FF5">
        <w:rPr>
          <w:rFonts w:eastAsia="TimesNewRoman" w:cstheme="minorHAnsi"/>
          <w:color w:val="4F81BD" w:themeColor="accent1"/>
          <w:szCs w:val="20"/>
        </w:rPr>
        <w:t>.</w:t>
      </w:r>
      <w:r w:rsidR="00A23E6C">
        <w:rPr>
          <w:rFonts w:eastAsia="TimesNewRoman" w:cstheme="minorHAnsi"/>
          <w:color w:val="4F81BD" w:themeColor="accent1"/>
          <w:szCs w:val="20"/>
        </w:rPr>
        <w:t xml:space="preserve"> Is that important to look at cross different domains?</w:t>
      </w:r>
      <w:r w:rsidR="000E1565">
        <w:rPr>
          <w:rFonts w:eastAsia="TimesNewRoman" w:cstheme="minorHAnsi"/>
          <w:color w:val="4F81BD" w:themeColor="accent1"/>
          <w:szCs w:val="20"/>
        </w:rPr>
        <w:t xml:space="preserve">  </w:t>
      </w:r>
      <w:proofErr w:type="spellStart"/>
      <w:r w:rsidR="000E1565">
        <w:rPr>
          <w:rFonts w:eastAsia="TimesNewRoman" w:cstheme="minorHAnsi"/>
          <w:color w:val="4F81BD" w:themeColor="accent1"/>
          <w:szCs w:val="20"/>
        </w:rPr>
        <w:t>xxNOMDY</w:t>
      </w:r>
      <w:proofErr w:type="spellEnd"/>
      <w:r w:rsidR="000E1565">
        <w:rPr>
          <w:rFonts w:eastAsia="TimesNewRoman" w:cstheme="minorHAnsi"/>
          <w:color w:val="4F81BD" w:themeColor="accent1"/>
          <w:szCs w:val="20"/>
        </w:rPr>
        <w:t xml:space="preserve"> is expected, </w:t>
      </w:r>
      <w:proofErr w:type="spellStart"/>
      <w:r w:rsidR="000E1565">
        <w:rPr>
          <w:rFonts w:eastAsia="TimesNewRoman" w:cstheme="minorHAnsi"/>
          <w:color w:val="4F81BD" w:themeColor="accent1"/>
          <w:szCs w:val="20"/>
        </w:rPr>
        <w:t>xx</w:t>
      </w:r>
      <w:r w:rsidR="000C3156">
        <w:rPr>
          <w:rFonts w:eastAsia="TimesNewRoman" w:cstheme="minorHAnsi"/>
          <w:color w:val="4F81BD" w:themeColor="accent1"/>
          <w:szCs w:val="20"/>
        </w:rPr>
        <w:t>NOMLBL</w:t>
      </w:r>
      <w:proofErr w:type="spellEnd"/>
      <w:r w:rsidR="000C3156">
        <w:rPr>
          <w:rFonts w:eastAsia="TimesNewRoman" w:cstheme="minorHAnsi"/>
          <w:color w:val="4F81BD" w:themeColor="accent1"/>
          <w:szCs w:val="20"/>
        </w:rPr>
        <w:t xml:space="preserve"> is permissible.</w:t>
      </w:r>
    </w:p>
    <w:p w14:paraId="676F9773" w14:textId="77777777" w:rsidR="002F041C" w:rsidRPr="00592B6A" w:rsidRDefault="002F041C" w:rsidP="005E2429">
      <w:pPr>
        <w:pStyle w:val="ListParagraph"/>
        <w:ind w:left="1080"/>
        <w:rPr>
          <w:rFonts w:eastAsia="TimesNewRoman" w:cstheme="minorHAnsi"/>
          <w:color w:val="4F81BD" w:themeColor="accent1"/>
          <w:szCs w:val="20"/>
        </w:rPr>
      </w:pPr>
    </w:p>
    <w:p w14:paraId="0127A343" w14:textId="77777777" w:rsidR="005E2429" w:rsidRDefault="005E2429" w:rsidP="00654F0A">
      <w:pPr>
        <w:pStyle w:val="ListParagraph"/>
        <w:numPr>
          <w:ilvl w:val="0"/>
          <w:numId w:val="10"/>
        </w:numPr>
        <w:spacing w:after="120"/>
        <w:rPr>
          <w:rFonts w:eastAsia="TimesNewRoman" w:cstheme="minorHAnsi"/>
          <w:szCs w:val="20"/>
        </w:rPr>
      </w:pPr>
      <w:r>
        <w:rPr>
          <w:rFonts w:eastAsia="TimesNewRoman" w:cstheme="minorHAnsi"/>
          <w:szCs w:val="20"/>
        </w:rPr>
        <w:t xml:space="preserve">EX (Exposure) dataset – </w:t>
      </w:r>
      <w:r w:rsidRPr="00FA0FCE">
        <w:rPr>
          <w:rFonts w:eastAsia="TimesNewRoman" w:cstheme="minorHAnsi"/>
          <w:szCs w:val="20"/>
        </w:rPr>
        <w:t>EXDOS</w:t>
      </w:r>
      <w:r>
        <w:rPr>
          <w:rFonts w:eastAsia="TimesNewRoman" w:cstheme="minorHAnsi"/>
          <w:szCs w:val="20"/>
        </w:rPr>
        <w:t xml:space="preserve">E / </w:t>
      </w:r>
      <w:r w:rsidRPr="00FA0FCE">
        <w:rPr>
          <w:rFonts w:eastAsia="TimesNewRoman" w:cstheme="minorHAnsi"/>
          <w:szCs w:val="20"/>
        </w:rPr>
        <w:t>EXDOSTXT</w:t>
      </w:r>
      <w:r>
        <w:rPr>
          <w:rFonts w:eastAsia="TimesNewRoman" w:cstheme="minorHAnsi"/>
          <w:szCs w:val="20"/>
        </w:rPr>
        <w:t xml:space="preserve"> /</w:t>
      </w:r>
      <w:r w:rsidRPr="00B03647">
        <w:rPr>
          <w:rFonts w:eastAsia="TimesNewRoman" w:cstheme="minorHAnsi"/>
          <w:szCs w:val="20"/>
        </w:rPr>
        <w:t xml:space="preserve"> </w:t>
      </w:r>
      <w:r w:rsidRPr="00FA0FCE">
        <w:rPr>
          <w:rFonts w:eastAsia="TimesNewRoman" w:cstheme="minorHAnsi"/>
          <w:szCs w:val="20"/>
        </w:rPr>
        <w:t>EXDO</w:t>
      </w:r>
      <w:r>
        <w:rPr>
          <w:rFonts w:eastAsia="TimesNewRoman" w:cstheme="minorHAnsi"/>
          <w:szCs w:val="20"/>
        </w:rPr>
        <w:t>SU variables:</w:t>
      </w:r>
    </w:p>
    <w:p w14:paraId="68AEDF29" w14:textId="77777777" w:rsidR="005E2429" w:rsidRPr="004F6103" w:rsidRDefault="005E2429" w:rsidP="005E2429">
      <w:pPr>
        <w:ind w:left="1080"/>
        <w:rPr>
          <w:rFonts w:cstheme="minorHAnsi"/>
          <w:color w:val="000000"/>
          <w:szCs w:val="20"/>
        </w:rPr>
      </w:pPr>
      <w:r w:rsidRPr="004F6103">
        <w:rPr>
          <w:rFonts w:eastAsia="TimesNewRoman" w:cstheme="minorHAnsi"/>
          <w:szCs w:val="20"/>
        </w:rPr>
        <w:t>Comment:  EXDOSE / EXDOSTXT / EXDOSU</w:t>
      </w:r>
      <w:r w:rsidRPr="004F6103">
        <w:rPr>
          <w:rFonts w:cstheme="minorHAnsi"/>
          <w:color w:val="000000"/>
          <w:szCs w:val="20"/>
        </w:rPr>
        <w:t xml:space="preserve"> provides “the amount of test material administered to the subject”. However, the way the unit data value is presented in this pilot (see below) essentially specifies the concentration of the study material as opposed to ‘the amount of test material administered to the subject’. </w:t>
      </w:r>
    </w:p>
    <w:p w14:paraId="17B40CFA" w14:textId="14056339" w:rsidR="005E2429" w:rsidRPr="00FA0FCE" w:rsidRDefault="005E2429" w:rsidP="005E2429">
      <w:pPr>
        <w:pStyle w:val="ListParagraph"/>
        <w:ind w:left="1080" w:firstLine="360"/>
        <w:rPr>
          <w:rFonts w:cstheme="minorHAnsi"/>
          <w:color w:val="000000"/>
          <w:szCs w:val="20"/>
        </w:rPr>
      </w:pPr>
      <w:r w:rsidRPr="0010279C">
        <w:rPr>
          <w:rFonts w:eastAsia="TimesNewRoman" w:cstheme="minorHAnsi"/>
          <w:szCs w:val="20"/>
          <w:highlight w:val="yellow"/>
        </w:rPr>
        <w:t>EXDOS</w:t>
      </w:r>
      <w:r w:rsidR="0047542A">
        <w:rPr>
          <w:rFonts w:eastAsia="TimesNewRoman" w:cstheme="minorHAnsi"/>
          <w:szCs w:val="20"/>
          <w:highlight w:val="yellow"/>
        </w:rPr>
        <w:t>E</w:t>
      </w:r>
      <w:r w:rsidRPr="0010279C">
        <w:rPr>
          <w:rFonts w:eastAsia="TimesNewRoman" w:cstheme="minorHAnsi"/>
          <w:szCs w:val="20"/>
          <w:highlight w:val="yellow"/>
        </w:rPr>
        <w:t>=null; EXDOSTXT=1x10^11; EXDOSU=</w:t>
      </w:r>
      <w:proofErr w:type="spellStart"/>
      <w:r w:rsidRPr="0010279C">
        <w:rPr>
          <w:rFonts w:eastAsia="TimesNewRoman" w:cstheme="minorHAnsi"/>
          <w:szCs w:val="20"/>
          <w:highlight w:val="yellow"/>
        </w:rPr>
        <w:t>vp</w:t>
      </w:r>
      <w:proofErr w:type="spellEnd"/>
      <w:r w:rsidRPr="0010279C">
        <w:rPr>
          <w:rFonts w:eastAsia="TimesNewRoman" w:cstheme="minorHAnsi"/>
          <w:szCs w:val="20"/>
          <w:highlight w:val="yellow"/>
        </w:rPr>
        <w:t>/ml</w:t>
      </w:r>
    </w:p>
    <w:p w14:paraId="71629308" w14:textId="77777777" w:rsidR="005E2429" w:rsidRPr="00FA0FCE" w:rsidRDefault="005E2429" w:rsidP="005E2429">
      <w:pPr>
        <w:autoSpaceDE w:val="0"/>
        <w:autoSpaceDN w:val="0"/>
        <w:adjustRightInd w:val="0"/>
        <w:spacing w:after="0" w:line="240" w:lineRule="auto"/>
        <w:rPr>
          <w:rFonts w:cstheme="minorHAnsi"/>
          <w:color w:val="000000"/>
          <w:szCs w:val="20"/>
        </w:rPr>
      </w:pPr>
    </w:p>
    <w:p w14:paraId="6DAF8D4B" w14:textId="71C3BFB4" w:rsidR="008C61E9" w:rsidRPr="008C61E9" w:rsidRDefault="005E2429" w:rsidP="008C61E9">
      <w:pPr>
        <w:pStyle w:val="ListParagraph"/>
        <w:ind w:left="1080"/>
      </w:pPr>
      <w:r>
        <w:rPr>
          <w:rFonts w:eastAsia="TimesNewRoman" w:cstheme="minorHAnsi"/>
          <w:szCs w:val="20"/>
        </w:rPr>
        <w:t>One may argue that if you take the vehicle solution variables (EXVAMT/</w:t>
      </w:r>
      <w:r w:rsidRPr="008026CB">
        <w:rPr>
          <w:rFonts w:eastAsia="TimesNewRoman" w:cstheme="minorHAnsi"/>
          <w:szCs w:val="20"/>
        </w:rPr>
        <w:t xml:space="preserve"> </w:t>
      </w:r>
      <w:r>
        <w:rPr>
          <w:rFonts w:eastAsia="TimesNewRoman" w:cstheme="minorHAnsi"/>
          <w:szCs w:val="20"/>
        </w:rPr>
        <w:t xml:space="preserve">EXVAMTU) into consideration, you can derive the </w:t>
      </w:r>
      <w:r>
        <w:rPr>
          <w:rFonts w:cstheme="minorHAnsi"/>
          <w:color w:val="000000"/>
          <w:szCs w:val="20"/>
        </w:rPr>
        <w:t>amount of test material administered. This is true, However, it deviates the original specific definitions of EXDOS</w:t>
      </w:r>
      <w:r w:rsidR="001B4904">
        <w:rPr>
          <w:rFonts w:cstheme="minorHAnsi"/>
          <w:color w:val="000000"/>
          <w:szCs w:val="20"/>
        </w:rPr>
        <w:t>E</w:t>
      </w:r>
      <w:r>
        <w:rPr>
          <w:rFonts w:cstheme="minorHAnsi"/>
          <w:color w:val="000000"/>
          <w:szCs w:val="20"/>
        </w:rPr>
        <w:t>/EXDOSTXT/EXDOSU in SENDIG (i.e., these variables refer to treatment amount but not treatment concentration</w:t>
      </w:r>
      <w:r w:rsidRPr="008C61E9">
        <w:rPr>
          <w:rFonts w:cstheme="minorHAnsi"/>
          <w:szCs w:val="20"/>
        </w:rPr>
        <w:t xml:space="preserve">). </w:t>
      </w:r>
      <w:r w:rsidR="008C61E9" w:rsidRPr="008C61E9">
        <w:t xml:space="preserve">It specifies in the study report that the concentration is based on the concentration administered to human subjects, as in, it is the same amount.  </w:t>
      </w:r>
      <w:r w:rsidR="00E05113">
        <w:t>OVRR reviewers want to see concentration, volume and dose in EX.</w:t>
      </w:r>
    </w:p>
    <w:p w14:paraId="02CC6BF6" w14:textId="77777777" w:rsidR="005E2429" w:rsidRPr="00FA0FCE" w:rsidRDefault="005E2429" w:rsidP="005E2429">
      <w:pPr>
        <w:pStyle w:val="ListParagraph"/>
        <w:ind w:left="1080"/>
        <w:rPr>
          <w:rFonts w:eastAsia="TimesNewRoman" w:cstheme="minorHAnsi"/>
          <w:szCs w:val="20"/>
        </w:rPr>
      </w:pPr>
    </w:p>
    <w:bookmarkEnd w:id="0"/>
    <w:p w14:paraId="6395284B" w14:textId="25E64071" w:rsidR="00B06A02" w:rsidRPr="00E46F34" w:rsidRDefault="00B06A02" w:rsidP="009F6E8C">
      <w:pPr>
        <w:rPr>
          <w:rFonts w:eastAsia="TimesNewRoman" w:cstheme="minorHAnsi"/>
          <w:sz w:val="20"/>
          <w:szCs w:val="20"/>
        </w:rPr>
      </w:pPr>
    </w:p>
    <w:sectPr w:rsidR="00B06A02" w:rsidRPr="00E46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66849"/>
    <w:multiLevelType w:val="hybridMultilevel"/>
    <w:tmpl w:val="CD88862A"/>
    <w:lvl w:ilvl="0" w:tplc="63F08A3E">
      <w:start w:val="5"/>
      <w:numFmt w:val="decimal"/>
      <w:lvlText w:val="%1."/>
      <w:lvlJc w:val="left"/>
      <w:pPr>
        <w:ind w:left="630" w:hanging="360"/>
      </w:pPr>
      <w:rPr>
        <w:rFonts w:eastAsia="TimesNewRoman"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9060D06"/>
    <w:multiLevelType w:val="hybridMultilevel"/>
    <w:tmpl w:val="764CAC8E"/>
    <w:lvl w:ilvl="0" w:tplc="65C0FE68">
      <w:start w:val="1"/>
      <w:numFmt w:val="decimal"/>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414155"/>
    <w:multiLevelType w:val="hybridMultilevel"/>
    <w:tmpl w:val="AA0E5CA0"/>
    <w:lvl w:ilvl="0" w:tplc="760AD37A">
      <w:start w:val="2"/>
      <w:numFmt w:val="decimal"/>
      <w:lvlText w:val="%1."/>
      <w:lvlJc w:val="left"/>
      <w:pPr>
        <w:ind w:left="990" w:hanging="360"/>
      </w:pPr>
      <w:rPr>
        <w:rFonts w:eastAsiaTheme="minorHAnsi" w:hint="default"/>
        <w:color w:val="00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5B05473"/>
    <w:multiLevelType w:val="hybridMultilevel"/>
    <w:tmpl w:val="011E2C82"/>
    <w:lvl w:ilvl="0" w:tplc="6862F1CE">
      <w:start w:val="1"/>
      <w:numFmt w:val="decimal"/>
      <w:lvlText w:val="(%1)"/>
      <w:lvlJc w:val="left"/>
      <w:pPr>
        <w:ind w:left="1080" w:hanging="360"/>
      </w:pPr>
      <w:rPr>
        <w:rFonts w:eastAsiaTheme="minorHAns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D60DAF"/>
    <w:multiLevelType w:val="hybridMultilevel"/>
    <w:tmpl w:val="764CAC8E"/>
    <w:lvl w:ilvl="0" w:tplc="65C0FE68">
      <w:start w:val="1"/>
      <w:numFmt w:val="decimal"/>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1D4D42"/>
    <w:multiLevelType w:val="hybridMultilevel"/>
    <w:tmpl w:val="764CAC8E"/>
    <w:lvl w:ilvl="0" w:tplc="65C0FE68">
      <w:start w:val="1"/>
      <w:numFmt w:val="decimal"/>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206528"/>
    <w:multiLevelType w:val="hybridMultilevel"/>
    <w:tmpl w:val="CE6483EE"/>
    <w:lvl w:ilvl="0" w:tplc="682A7592">
      <w:start w:val="1"/>
      <w:numFmt w:val="decimal"/>
      <w:lvlText w:val="%1."/>
      <w:lvlJc w:val="left"/>
      <w:pPr>
        <w:ind w:left="630" w:hanging="360"/>
      </w:pPr>
      <w:rPr>
        <w:rFonts w:eastAsiaTheme="minorHAnsi"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4F641E"/>
    <w:multiLevelType w:val="hybridMultilevel"/>
    <w:tmpl w:val="88209A30"/>
    <w:lvl w:ilvl="0" w:tplc="E8F6CFC6">
      <w:start w:val="5"/>
      <w:numFmt w:val="decimal"/>
      <w:lvlText w:val="%1."/>
      <w:lvlJc w:val="left"/>
      <w:pPr>
        <w:ind w:left="1080" w:hanging="360"/>
      </w:pPr>
      <w:rPr>
        <w:rFonts w:ascii="Calibri" w:eastAsia="Times New Roman" w:hAnsi="Calibri"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EF0346"/>
    <w:multiLevelType w:val="hybridMultilevel"/>
    <w:tmpl w:val="16F65150"/>
    <w:lvl w:ilvl="0" w:tplc="0409000F">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2F0F3A"/>
    <w:multiLevelType w:val="hybridMultilevel"/>
    <w:tmpl w:val="46BC270E"/>
    <w:lvl w:ilvl="0" w:tplc="31AAA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9"/>
  </w:num>
  <w:num w:numId="3">
    <w:abstractNumId w:val="5"/>
  </w:num>
  <w:num w:numId="4">
    <w:abstractNumId w:val="4"/>
  </w:num>
  <w:num w:numId="5">
    <w:abstractNumId w:val="8"/>
  </w:num>
  <w:num w:numId="6">
    <w:abstractNumId w:val="7"/>
  </w:num>
  <w:num w:numId="7">
    <w:abstractNumId w:val="3"/>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7E"/>
    <w:rsid w:val="000025E1"/>
    <w:rsid w:val="00012C7E"/>
    <w:rsid w:val="0002787E"/>
    <w:rsid w:val="00042984"/>
    <w:rsid w:val="00073AF0"/>
    <w:rsid w:val="00077E35"/>
    <w:rsid w:val="000906A4"/>
    <w:rsid w:val="0009435C"/>
    <w:rsid w:val="000A2DA7"/>
    <w:rsid w:val="000A773E"/>
    <w:rsid w:val="000C126F"/>
    <w:rsid w:val="000C3156"/>
    <w:rsid w:val="000D2574"/>
    <w:rsid w:val="000D2F6C"/>
    <w:rsid w:val="000D3BE0"/>
    <w:rsid w:val="000E1565"/>
    <w:rsid w:val="000E7404"/>
    <w:rsid w:val="0010279C"/>
    <w:rsid w:val="00114283"/>
    <w:rsid w:val="00116927"/>
    <w:rsid w:val="00117D0F"/>
    <w:rsid w:val="00117EE1"/>
    <w:rsid w:val="00137E8C"/>
    <w:rsid w:val="001441D9"/>
    <w:rsid w:val="00155137"/>
    <w:rsid w:val="00164B6A"/>
    <w:rsid w:val="00183D83"/>
    <w:rsid w:val="001B4904"/>
    <w:rsid w:val="001B4DA3"/>
    <w:rsid w:val="001B78B2"/>
    <w:rsid w:val="001C7868"/>
    <w:rsid w:val="001D4304"/>
    <w:rsid w:val="00204518"/>
    <w:rsid w:val="0021645B"/>
    <w:rsid w:val="00217F8B"/>
    <w:rsid w:val="0024560D"/>
    <w:rsid w:val="002715D0"/>
    <w:rsid w:val="0028374F"/>
    <w:rsid w:val="002C07E1"/>
    <w:rsid w:val="002C64BC"/>
    <w:rsid w:val="002E5802"/>
    <w:rsid w:val="002E73B4"/>
    <w:rsid w:val="002F041C"/>
    <w:rsid w:val="002F3701"/>
    <w:rsid w:val="002F46D4"/>
    <w:rsid w:val="0030739D"/>
    <w:rsid w:val="00307C41"/>
    <w:rsid w:val="00352714"/>
    <w:rsid w:val="0037038B"/>
    <w:rsid w:val="0039409E"/>
    <w:rsid w:val="003A443D"/>
    <w:rsid w:val="003C5976"/>
    <w:rsid w:val="003D67E7"/>
    <w:rsid w:val="003E262B"/>
    <w:rsid w:val="003E6DDD"/>
    <w:rsid w:val="003F092A"/>
    <w:rsid w:val="0040593A"/>
    <w:rsid w:val="00414402"/>
    <w:rsid w:val="00435D38"/>
    <w:rsid w:val="00440EA3"/>
    <w:rsid w:val="004537CC"/>
    <w:rsid w:val="00456D0F"/>
    <w:rsid w:val="00462B52"/>
    <w:rsid w:val="0047542A"/>
    <w:rsid w:val="004A2172"/>
    <w:rsid w:val="004A650F"/>
    <w:rsid w:val="004C2A01"/>
    <w:rsid w:val="004F1C5C"/>
    <w:rsid w:val="004F6103"/>
    <w:rsid w:val="005450AB"/>
    <w:rsid w:val="00571DB7"/>
    <w:rsid w:val="0058498F"/>
    <w:rsid w:val="00592B6A"/>
    <w:rsid w:val="00594A04"/>
    <w:rsid w:val="005A1AA4"/>
    <w:rsid w:val="005C3A34"/>
    <w:rsid w:val="005D1480"/>
    <w:rsid w:val="005E2429"/>
    <w:rsid w:val="005E4BF5"/>
    <w:rsid w:val="00627C88"/>
    <w:rsid w:val="00650C7B"/>
    <w:rsid w:val="00654F0A"/>
    <w:rsid w:val="00690EBD"/>
    <w:rsid w:val="006D615B"/>
    <w:rsid w:val="007035B1"/>
    <w:rsid w:val="00727E0B"/>
    <w:rsid w:val="00771CCD"/>
    <w:rsid w:val="00790D29"/>
    <w:rsid w:val="007944C9"/>
    <w:rsid w:val="007C5111"/>
    <w:rsid w:val="007D432A"/>
    <w:rsid w:val="007E4A19"/>
    <w:rsid w:val="008008D0"/>
    <w:rsid w:val="008026CB"/>
    <w:rsid w:val="008120E5"/>
    <w:rsid w:val="00814F99"/>
    <w:rsid w:val="00845F34"/>
    <w:rsid w:val="00854BBD"/>
    <w:rsid w:val="008B2571"/>
    <w:rsid w:val="008B7864"/>
    <w:rsid w:val="008C61E9"/>
    <w:rsid w:val="008C67F8"/>
    <w:rsid w:val="008D22FC"/>
    <w:rsid w:val="008E246E"/>
    <w:rsid w:val="008E758D"/>
    <w:rsid w:val="008F5FD1"/>
    <w:rsid w:val="00900BBF"/>
    <w:rsid w:val="009217F9"/>
    <w:rsid w:val="00922FF0"/>
    <w:rsid w:val="00932698"/>
    <w:rsid w:val="0093499C"/>
    <w:rsid w:val="00936C3E"/>
    <w:rsid w:val="0095500A"/>
    <w:rsid w:val="00964DE2"/>
    <w:rsid w:val="00976F0D"/>
    <w:rsid w:val="009A50B7"/>
    <w:rsid w:val="009D05C8"/>
    <w:rsid w:val="009E6D72"/>
    <w:rsid w:val="009E75AA"/>
    <w:rsid w:val="009F6E8C"/>
    <w:rsid w:val="00A137EA"/>
    <w:rsid w:val="00A23E17"/>
    <w:rsid w:val="00A23E6C"/>
    <w:rsid w:val="00A3384E"/>
    <w:rsid w:val="00A33CFC"/>
    <w:rsid w:val="00A404D9"/>
    <w:rsid w:val="00A52715"/>
    <w:rsid w:val="00A630C5"/>
    <w:rsid w:val="00A70A2F"/>
    <w:rsid w:val="00A7457E"/>
    <w:rsid w:val="00A74BF9"/>
    <w:rsid w:val="00A77FF2"/>
    <w:rsid w:val="00A84242"/>
    <w:rsid w:val="00A90449"/>
    <w:rsid w:val="00A922E6"/>
    <w:rsid w:val="00AB5AAD"/>
    <w:rsid w:val="00AB5E75"/>
    <w:rsid w:val="00AC4CF0"/>
    <w:rsid w:val="00AC5077"/>
    <w:rsid w:val="00AD0258"/>
    <w:rsid w:val="00AD24CF"/>
    <w:rsid w:val="00AE70A3"/>
    <w:rsid w:val="00AF3850"/>
    <w:rsid w:val="00B03647"/>
    <w:rsid w:val="00B057ED"/>
    <w:rsid w:val="00B06867"/>
    <w:rsid w:val="00B06A02"/>
    <w:rsid w:val="00B105B3"/>
    <w:rsid w:val="00B20193"/>
    <w:rsid w:val="00B22FF5"/>
    <w:rsid w:val="00B52B99"/>
    <w:rsid w:val="00B5774E"/>
    <w:rsid w:val="00B76380"/>
    <w:rsid w:val="00BA66F9"/>
    <w:rsid w:val="00BB24F4"/>
    <w:rsid w:val="00BB60C2"/>
    <w:rsid w:val="00BB67AC"/>
    <w:rsid w:val="00BE415D"/>
    <w:rsid w:val="00BF16F5"/>
    <w:rsid w:val="00C0138F"/>
    <w:rsid w:val="00C14A19"/>
    <w:rsid w:val="00C20676"/>
    <w:rsid w:val="00C248A9"/>
    <w:rsid w:val="00C266C6"/>
    <w:rsid w:val="00C30355"/>
    <w:rsid w:val="00C43477"/>
    <w:rsid w:val="00C44EE4"/>
    <w:rsid w:val="00C52721"/>
    <w:rsid w:val="00C9558F"/>
    <w:rsid w:val="00CA474A"/>
    <w:rsid w:val="00CA6E0B"/>
    <w:rsid w:val="00CC516C"/>
    <w:rsid w:val="00CD5E14"/>
    <w:rsid w:val="00D059C9"/>
    <w:rsid w:val="00D2124E"/>
    <w:rsid w:val="00D261F6"/>
    <w:rsid w:val="00D4205B"/>
    <w:rsid w:val="00D429E4"/>
    <w:rsid w:val="00D629B7"/>
    <w:rsid w:val="00D7690C"/>
    <w:rsid w:val="00D958A6"/>
    <w:rsid w:val="00DA7827"/>
    <w:rsid w:val="00DB2DF5"/>
    <w:rsid w:val="00DB7326"/>
    <w:rsid w:val="00E05113"/>
    <w:rsid w:val="00E1052F"/>
    <w:rsid w:val="00E34A36"/>
    <w:rsid w:val="00E415BD"/>
    <w:rsid w:val="00E46F34"/>
    <w:rsid w:val="00E50EFD"/>
    <w:rsid w:val="00E71C9E"/>
    <w:rsid w:val="00E778C8"/>
    <w:rsid w:val="00EA2AC0"/>
    <w:rsid w:val="00EA70B6"/>
    <w:rsid w:val="00EB2321"/>
    <w:rsid w:val="00EB74D6"/>
    <w:rsid w:val="00EC0150"/>
    <w:rsid w:val="00ED0386"/>
    <w:rsid w:val="00EF0B93"/>
    <w:rsid w:val="00F01432"/>
    <w:rsid w:val="00F1157B"/>
    <w:rsid w:val="00F165E7"/>
    <w:rsid w:val="00F36962"/>
    <w:rsid w:val="00F37C02"/>
    <w:rsid w:val="00F42287"/>
    <w:rsid w:val="00F638EF"/>
    <w:rsid w:val="00FA0FCE"/>
    <w:rsid w:val="00FB74F6"/>
    <w:rsid w:val="00FD1399"/>
    <w:rsid w:val="00FD213D"/>
    <w:rsid w:val="00FD4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FB60"/>
  <w15:chartTrackingRefBased/>
  <w15:docId w15:val="{EFF42651-518A-4EEA-92E1-C1DD3ACD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51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4537CC"/>
    <w:rPr>
      <w:color w:val="0000FF"/>
      <w:u w:val="single"/>
    </w:rPr>
  </w:style>
  <w:style w:type="paragraph" w:styleId="ListParagraph">
    <w:name w:val="List Paragraph"/>
    <w:basedOn w:val="Normal"/>
    <w:uiPriority w:val="34"/>
    <w:qFormat/>
    <w:rsid w:val="009F6E8C"/>
    <w:pPr>
      <w:ind w:left="720"/>
      <w:contextualSpacing/>
    </w:pPr>
  </w:style>
  <w:style w:type="character" w:customStyle="1" w:styleId="nci1">
    <w:name w:val="nci1"/>
    <w:basedOn w:val="DefaultParagraphFont"/>
    <w:rsid w:val="004A65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10886">
      <w:bodyDiv w:val="1"/>
      <w:marLeft w:val="0"/>
      <w:marRight w:val="0"/>
      <w:marTop w:val="0"/>
      <w:marBottom w:val="0"/>
      <w:divBdr>
        <w:top w:val="none" w:sz="0" w:space="0" w:color="auto"/>
        <w:left w:val="none" w:sz="0" w:space="0" w:color="auto"/>
        <w:bottom w:val="none" w:sz="0" w:space="0" w:color="auto"/>
        <w:right w:val="none" w:sz="0" w:space="0" w:color="auto"/>
      </w:divBdr>
    </w:div>
    <w:div w:id="274868491">
      <w:bodyDiv w:val="1"/>
      <w:marLeft w:val="0"/>
      <w:marRight w:val="0"/>
      <w:marTop w:val="0"/>
      <w:marBottom w:val="0"/>
      <w:divBdr>
        <w:top w:val="none" w:sz="0" w:space="0" w:color="auto"/>
        <w:left w:val="none" w:sz="0" w:space="0" w:color="auto"/>
        <w:bottom w:val="none" w:sz="0" w:space="0" w:color="auto"/>
        <w:right w:val="none" w:sz="0" w:space="0" w:color="auto"/>
      </w:divBdr>
    </w:div>
    <w:div w:id="305357133">
      <w:bodyDiv w:val="1"/>
      <w:marLeft w:val="0"/>
      <w:marRight w:val="0"/>
      <w:marTop w:val="0"/>
      <w:marBottom w:val="0"/>
      <w:divBdr>
        <w:top w:val="none" w:sz="0" w:space="0" w:color="auto"/>
        <w:left w:val="none" w:sz="0" w:space="0" w:color="auto"/>
        <w:bottom w:val="none" w:sz="0" w:space="0" w:color="auto"/>
        <w:right w:val="none" w:sz="0" w:space="0" w:color="auto"/>
      </w:divBdr>
    </w:div>
    <w:div w:id="639071277">
      <w:bodyDiv w:val="1"/>
      <w:marLeft w:val="0"/>
      <w:marRight w:val="0"/>
      <w:marTop w:val="0"/>
      <w:marBottom w:val="0"/>
      <w:divBdr>
        <w:top w:val="none" w:sz="0" w:space="0" w:color="auto"/>
        <w:left w:val="none" w:sz="0" w:space="0" w:color="auto"/>
        <w:bottom w:val="none" w:sz="0" w:space="0" w:color="auto"/>
        <w:right w:val="none" w:sz="0" w:space="0" w:color="auto"/>
      </w:divBdr>
      <w:divsChild>
        <w:div w:id="762998556">
          <w:marLeft w:val="0"/>
          <w:marRight w:val="0"/>
          <w:marTop w:val="0"/>
          <w:marBottom w:val="0"/>
          <w:divBdr>
            <w:top w:val="none" w:sz="0" w:space="0" w:color="auto"/>
            <w:left w:val="none" w:sz="0" w:space="0" w:color="auto"/>
            <w:bottom w:val="none" w:sz="0" w:space="0" w:color="auto"/>
            <w:right w:val="none" w:sz="0" w:space="0" w:color="auto"/>
          </w:divBdr>
          <w:divsChild>
            <w:div w:id="1018969350">
              <w:marLeft w:val="0"/>
              <w:marRight w:val="0"/>
              <w:marTop w:val="150"/>
              <w:marBottom w:val="150"/>
              <w:divBdr>
                <w:top w:val="single" w:sz="2" w:space="0" w:color="999999"/>
                <w:left w:val="single" w:sz="2" w:space="0" w:color="999999"/>
                <w:bottom w:val="single" w:sz="2" w:space="0" w:color="999999"/>
                <w:right w:val="single" w:sz="2" w:space="0" w:color="999999"/>
              </w:divBdr>
              <w:divsChild>
                <w:div w:id="9303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2015">
      <w:bodyDiv w:val="1"/>
      <w:marLeft w:val="0"/>
      <w:marRight w:val="0"/>
      <w:marTop w:val="0"/>
      <w:marBottom w:val="0"/>
      <w:divBdr>
        <w:top w:val="none" w:sz="0" w:space="0" w:color="auto"/>
        <w:left w:val="none" w:sz="0" w:space="0" w:color="auto"/>
        <w:bottom w:val="none" w:sz="0" w:space="0" w:color="auto"/>
        <w:right w:val="none" w:sz="0" w:space="0" w:color="auto"/>
      </w:divBdr>
      <w:divsChild>
        <w:div w:id="1238982727">
          <w:marLeft w:val="0"/>
          <w:marRight w:val="0"/>
          <w:marTop w:val="0"/>
          <w:marBottom w:val="0"/>
          <w:divBdr>
            <w:top w:val="none" w:sz="0" w:space="0" w:color="auto"/>
            <w:left w:val="none" w:sz="0" w:space="0" w:color="auto"/>
            <w:bottom w:val="none" w:sz="0" w:space="0" w:color="auto"/>
            <w:right w:val="none" w:sz="0" w:space="0" w:color="auto"/>
          </w:divBdr>
          <w:divsChild>
            <w:div w:id="1729063982">
              <w:marLeft w:val="0"/>
              <w:marRight w:val="0"/>
              <w:marTop w:val="150"/>
              <w:marBottom w:val="150"/>
              <w:divBdr>
                <w:top w:val="single" w:sz="2" w:space="0" w:color="999999"/>
                <w:left w:val="single" w:sz="2" w:space="0" w:color="999999"/>
                <w:bottom w:val="single" w:sz="2" w:space="0" w:color="999999"/>
                <w:right w:val="single" w:sz="2" w:space="0" w:color="999999"/>
              </w:divBdr>
              <w:divsChild>
                <w:div w:id="3117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73758">
      <w:bodyDiv w:val="1"/>
      <w:marLeft w:val="0"/>
      <w:marRight w:val="0"/>
      <w:marTop w:val="0"/>
      <w:marBottom w:val="0"/>
      <w:divBdr>
        <w:top w:val="none" w:sz="0" w:space="0" w:color="auto"/>
        <w:left w:val="none" w:sz="0" w:space="0" w:color="auto"/>
        <w:bottom w:val="none" w:sz="0" w:space="0" w:color="auto"/>
        <w:right w:val="none" w:sz="0" w:space="0" w:color="auto"/>
      </w:divBdr>
      <w:divsChild>
        <w:div w:id="419330720">
          <w:marLeft w:val="0"/>
          <w:marRight w:val="0"/>
          <w:marTop w:val="0"/>
          <w:marBottom w:val="0"/>
          <w:divBdr>
            <w:top w:val="none" w:sz="0" w:space="0" w:color="auto"/>
            <w:left w:val="none" w:sz="0" w:space="0" w:color="auto"/>
            <w:bottom w:val="none" w:sz="0" w:space="0" w:color="auto"/>
            <w:right w:val="none" w:sz="0" w:space="0" w:color="auto"/>
          </w:divBdr>
          <w:divsChild>
            <w:div w:id="143280641">
              <w:marLeft w:val="0"/>
              <w:marRight w:val="0"/>
              <w:marTop w:val="150"/>
              <w:marBottom w:val="150"/>
              <w:divBdr>
                <w:top w:val="single" w:sz="2" w:space="0" w:color="999999"/>
                <w:left w:val="single" w:sz="2" w:space="0" w:color="999999"/>
                <w:bottom w:val="single" w:sz="2" w:space="0" w:color="999999"/>
                <w:right w:val="single" w:sz="2" w:space="0" w:color="999999"/>
              </w:divBdr>
              <w:divsChild>
                <w:div w:id="1378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H:\SEND%20Projects\Pilot4\define.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Shifu</dc:creator>
  <cp:keywords/>
  <dc:description/>
  <cp:lastModifiedBy>Thompson, Rick [JRDUS]</cp:lastModifiedBy>
  <cp:revision>81</cp:revision>
  <dcterms:created xsi:type="dcterms:W3CDTF">2020-01-29T18:37:00Z</dcterms:created>
  <dcterms:modified xsi:type="dcterms:W3CDTF">2020-09-22T19:32:00Z</dcterms:modified>
</cp:coreProperties>
</file>