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957" w:rsidRDefault="00034B12">
      <w:pPr>
        <w:jc w:val="center"/>
      </w:pPr>
      <w:r>
        <w:rPr>
          <w:color w:val="000000"/>
          <w:sz w:val="72"/>
        </w:rPr>
        <w:t>Study Data Reviewer's Guide</w:t>
      </w:r>
    </w:p>
    <w:p w:rsidR="00BF1957" w:rsidRDefault="00034B12">
      <w:pPr>
        <w:jc w:val="center"/>
      </w:pPr>
      <w:r>
        <w:rPr>
          <w:i/>
          <w:color w:val="000000"/>
          <w:sz w:val="56"/>
        </w:rPr>
        <w:t>Nonclinical</w:t>
      </w:r>
    </w:p>
    <w:p w:rsidR="00BF1957" w:rsidRDefault="00034B12">
      <w:pPr>
        <w:jc w:val="center"/>
      </w:pPr>
      <w:r>
        <w:rPr>
          <w:i/>
          <w:color w:val="000000"/>
          <w:sz w:val="56"/>
        </w:rPr>
        <w:t>(</w:t>
      </w:r>
      <w:proofErr w:type="spellStart"/>
      <w:proofErr w:type="gramStart"/>
      <w:r>
        <w:rPr>
          <w:i/>
          <w:color w:val="000000"/>
          <w:sz w:val="56"/>
        </w:rPr>
        <w:t>nSDRG</w:t>
      </w:r>
      <w:proofErr w:type="spellEnd"/>
      <w:proofErr w:type="gramEnd"/>
      <w:r>
        <w:rPr>
          <w:i/>
          <w:color w:val="000000"/>
          <w:sz w:val="56"/>
        </w:rPr>
        <w:t>)</w:t>
      </w:r>
    </w:p>
    <w:p w:rsidR="00BF1957" w:rsidRDefault="00034B12">
      <w:r>
        <w:br/>
      </w:r>
      <w:r>
        <w:br/>
      </w:r>
      <w:r>
        <w:br/>
      </w:r>
      <w:r>
        <w:br/>
      </w:r>
      <w:r>
        <w:br/>
      </w:r>
      <w:r>
        <w:br/>
      </w:r>
      <w:r>
        <w:br/>
      </w:r>
      <w:r>
        <w:br/>
      </w:r>
      <w:r>
        <w:br/>
      </w:r>
    </w:p>
    <w:p w:rsidR="00BF1957" w:rsidRDefault="00034B12">
      <w:pPr>
        <w:jc w:val="center"/>
      </w:pPr>
      <w:r>
        <w:rPr>
          <w:color w:val="000000"/>
          <w:sz w:val="44"/>
        </w:rPr>
        <w:t>13-Week Repeat Dose Toxicity Study on PCDRUG in Rats</w:t>
      </w:r>
    </w:p>
    <w:p w:rsidR="00BF1957" w:rsidRDefault="00034B12">
      <w:pPr>
        <w:jc w:val="center"/>
      </w:pPr>
      <w:r>
        <w:rPr>
          <w:color w:val="000000"/>
          <w:sz w:val="44"/>
        </w:rPr>
        <w:t>(PC201708)</w:t>
      </w:r>
    </w:p>
    <w:p w:rsidR="00BF1957" w:rsidRDefault="00034B12">
      <w:r>
        <w:br/>
      </w:r>
      <w:r>
        <w:br/>
      </w:r>
      <w:r>
        <w:br/>
      </w:r>
      <w:r>
        <w:br/>
      </w:r>
    </w:p>
    <w:p w:rsidR="00BF1957" w:rsidRDefault="00034B12">
      <w:pPr>
        <w:jc w:val="center"/>
      </w:pPr>
      <w:r>
        <w:rPr>
          <w:color w:val="000000"/>
          <w:sz w:val="44"/>
        </w:rPr>
        <w:t>PCLS Pharmaceuticals</w:t>
      </w:r>
    </w:p>
    <w:p w:rsidR="00BF1957" w:rsidRDefault="00034B12">
      <w:r>
        <w:br w:type="page"/>
      </w:r>
    </w:p>
    <w:p w:rsidR="00BF1957" w:rsidRDefault="00034B12">
      <w:pPr>
        <w:jc w:val="center"/>
      </w:pPr>
      <w:r>
        <w:rPr>
          <w:b/>
          <w:color w:val="000000"/>
          <w:sz w:val="28"/>
        </w:rPr>
        <w:lastRenderedPageBreak/>
        <w:t>CONTENTS</w:t>
      </w:r>
    </w:p>
    <w:p w:rsidR="00BF1957" w:rsidRDefault="00034B12">
      <w:r>
        <w:br/>
      </w:r>
    </w:p>
    <w:p w:rsidR="00452C17" w:rsidRDefault="00034B12">
      <w:pPr>
        <w:pStyle w:val="TOC1"/>
        <w:tabs>
          <w:tab w:val="right" w:leader="dot" w:pos="9530"/>
        </w:tabs>
        <w:rPr>
          <w:rFonts w:eastAsiaTheme="minorEastAsia"/>
          <w:noProof/>
        </w:rPr>
      </w:pPr>
      <w:r>
        <w:fldChar w:fldCharType="begin"/>
      </w:r>
      <w:r>
        <w:instrText>TOC \o "1-3" \h \z \u</w:instrText>
      </w:r>
      <w:r>
        <w:fldChar w:fldCharType="separate"/>
      </w:r>
      <w:hyperlink w:anchor="_Toc489619586" w:history="1">
        <w:r w:rsidR="00452C17" w:rsidRPr="00502522">
          <w:rPr>
            <w:rStyle w:val="Hyperlink"/>
            <w:noProof/>
          </w:rPr>
          <w:t>Abbreviations</w:t>
        </w:r>
        <w:r w:rsidR="00452C17">
          <w:rPr>
            <w:noProof/>
            <w:webHidden/>
          </w:rPr>
          <w:tab/>
        </w:r>
        <w:r w:rsidR="00452C17">
          <w:rPr>
            <w:noProof/>
            <w:webHidden/>
          </w:rPr>
          <w:fldChar w:fldCharType="begin"/>
        </w:r>
        <w:r w:rsidR="00452C17">
          <w:rPr>
            <w:noProof/>
            <w:webHidden/>
          </w:rPr>
          <w:instrText xml:space="preserve"> PAGEREF _Toc489619586 \h </w:instrText>
        </w:r>
        <w:r w:rsidR="00452C17">
          <w:rPr>
            <w:noProof/>
            <w:webHidden/>
          </w:rPr>
        </w:r>
        <w:r w:rsidR="00452C17">
          <w:rPr>
            <w:noProof/>
            <w:webHidden/>
          </w:rPr>
          <w:fldChar w:fldCharType="separate"/>
        </w:r>
        <w:r w:rsidR="00452C17">
          <w:rPr>
            <w:noProof/>
            <w:webHidden/>
          </w:rPr>
          <w:t>3</w:t>
        </w:r>
        <w:r w:rsidR="00452C17">
          <w:rPr>
            <w:noProof/>
            <w:webHidden/>
          </w:rPr>
          <w:fldChar w:fldCharType="end"/>
        </w:r>
      </w:hyperlink>
    </w:p>
    <w:p w:rsidR="00452C17" w:rsidRDefault="00452C17">
      <w:pPr>
        <w:pStyle w:val="TOC1"/>
        <w:tabs>
          <w:tab w:val="right" w:leader="dot" w:pos="9530"/>
        </w:tabs>
        <w:rPr>
          <w:rFonts w:eastAsiaTheme="minorEastAsia"/>
          <w:noProof/>
        </w:rPr>
      </w:pPr>
      <w:hyperlink w:anchor="_Toc489619587" w:history="1">
        <w:r w:rsidRPr="00502522">
          <w:rPr>
            <w:rStyle w:val="Hyperlink"/>
            <w:noProof/>
          </w:rPr>
          <w:t>1. nSDRG Introduction</w:t>
        </w:r>
        <w:r>
          <w:rPr>
            <w:noProof/>
            <w:webHidden/>
          </w:rPr>
          <w:tab/>
        </w:r>
        <w:r>
          <w:rPr>
            <w:noProof/>
            <w:webHidden/>
          </w:rPr>
          <w:fldChar w:fldCharType="begin"/>
        </w:r>
        <w:r>
          <w:rPr>
            <w:noProof/>
            <w:webHidden/>
          </w:rPr>
          <w:instrText xml:space="preserve"> PAGEREF _Toc489619587 \h </w:instrText>
        </w:r>
        <w:r>
          <w:rPr>
            <w:noProof/>
            <w:webHidden/>
          </w:rPr>
        </w:r>
        <w:r>
          <w:rPr>
            <w:noProof/>
            <w:webHidden/>
          </w:rPr>
          <w:fldChar w:fldCharType="separate"/>
        </w:r>
        <w:r>
          <w:rPr>
            <w:noProof/>
            <w:webHidden/>
          </w:rPr>
          <w:t>4</w:t>
        </w:r>
        <w:r>
          <w:rPr>
            <w:noProof/>
            <w:webHidden/>
          </w:rPr>
          <w:fldChar w:fldCharType="end"/>
        </w:r>
      </w:hyperlink>
    </w:p>
    <w:p w:rsidR="00452C17" w:rsidRDefault="00452C17">
      <w:pPr>
        <w:pStyle w:val="TOC2"/>
        <w:tabs>
          <w:tab w:val="right" w:leader="dot" w:pos="9530"/>
        </w:tabs>
        <w:rPr>
          <w:rFonts w:eastAsiaTheme="minorEastAsia"/>
          <w:noProof/>
        </w:rPr>
      </w:pPr>
      <w:hyperlink w:anchor="_Toc489619588" w:history="1">
        <w:r w:rsidRPr="00502522">
          <w:rPr>
            <w:rStyle w:val="Hyperlink"/>
            <w:noProof/>
          </w:rPr>
          <w:t>1.1 Study Protocol Title, Number, and Report Version</w:t>
        </w:r>
        <w:r>
          <w:rPr>
            <w:noProof/>
            <w:webHidden/>
          </w:rPr>
          <w:tab/>
        </w:r>
        <w:r>
          <w:rPr>
            <w:noProof/>
            <w:webHidden/>
          </w:rPr>
          <w:fldChar w:fldCharType="begin"/>
        </w:r>
        <w:r>
          <w:rPr>
            <w:noProof/>
            <w:webHidden/>
          </w:rPr>
          <w:instrText xml:space="preserve"> PAGEREF _Toc489619588 \h </w:instrText>
        </w:r>
        <w:r>
          <w:rPr>
            <w:noProof/>
            <w:webHidden/>
          </w:rPr>
        </w:r>
        <w:r>
          <w:rPr>
            <w:noProof/>
            <w:webHidden/>
          </w:rPr>
          <w:fldChar w:fldCharType="separate"/>
        </w:r>
        <w:r>
          <w:rPr>
            <w:noProof/>
            <w:webHidden/>
          </w:rPr>
          <w:t>4</w:t>
        </w:r>
        <w:r>
          <w:rPr>
            <w:noProof/>
            <w:webHidden/>
          </w:rPr>
          <w:fldChar w:fldCharType="end"/>
        </w:r>
      </w:hyperlink>
    </w:p>
    <w:p w:rsidR="00452C17" w:rsidRDefault="00452C17">
      <w:pPr>
        <w:pStyle w:val="TOC2"/>
        <w:tabs>
          <w:tab w:val="right" w:leader="dot" w:pos="9530"/>
        </w:tabs>
        <w:rPr>
          <w:rFonts w:eastAsiaTheme="minorEastAsia"/>
          <w:noProof/>
        </w:rPr>
      </w:pPr>
      <w:hyperlink w:anchor="_Toc489619589" w:history="1">
        <w:r w:rsidRPr="00502522">
          <w:rPr>
            <w:rStyle w:val="Hyperlink"/>
            <w:noProof/>
          </w:rPr>
          <w:t>1.2 Summary of SEND Dataset Creation Process</w:t>
        </w:r>
        <w:r>
          <w:rPr>
            <w:noProof/>
            <w:webHidden/>
          </w:rPr>
          <w:tab/>
        </w:r>
        <w:r>
          <w:rPr>
            <w:noProof/>
            <w:webHidden/>
          </w:rPr>
          <w:fldChar w:fldCharType="begin"/>
        </w:r>
        <w:r>
          <w:rPr>
            <w:noProof/>
            <w:webHidden/>
          </w:rPr>
          <w:instrText xml:space="preserve"> PAGEREF _Toc489619589 \h </w:instrText>
        </w:r>
        <w:r>
          <w:rPr>
            <w:noProof/>
            <w:webHidden/>
          </w:rPr>
        </w:r>
        <w:r>
          <w:rPr>
            <w:noProof/>
            <w:webHidden/>
          </w:rPr>
          <w:fldChar w:fldCharType="separate"/>
        </w:r>
        <w:r>
          <w:rPr>
            <w:noProof/>
            <w:webHidden/>
          </w:rPr>
          <w:t>4</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0" w:history="1">
        <w:r w:rsidRPr="00502522">
          <w:rPr>
            <w:rStyle w:val="Hyperlink"/>
            <w:noProof/>
          </w:rPr>
          <w:t>1.3 SEND Dataset Verification</w:t>
        </w:r>
        <w:r>
          <w:rPr>
            <w:noProof/>
            <w:webHidden/>
          </w:rPr>
          <w:tab/>
        </w:r>
        <w:r>
          <w:rPr>
            <w:noProof/>
            <w:webHidden/>
          </w:rPr>
          <w:fldChar w:fldCharType="begin"/>
        </w:r>
        <w:r>
          <w:rPr>
            <w:noProof/>
            <w:webHidden/>
          </w:rPr>
          <w:instrText xml:space="preserve"> PAGEREF _Toc489619590 \h </w:instrText>
        </w:r>
        <w:r>
          <w:rPr>
            <w:noProof/>
            <w:webHidden/>
          </w:rPr>
        </w:r>
        <w:r>
          <w:rPr>
            <w:noProof/>
            <w:webHidden/>
          </w:rPr>
          <w:fldChar w:fldCharType="separate"/>
        </w:r>
        <w:r>
          <w:rPr>
            <w:noProof/>
            <w:webHidden/>
          </w:rPr>
          <w:t>4</w:t>
        </w:r>
        <w:r>
          <w:rPr>
            <w:noProof/>
            <w:webHidden/>
          </w:rPr>
          <w:fldChar w:fldCharType="end"/>
        </w:r>
      </w:hyperlink>
    </w:p>
    <w:p w:rsidR="00452C17" w:rsidRDefault="00452C17">
      <w:pPr>
        <w:pStyle w:val="TOC1"/>
        <w:tabs>
          <w:tab w:val="right" w:leader="dot" w:pos="9530"/>
        </w:tabs>
        <w:rPr>
          <w:rFonts w:eastAsiaTheme="minorEastAsia"/>
          <w:noProof/>
        </w:rPr>
      </w:pPr>
      <w:hyperlink w:anchor="_Toc489619591" w:history="1">
        <w:r w:rsidRPr="00502522">
          <w:rPr>
            <w:rStyle w:val="Hyperlink"/>
            <w:noProof/>
          </w:rPr>
          <w:t>2. Study Design</w:t>
        </w:r>
        <w:r>
          <w:rPr>
            <w:noProof/>
            <w:webHidden/>
          </w:rPr>
          <w:tab/>
        </w:r>
        <w:r>
          <w:rPr>
            <w:noProof/>
            <w:webHidden/>
          </w:rPr>
          <w:fldChar w:fldCharType="begin"/>
        </w:r>
        <w:r>
          <w:rPr>
            <w:noProof/>
            <w:webHidden/>
          </w:rPr>
          <w:instrText xml:space="preserve"> PAGEREF _Toc489619591 \h </w:instrText>
        </w:r>
        <w:r>
          <w:rPr>
            <w:noProof/>
            <w:webHidden/>
          </w:rPr>
        </w:r>
        <w:r>
          <w:rPr>
            <w:noProof/>
            <w:webHidden/>
          </w:rPr>
          <w:fldChar w:fldCharType="separate"/>
        </w:r>
        <w:r>
          <w:rPr>
            <w:noProof/>
            <w:webHidden/>
          </w:rPr>
          <w:t>4</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2" w:history="1">
        <w:r w:rsidRPr="00502522">
          <w:rPr>
            <w:rStyle w:val="Hyperlink"/>
            <w:noProof/>
          </w:rPr>
          <w:t>2.1 Study Design Summary</w:t>
        </w:r>
        <w:r>
          <w:rPr>
            <w:noProof/>
            <w:webHidden/>
          </w:rPr>
          <w:tab/>
        </w:r>
        <w:r>
          <w:rPr>
            <w:noProof/>
            <w:webHidden/>
          </w:rPr>
          <w:fldChar w:fldCharType="begin"/>
        </w:r>
        <w:r>
          <w:rPr>
            <w:noProof/>
            <w:webHidden/>
          </w:rPr>
          <w:instrText xml:space="preserve"> PAGEREF _Toc489619592 \h </w:instrText>
        </w:r>
        <w:r>
          <w:rPr>
            <w:noProof/>
            <w:webHidden/>
          </w:rPr>
        </w:r>
        <w:r>
          <w:rPr>
            <w:noProof/>
            <w:webHidden/>
          </w:rPr>
          <w:fldChar w:fldCharType="separate"/>
        </w:r>
        <w:r>
          <w:rPr>
            <w:noProof/>
            <w:webHidden/>
          </w:rPr>
          <w:t>4</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3" w:history="1">
        <w:r w:rsidRPr="00502522">
          <w:rPr>
            <w:rStyle w:val="Hyperlink"/>
            <w:noProof/>
          </w:rPr>
          <w:t>2.2 Trial Design Domain Overview</w:t>
        </w:r>
        <w:r>
          <w:rPr>
            <w:noProof/>
            <w:webHidden/>
          </w:rPr>
          <w:tab/>
        </w:r>
        <w:r>
          <w:rPr>
            <w:noProof/>
            <w:webHidden/>
          </w:rPr>
          <w:fldChar w:fldCharType="begin"/>
        </w:r>
        <w:r>
          <w:rPr>
            <w:noProof/>
            <w:webHidden/>
          </w:rPr>
          <w:instrText xml:space="preserve"> PAGEREF _Toc489619593 \h </w:instrText>
        </w:r>
        <w:r>
          <w:rPr>
            <w:noProof/>
            <w:webHidden/>
          </w:rPr>
        </w:r>
        <w:r>
          <w:rPr>
            <w:noProof/>
            <w:webHidden/>
          </w:rPr>
          <w:fldChar w:fldCharType="separate"/>
        </w:r>
        <w:r>
          <w:rPr>
            <w:noProof/>
            <w:webHidden/>
          </w:rPr>
          <w:t>5</w:t>
        </w:r>
        <w:r>
          <w:rPr>
            <w:noProof/>
            <w:webHidden/>
          </w:rPr>
          <w:fldChar w:fldCharType="end"/>
        </w:r>
      </w:hyperlink>
    </w:p>
    <w:p w:rsidR="00452C17" w:rsidRDefault="00452C17">
      <w:pPr>
        <w:pStyle w:val="TOC1"/>
        <w:tabs>
          <w:tab w:val="right" w:leader="dot" w:pos="9530"/>
        </w:tabs>
        <w:rPr>
          <w:rFonts w:eastAsiaTheme="minorEastAsia"/>
          <w:noProof/>
        </w:rPr>
      </w:pPr>
      <w:hyperlink w:anchor="_Toc489619594" w:history="1">
        <w:r w:rsidRPr="00502522">
          <w:rPr>
            <w:rStyle w:val="Hyperlink"/>
            <w:noProof/>
          </w:rPr>
          <w:t>3. Standards, Formats, and Terminologies and their Versions</w:t>
        </w:r>
        <w:r>
          <w:rPr>
            <w:noProof/>
            <w:webHidden/>
          </w:rPr>
          <w:tab/>
        </w:r>
        <w:r>
          <w:rPr>
            <w:noProof/>
            <w:webHidden/>
          </w:rPr>
          <w:fldChar w:fldCharType="begin"/>
        </w:r>
        <w:r>
          <w:rPr>
            <w:noProof/>
            <w:webHidden/>
          </w:rPr>
          <w:instrText xml:space="preserve"> PAGEREF _Toc489619594 \h </w:instrText>
        </w:r>
        <w:r>
          <w:rPr>
            <w:noProof/>
            <w:webHidden/>
          </w:rPr>
        </w:r>
        <w:r>
          <w:rPr>
            <w:noProof/>
            <w:webHidden/>
          </w:rPr>
          <w:fldChar w:fldCharType="separate"/>
        </w:r>
        <w:r>
          <w:rPr>
            <w:noProof/>
            <w:webHidden/>
          </w:rPr>
          <w:t>6</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5" w:history="1">
        <w:r w:rsidRPr="00502522">
          <w:rPr>
            <w:rStyle w:val="Hyperlink"/>
            <w:noProof/>
          </w:rPr>
          <w:t>3.1. Standards Used</w:t>
        </w:r>
        <w:r>
          <w:rPr>
            <w:noProof/>
            <w:webHidden/>
          </w:rPr>
          <w:tab/>
        </w:r>
        <w:r>
          <w:rPr>
            <w:noProof/>
            <w:webHidden/>
          </w:rPr>
          <w:fldChar w:fldCharType="begin"/>
        </w:r>
        <w:r>
          <w:rPr>
            <w:noProof/>
            <w:webHidden/>
          </w:rPr>
          <w:instrText xml:space="preserve"> PAGEREF _Toc489619595 \h </w:instrText>
        </w:r>
        <w:r>
          <w:rPr>
            <w:noProof/>
            <w:webHidden/>
          </w:rPr>
        </w:r>
        <w:r>
          <w:rPr>
            <w:noProof/>
            <w:webHidden/>
          </w:rPr>
          <w:fldChar w:fldCharType="separate"/>
        </w:r>
        <w:r>
          <w:rPr>
            <w:noProof/>
            <w:webHidden/>
          </w:rPr>
          <w:t>6</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6" w:history="1">
        <w:r w:rsidRPr="00502522">
          <w:rPr>
            <w:rStyle w:val="Hyperlink"/>
            <w:noProof/>
          </w:rPr>
          <w:t>3.2 Rationale for Standards Selection</w:t>
        </w:r>
        <w:r>
          <w:rPr>
            <w:noProof/>
            <w:webHidden/>
          </w:rPr>
          <w:tab/>
        </w:r>
        <w:r>
          <w:rPr>
            <w:noProof/>
            <w:webHidden/>
          </w:rPr>
          <w:fldChar w:fldCharType="begin"/>
        </w:r>
        <w:r>
          <w:rPr>
            <w:noProof/>
            <w:webHidden/>
          </w:rPr>
          <w:instrText xml:space="preserve"> PAGEREF _Toc489619596 \h </w:instrText>
        </w:r>
        <w:r>
          <w:rPr>
            <w:noProof/>
            <w:webHidden/>
          </w:rPr>
        </w:r>
        <w:r>
          <w:rPr>
            <w:noProof/>
            <w:webHidden/>
          </w:rPr>
          <w:fldChar w:fldCharType="separate"/>
        </w:r>
        <w:r>
          <w:rPr>
            <w:noProof/>
            <w:webHidden/>
          </w:rPr>
          <w:t>6</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7" w:history="1">
        <w:r w:rsidRPr="00502522">
          <w:rPr>
            <w:rStyle w:val="Hyperlink"/>
            <w:noProof/>
          </w:rPr>
          <w:t>3.3 Nonstandard Terminology</w:t>
        </w:r>
        <w:r>
          <w:rPr>
            <w:noProof/>
            <w:webHidden/>
          </w:rPr>
          <w:tab/>
        </w:r>
        <w:r>
          <w:rPr>
            <w:noProof/>
            <w:webHidden/>
          </w:rPr>
          <w:fldChar w:fldCharType="begin"/>
        </w:r>
        <w:r>
          <w:rPr>
            <w:noProof/>
            <w:webHidden/>
          </w:rPr>
          <w:instrText xml:space="preserve"> PAGEREF _Toc489619597 \h </w:instrText>
        </w:r>
        <w:r>
          <w:rPr>
            <w:noProof/>
            <w:webHidden/>
          </w:rPr>
        </w:r>
        <w:r>
          <w:rPr>
            <w:noProof/>
            <w:webHidden/>
          </w:rPr>
          <w:fldChar w:fldCharType="separate"/>
        </w:r>
        <w:r>
          <w:rPr>
            <w:noProof/>
            <w:webHidden/>
          </w:rPr>
          <w:t>6</w:t>
        </w:r>
        <w:r>
          <w:rPr>
            <w:noProof/>
            <w:webHidden/>
          </w:rPr>
          <w:fldChar w:fldCharType="end"/>
        </w:r>
      </w:hyperlink>
    </w:p>
    <w:p w:rsidR="00452C17" w:rsidRDefault="00452C17">
      <w:pPr>
        <w:pStyle w:val="TOC1"/>
        <w:tabs>
          <w:tab w:val="right" w:leader="dot" w:pos="9530"/>
        </w:tabs>
        <w:rPr>
          <w:rFonts w:eastAsiaTheme="minorEastAsia"/>
          <w:noProof/>
        </w:rPr>
      </w:pPr>
      <w:hyperlink w:anchor="_Toc489619598" w:history="1">
        <w:r w:rsidRPr="00502522">
          <w:rPr>
            <w:rStyle w:val="Hyperlink"/>
            <w:noProof/>
          </w:rPr>
          <w:t>4. Description of Study Datasets</w:t>
        </w:r>
        <w:r>
          <w:rPr>
            <w:noProof/>
            <w:webHidden/>
          </w:rPr>
          <w:tab/>
        </w:r>
        <w:r>
          <w:rPr>
            <w:noProof/>
            <w:webHidden/>
          </w:rPr>
          <w:fldChar w:fldCharType="begin"/>
        </w:r>
        <w:r>
          <w:rPr>
            <w:noProof/>
            <w:webHidden/>
          </w:rPr>
          <w:instrText xml:space="preserve"> PAGEREF _Toc489619598 \h </w:instrText>
        </w:r>
        <w:r>
          <w:rPr>
            <w:noProof/>
            <w:webHidden/>
          </w:rPr>
        </w:r>
        <w:r>
          <w:rPr>
            <w:noProof/>
            <w:webHidden/>
          </w:rPr>
          <w:fldChar w:fldCharType="separate"/>
        </w:r>
        <w:r>
          <w:rPr>
            <w:noProof/>
            <w:webHidden/>
          </w:rPr>
          <w:t>7</w:t>
        </w:r>
        <w:r>
          <w:rPr>
            <w:noProof/>
            <w:webHidden/>
          </w:rPr>
          <w:fldChar w:fldCharType="end"/>
        </w:r>
      </w:hyperlink>
    </w:p>
    <w:p w:rsidR="00452C17" w:rsidRDefault="00452C17">
      <w:pPr>
        <w:pStyle w:val="TOC2"/>
        <w:tabs>
          <w:tab w:val="right" w:leader="dot" w:pos="9530"/>
        </w:tabs>
        <w:rPr>
          <w:rFonts w:eastAsiaTheme="minorEastAsia"/>
          <w:noProof/>
        </w:rPr>
      </w:pPr>
      <w:hyperlink w:anchor="_Toc489619599" w:history="1">
        <w:r w:rsidRPr="00502522">
          <w:rPr>
            <w:rStyle w:val="Hyperlink"/>
            <w:noProof/>
          </w:rPr>
          <w:t>4.1 Dataset Summary</w:t>
        </w:r>
        <w:r>
          <w:rPr>
            <w:noProof/>
            <w:webHidden/>
          </w:rPr>
          <w:tab/>
        </w:r>
        <w:r>
          <w:rPr>
            <w:noProof/>
            <w:webHidden/>
          </w:rPr>
          <w:fldChar w:fldCharType="begin"/>
        </w:r>
        <w:r>
          <w:rPr>
            <w:noProof/>
            <w:webHidden/>
          </w:rPr>
          <w:instrText xml:space="preserve"> PAGEREF _Toc489619599 \h </w:instrText>
        </w:r>
        <w:r>
          <w:rPr>
            <w:noProof/>
            <w:webHidden/>
          </w:rPr>
        </w:r>
        <w:r>
          <w:rPr>
            <w:noProof/>
            <w:webHidden/>
          </w:rPr>
          <w:fldChar w:fldCharType="separate"/>
        </w:r>
        <w:r>
          <w:rPr>
            <w:noProof/>
            <w:webHidden/>
          </w:rPr>
          <w:t>7</w:t>
        </w:r>
        <w:r>
          <w:rPr>
            <w:noProof/>
            <w:webHidden/>
          </w:rPr>
          <w:fldChar w:fldCharType="end"/>
        </w:r>
      </w:hyperlink>
    </w:p>
    <w:p w:rsidR="00452C17" w:rsidRDefault="00452C17">
      <w:pPr>
        <w:pStyle w:val="TOC2"/>
        <w:tabs>
          <w:tab w:val="right" w:leader="dot" w:pos="9530"/>
        </w:tabs>
        <w:rPr>
          <w:rFonts w:eastAsiaTheme="minorEastAsia"/>
          <w:noProof/>
        </w:rPr>
      </w:pPr>
      <w:hyperlink w:anchor="_Toc489619600" w:history="1">
        <w:r w:rsidRPr="00502522">
          <w:rPr>
            <w:rStyle w:val="Hyperlink"/>
            <w:noProof/>
          </w:rPr>
          <w:t>4.2 Dataset Explanation</w:t>
        </w:r>
        <w:r>
          <w:rPr>
            <w:noProof/>
            <w:webHidden/>
          </w:rPr>
          <w:tab/>
        </w:r>
        <w:r>
          <w:rPr>
            <w:noProof/>
            <w:webHidden/>
          </w:rPr>
          <w:fldChar w:fldCharType="begin"/>
        </w:r>
        <w:r>
          <w:rPr>
            <w:noProof/>
            <w:webHidden/>
          </w:rPr>
          <w:instrText xml:space="preserve"> PAGEREF _Toc489619600 \h </w:instrText>
        </w:r>
        <w:r>
          <w:rPr>
            <w:noProof/>
            <w:webHidden/>
          </w:rPr>
        </w:r>
        <w:r>
          <w:rPr>
            <w:noProof/>
            <w:webHidden/>
          </w:rPr>
          <w:fldChar w:fldCharType="separate"/>
        </w:r>
        <w:r>
          <w:rPr>
            <w:noProof/>
            <w:webHidden/>
          </w:rPr>
          <w:t>7</w:t>
        </w:r>
        <w:r>
          <w:rPr>
            <w:noProof/>
            <w:webHidden/>
          </w:rPr>
          <w:fldChar w:fldCharType="end"/>
        </w:r>
      </w:hyperlink>
    </w:p>
    <w:p w:rsidR="00452C17" w:rsidRDefault="00452C17">
      <w:pPr>
        <w:pStyle w:val="TOC2"/>
        <w:tabs>
          <w:tab w:val="right" w:leader="dot" w:pos="9530"/>
        </w:tabs>
        <w:rPr>
          <w:rFonts w:eastAsiaTheme="minorEastAsia"/>
          <w:noProof/>
        </w:rPr>
      </w:pPr>
      <w:hyperlink w:anchor="_Toc489619601" w:history="1">
        <w:r w:rsidRPr="00502522">
          <w:rPr>
            <w:rStyle w:val="Hyperlink"/>
            <w:noProof/>
          </w:rPr>
          <w:t>4.3 Use of Supplemental Qualifiers</w:t>
        </w:r>
        <w:r>
          <w:rPr>
            <w:noProof/>
            <w:webHidden/>
          </w:rPr>
          <w:tab/>
        </w:r>
        <w:r>
          <w:rPr>
            <w:noProof/>
            <w:webHidden/>
          </w:rPr>
          <w:fldChar w:fldCharType="begin"/>
        </w:r>
        <w:r>
          <w:rPr>
            <w:noProof/>
            <w:webHidden/>
          </w:rPr>
          <w:instrText xml:space="preserve"> PAGEREF _Toc489619601 \h </w:instrText>
        </w:r>
        <w:r>
          <w:rPr>
            <w:noProof/>
            <w:webHidden/>
          </w:rPr>
        </w:r>
        <w:r>
          <w:rPr>
            <w:noProof/>
            <w:webHidden/>
          </w:rPr>
          <w:fldChar w:fldCharType="separate"/>
        </w:r>
        <w:r>
          <w:rPr>
            <w:noProof/>
            <w:webHidden/>
          </w:rPr>
          <w:t>7</w:t>
        </w:r>
        <w:r>
          <w:rPr>
            <w:noProof/>
            <w:webHidden/>
          </w:rPr>
          <w:fldChar w:fldCharType="end"/>
        </w:r>
      </w:hyperlink>
    </w:p>
    <w:p w:rsidR="00452C17" w:rsidRDefault="00452C17">
      <w:pPr>
        <w:pStyle w:val="TOC1"/>
        <w:tabs>
          <w:tab w:val="right" w:leader="dot" w:pos="9530"/>
        </w:tabs>
        <w:rPr>
          <w:rFonts w:eastAsiaTheme="minorEastAsia"/>
          <w:noProof/>
        </w:rPr>
      </w:pPr>
      <w:hyperlink w:anchor="_Toc489619602" w:history="1">
        <w:r w:rsidRPr="00502522">
          <w:rPr>
            <w:rStyle w:val="Hyperlink"/>
            <w:noProof/>
          </w:rPr>
          <w:t>5. Data Standards Validation Rules, Versions, and Conformance Issues</w:t>
        </w:r>
        <w:r>
          <w:rPr>
            <w:noProof/>
            <w:webHidden/>
          </w:rPr>
          <w:tab/>
        </w:r>
        <w:r>
          <w:rPr>
            <w:noProof/>
            <w:webHidden/>
          </w:rPr>
          <w:fldChar w:fldCharType="begin"/>
        </w:r>
        <w:r>
          <w:rPr>
            <w:noProof/>
            <w:webHidden/>
          </w:rPr>
          <w:instrText xml:space="preserve"> PAGEREF _Toc489619602 \h </w:instrText>
        </w:r>
        <w:r>
          <w:rPr>
            <w:noProof/>
            <w:webHidden/>
          </w:rPr>
        </w:r>
        <w:r>
          <w:rPr>
            <w:noProof/>
            <w:webHidden/>
          </w:rPr>
          <w:fldChar w:fldCharType="separate"/>
        </w:r>
        <w:r>
          <w:rPr>
            <w:noProof/>
            <w:webHidden/>
          </w:rPr>
          <w:t>8</w:t>
        </w:r>
        <w:r>
          <w:rPr>
            <w:noProof/>
            <w:webHidden/>
          </w:rPr>
          <w:fldChar w:fldCharType="end"/>
        </w:r>
      </w:hyperlink>
    </w:p>
    <w:p w:rsidR="00452C17" w:rsidRDefault="00452C17">
      <w:pPr>
        <w:pStyle w:val="TOC2"/>
        <w:tabs>
          <w:tab w:val="right" w:leader="dot" w:pos="9530"/>
        </w:tabs>
        <w:rPr>
          <w:rFonts w:eastAsiaTheme="minorEastAsia"/>
          <w:noProof/>
        </w:rPr>
      </w:pPr>
      <w:hyperlink w:anchor="_Toc489619603" w:history="1">
        <w:r w:rsidRPr="00502522">
          <w:rPr>
            <w:rStyle w:val="Hyperlink"/>
            <w:noProof/>
          </w:rPr>
          <w:t>5.1 Validation Outcome Summary</w:t>
        </w:r>
        <w:r>
          <w:rPr>
            <w:noProof/>
            <w:webHidden/>
          </w:rPr>
          <w:tab/>
        </w:r>
        <w:r>
          <w:rPr>
            <w:noProof/>
            <w:webHidden/>
          </w:rPr>
          <w:fldChar w:fldCharType="begin"/>
        </w:r>
        <w:r>
          <w:rPr>
            <w:noProof/>
            <w:webHidden/>
          </w:rPr>
          <w:instrText xml:space="preserve"> PAGEREF _Toc489619603 \h </w:instrText>
        </w:r>
        <w:r>
          <w:rPr>
            <w:noProof/>
            <w:webHidden/>
          </w:rPr>
        </w:r>
        <w:r>
          <w:rPr>
            <w:noProof/>
            <w:webHidden/>
          </w:rPr>
          <w:fldChar w:fldCharType="separate"/>
        </w:r>
        <w:r>
          <w:rPr>
            <w:noProof/>
            <w:webHidden/>
          </w:rPr>
          <w:t>8</w:t>
        </w:r>
        <w:r>
          <w:rPr>
            <w:noProof/>
            <w:webHidden/>
          </w:rPr>
          <w:fldChar w:fldCharType="end"/>
        </w:r>
      </w:hyperlink>
    </w:p>
    <w:p w:rsidR="00452C17" w:rsidRDefault="00452C17">
      <w:pPr>
        <w:pStyle w:val="TOC2"/>
        <w:tabs>
          <w:tab w:val="right" w:leader="dot" w:pos="9530"/>
        </w:tabs>
        <w:rPr>
          <w:rFonts w:eastAsiaTheme="minorEastAsia"/>
          <w:noProof/>
        </w:rPr>
      </w:pPr>
      <w:hyperlink w:anchor="_Toc489619604" w:history="1">
        <w:r w:rsidRPr="00502522">
          <w:rPr>
            <w:rStyle w:val="Hyperlink"/>
            <w:noProof/>
          </w:rPr>
          <w:t>5.2 FDA SEND Validation Rules Version</w:t>
        </w:r>
        <w:r>
          <w:rPr>
            <w:noProof/>
            <w:webHidden/>
          </w:rPr>
          <w:tab/>
        </w:r>
        <w:r>
          <w:rPr>
            <w:noProof/>
            <w:webHidden/>
          </w:rPr>
          <w:fldChar w:fldCharType="begin"/>
        </w:r>
        <w:r>
          <w:rPr>
            <w:noProof/>
            <w:webHidden/>
          </w:rPr>
          <w:instrText xml:space="preserve"> PAGEREF _Toc489619604 \h </w:instrText>
        </w:r>
        <w:r>
          <w:rPr>
            <w:noProof/>
            <w:webHidden/>
          </w:rPr>
        </w:r>
        <w:r>
          <w:rPr>
            <w:noProof/>
            <w:webHidden/>
          </w:rPr>
          <w:fldChar w:fldCharType="separate"/>
        </w:r>
        <w:r>
          <w:rPr>
            <w:noProof/>
            <w:webHidden/>
          </w:rPr>
          <w:t>8</w:t>
        </w:r>
        <w:r>
          <w:rPr>
            <w:noProof/>
            <w:webHidden/>
          </w:rPr>
          <w:fldChar w:fldCharType="end"/>
        </w:r>
      </w:hyperlink>
    </w:p>
    <w:p w:rsidR="00452C17" w:rsidRDefault="00452C17">
      <w:pPr>
        <w:pStyle w:val="TOC2"/>
        <w:tabs>
          <w:tab w:val="right" w:leader="dot" w:pos="9530"/>
        </w:tabs>
        <w:rPr>
          <w:rFonts w:eastAsiaTheme="minorEastAsia"/>
          <w:noProof/>
        </w:rPr>
      </w:pPr>
      <w:hyperlink w:anchor="_Toc489619605" w:history="1">
        <w:r w:rsidRPr="00502522">
          <w:rPr>
            <w:rStyle w:val="Hyperlink"/>
            <w:noProof/>
            <w:lang w:val="da-DK"/>
          </w:rPr>
          <w:t>5.3 Errors</w:t>
        </w:r>
        <w:r>
          <w:rPr>
            <w:noProof/>
            <w:webHidden/>
          </w:rPr>
          <w:tab/>
        </w:r>
        <w:r>
          <w:rPr>
            <w:noProof/>
            <w:webHidden/>
          </w:rPr>
          <w:fldChar w:fldCharType="begin"/>
        </w:r>
        <w:r>
          <w:rPr>
            <w:noProof/>
            <w:webHidden/>
          </w:rPr>
          <w:instrText xml:space="preserve"> PAGEREF _Toc489619605 \h </w:instrText>
        </w:r>
        <w:r>
          <w:rPr>
            <w:noProof/>
            <w:webHidden/>
          </w:rPr>
        </w:r>
        <w:r>
          <w:rPr>
            <w:noProof/>
            <w:webHidden/>
          </w:rPr>
          <w:fldChar w:fldCharType="separate"/>
        </w:r>
        <w:r>
          <w:rPr>
            <w:noProof/>
            <w:webHidden/>
          </w:rPr>
          <w:t>8</w:t>
        </w:r>
        <w:r>
          <w:rPr>
            <w:noProof/>
            <w:webHidden/>
          </w:rPr>
          <w:fldChar w:fldCharType="end"/>
        </w:r>
      </w:hyperlink>
    </w:p>
    <w:p w:rsidR="00452C17" w:rsidRDefault="00452C17">
      <w:pPr>
        <w:pStyle w:val="TOC3"/>
        <w:tabs>
          <w:tab w:val="left" w:pos="1320"/>
          <w:tab w:val="right" w:leader="dot" w:pos="9530"/>
        </w:tabs>
        <w:rPr>
          <w:rFonts w:eastAsiaTheme="minorEastAsia"/>
          <w:noProof/>
        </w:rPr>
      </w:pPr>
      <w:hyperlink w:anchor="_Toc489619606" w:history="1">
        <w:r w:rsidRPr="00502522">
          <w:rPr>
            <w:rStyle w:val="Hyperlink"/>
            <w:noProof/>
            <w:lang w:val="da-DK"/>
          </w:rPr>
          <w:t>5.3.1</w:t>
        </w:r>
        <w:r>
          <w:rPr>
            <w:rFonts w:eastAsiaTheme="minorEastAsia"/>
            <w:noProof/>
          </w:rPr>
          <w:tab/>
        </w:r>
        <w:r w:rsidRPr="00502522">
          <w:rPr>
            <w:rStyle w:val="Hyperlink"/>
            <w:noProof/>
            <w:lang w:val="da-DK"/>
          </w:rPr>
          <w:t>Pinnacle21 Validator</w:t>
        </w:r>
        <w:r>
          <w:rPr>
            <w:noProof/>
            <w:webHidden/>
          </w:rPr>
          <w:tab/>
        </w:r>
        <w:r>
          <w:rPr>
            <w:noProof/>
            <w:webHidden/>
          </w:rPr>
          <w:fldChar w:fldCharType="begin"/>
        </w:r>
        <w:r>
          <w:rPr>
            <w:noProof/>
            <w:webHidden/>
          </w:rPr>
          <w:instrText xml:space="preserve"> PAGEREF _Toc489619606 \h </w:instrText>
        </w:r>
        <w:r>
          <w:rPr>
            <w:noProof/>
            <w:webHidden/>
          </w:rPr>
        </w:r>
        <w:r>
          <w:rPr>
            <w:noProof/>
            <w:webHidden/>
          </w:rPr>
          <w:fldChar w:fldCharType="separate"/>
        </w:r>
        <w:r>
          <w:rPr>
            <w:noProof/>
            <w:webHidden/>
          </w:rPr>
          <w:t>8</w:t>
        </w:r>
        <w:r>
          <w:rPr>
            <w:noProof/>
            <w:webHidden/>
          </w:rPr>
          <w:fldChar w:fldCharType="end"/>
        </w:r>
      </w:hyperlink>
    </w:p>
    <w:p w:rsidR="00452C17" w:rsidRDefault="00452C17">
      <w:pPr>
        <w:pStyle w:val="TOC2"/>
        <w:tabs>
          <w:tab w:val="left" w:pos="880"/>
          <w:tab w:val="right" w:leader="dot" w:pos="9530"/>
        </w:tabs>
        <w:rPr>
          <w:rFonts w:eastAsiaTheme="minorEastAsia"/>
          <w:noProof/>
        </w:rPr>
      </w:pPr>
      <w:hyperlink w:anchor="_Toc489619607" w:history="1">
        <w:r w:rsidRPr="00502522">
          <w:rPr>
            <w:rStyle w:val="Hyperlink"/>
            <w:noProof/>
          </w:rPr>
          <w:t>5.4</w:t>
        </w:r>
        <w:r>
          <w:rPr>
            <w:rFonts w:eastAsiaTheme="minorEastAsia"/>
            <w:noProof/>
          </w:rPr>
          <w:tab/>
        </w:r>
        <w:r w:rsidRPr="00502522">
          <w:rPr>
            <w:rStyle w:val="Hyperlink"/>
            <w:noProof/>
          </w:rPr>
          <w:t>Warnings</w:t>
        </w:r>
        <w:r>
          <w:rPr>
            <w:noProof/>
            <w:webHidden/>
          </w:rPr>
          <w:tab/>
        </w:r>
        <w:r>
          <w:rPr>
            <w:noProof/>
            <w:webHidden/>
          </w:rPr>
          <w:fldChar w:fldCharType="begin"/>
        </w:r>
        <w:r>
          <w:rPr>
            <w:noProof/>
            <w:webHidden/>
          </w:rPr>
          <w:instrText xml:space="preserve"> PAGEREF _Toc489619607 \h </w:instrText>
        </w:r>
        <w:r>
          <w:rPr>
            <w:noProof/>
            <w:webHidden/>
          </w:rPr>
        </w:r>
        <w:r>
          <w:rPr>
            <w:noProof/>
            <w:webHidden/>
          </w:rPr>
          <w:fldChar w:fldCharType="separate"/>
        </w:r>
        <w:r>
          <w:rPr>
            <w:noProof/>
            <w:webHidden/>
          </w:rPr>
          <w:t>9</w:t>
        </w:r>
        <w:r>
          <w:rPr>
            <w:noProof/>
            <w:webHidden/>
          </w:rPr>
          <w:fldChar w:fldCharType="end"/>
        </w:r>
      </w:hyperlink>
    </w:p>
    <w:p w:rsidR="00452C17" w:rsidRDefault="00452C17">
      <w:pPr>
        <w:pStyle w:val="TOC3"/>
        <w:tabs>
          <w:tab w:val="right" w:leader="dot" w:pos="9530"/>
        </w:tabs>
        <w:rPr>
          <w:rFonts w:eastAsiaTheme="minorEastAsia"/>
          <w:noProof/>
        </w:rPr>
      </w:pPr>
      <w:hyperlink w:anchor="_Toc489619608" w:history="1">
        <w:r w:rsidRPr="00502522">
          <w:rPr>
            <w:rStyle w:val="Hyperlink"/>
            <w:noProof/>
          </w:rPr>
          <w:t>5.4.1 Pinnacle21 Validator</w:t>
        </w:r>
        <w:r>
          <w:rPr>
            <w:noProof/>
            <w:webHidden/>
          </w:rPr>
          <w:tab/>
        </w:r>
        <w:r>
          <w:rPr>
            <w:noProof/>
            <w:webHidden/>
          </w:rPr>
          <w:fldChar w:fldCharType="begin"/>
        </w:r>
        <w:r>
          <w:rPr>
            <w:noProof/>
            <w:webHidden/>
          </w:rPr>
          <w:instrText xml:space="preserve"> PAGEREF _Toc489619608 \h </w:instrText>
        </w:r>
        <w:r>
          <w:rPr>
            <w:noProof/>
            <w:webHidden/>
          </w:rPr>
        </w:r>
        <w:r>
          <w:rPr>
            <w:noProof/>
            <w:webHidden/>
          </w:rPr>
          <w:fldChar w:fldCharType="separate"/>
        </w:r>
        <w:r>
          <w:rPr>
            <w:noProof/>
            <w:webHidden/>
          </w:rPr>
          <w:t>9</w:t>
        </w:r>
        <w:r>
          <w:rPr>
            <w:noProof/>
            <w:webHidden/>
          </w:rPr>
          <w:fldChar w:fldCharType="end"/>
        </w:r>
      </w:hyperlink>
    </w:p>
    <w:p w:rsidR="00452C17" w:rsidRDefault="00452C17">
      <w:pPr>
        <w:pStyle w:val="TOC1"/>
        <w:tabs>
          <w:tab w:val="right" w:leader="dot" w:pos="9530"/>
        </w:tabs>
        <w:rPr>
          <w:rFonts w:eastAsiaTheme="minorEastAsia"/>
          <w:noProof/>
        </w:rPr>
      </w:pPr>
      <w:hyperlink w:anchor="_Toc489619609" w:history="1">
        <w:r w:rsidRPr="00502522">
          <w:rPr>
            <w:rStyle w:val="Hyperlink"/>
            <w:noProof/>
          </w:rPr>
          <w:t>6. Sponsor Decisions Related to Data Standard Implementations</w:t>
        </w:r>
        <w:r>
          <w:rPr>
            <w:noProof/>
            <w:webHidden/>
          </w:rPr>
          <w:tab/>
        </w:r>
        <w:r>
          <w:rPr>
            <w:noProof/>
            <w:webHidden/>
          </w:rPr>
          <w:fldChar w:fldCharType="begin"/>
        </w:r>
        <w:r>
          <w:rPr>
            <w:noProof/>
            <w:webHidden/>
          </w:rPr>
          <w:instrText xml:space="preserve"> PAGEREF _Toc489619609 \h </w:instrText>
        </w:r>
        <w:r>
          <w:rPr>
            <w:noProof/>
            <w:webHidden/>
          </w:rPr>
        </w:r>
        <w:r>
          <w:rPr>
            <w:noProof/>
            <w:webHidden/>
          </w:rPr>
          <w:fldChar w:fldCharType="separate"/>
        </w:r>
        <w:r>
          <w:rPr>
            <w:noProof/>
            <w:webHidden/>
          </w:rPr>
          <w:t>12</w:t>
        </w:r>
        <w:r>
          <w:rPr>
            <w:noProof/>
            <w:webHidden/>
          </w:rPr>
          <w:fldChar w:fldCharType="end"/>
        </w:r>
      </w:hyperlink>
    </w:p>
    <w:p w:rsidR="00452C17" w:rsidRDefault="00452C17">
      <w:pPr>
        <w:pStyle w:val="TOC2"/>
        <w:tabs>
          <w:tab w:val="right" w:leader="dot" w:pos="9530"/>
        </w:tabs>
        <w:rPr>
          <w:rFonts w:eastAsiaTheme="minorEastAsia"/>
          <w:noProof/>
        </w:rPr>
      </w:pPr>
      <w:hyperlink w:anchor="_Toc489619610" w:history="1">
        <w:r w:rsidRPr="00502522">
          <w:rPr>
            <w:rStyle w:val="Hyperlink"/>
            <w:noProof/>
          </w:rPr>
          <w:t>6.1 Sponsor-Defined Standardization Descriptions</w:t>
        </w:r>
        <w:r>
          <w:rPr>
            <w:noProof/>
            <w:webHidden/>
          </w:rPr>
          <w:tab/>
        </w:r>
        <w:r>
          <w:rPr>
            <w:noProof/>
            <w:webHidden/>
          </w:rPr>
          <w:fldChar w:fldCharType="begin"/>
        </w:r>
        <w:r>
          <w:rPr>
            <w:noProof/>
            <w:webHidden/>
          </w:rPr>
          <w:instrText xml:space="preserve"> PAGEREF _Toc489619610 \h </w:instrText>
        </w:r>
        <w:r>
          <w:rPr>
            <w:noProof/>
            <w:webHidden/>
          </w:rPr>
        </w:r>
        <w:r>
          <w:rPr>
            <w:noProof/>
            <w:webHidden/>
          </w:rPr>
          <w:fldChar w:fldCharType="separate"/>
        </w:r>
        <w:r>
          <w:rPr>
            <w:noProof/>
            <w:webHidden/>
          </w:rPr>
          <w:t>12</w:t>
        </w:r>
        <w:r>
          <w:rPr>
            <w:noProof/>
            <w:webHidden/>
          </w:rPr>
          <w:fldChar w:fldCharType="end"/>
        </w:r>
      </w:hyperlink>
    </w:p>
    <w:p w:rsidR="00452C17" w:rsidRDefault="00452C17">
      <w:pPr>
        <w:pStyle w:val="TOC2"/>
        <w:tabs>
          <w:tab w:val="right" w:leader="dot" w:pos="9530"/>
        </w:tabs>
        <w:rPr>
          <w:rFonts w:eastAsiaTheme="minorEastAsia"/>
          <w:noProof/>
        </w:rPr>
      </w:pPr>
      <w:hyperlink w:anchor="_Toc489619611" w:history="1">
        <w:r w:rsidRPr="00502522">
          <w:rPr>
            <w:rStyle w:val="Hyperlink"/>
            <w:noProof/>
          </w:rPr>
          <w:t>6.2 Differences between SEND Datasets and Study Report</w:t>
        </w:r>
        <w:r>
          <w:rPr>
            <w:noProof/>
            <w:webHidden/>
          </w:rPr>
          <w:tab/>
        </w:r>
        <w:r>
          <w:rPr>
            <w:noProof/>
            <w:webHidden/>
          </w:rPr>
          <w:fldChar w:fldCharType="begin"/>
        </w:r>
        <w:r>
          <w:rPr>
            <w:noProof/>
            <w:webHidden/>
          </w:rPr>
          <w:instrText xml:space="preserve"> PAGEREF _Toc489619611 \h </w:instrText>
        </w:r>
        <w:r>
          <w:rPr>
            <w:noProof/>
            <w:webHidden/>
          </w:rPr>
        </w:r>
        <w:r>
          <w:rPr>
            <w:noProof/>
            <w:webHidden/>
          </w:rPr>
          <w:fldChar w:fldCharType="separate"/>
        </w:r>
        <w:r>
          <w:rPr>
            <w:noProof/>
            <w:webHidden/>
          </w:rPr>
          <w:t>12</w:t>
        </w:r>
        <w:r>
          <w:rPr>
            <w:noProof/>
            <w:webHidden/>
          </w:rPr>
          <w:fldChar w:fldCharType="end"/>
        </w:r>
      </w:hyperlink>
    </w:p>
    <w:p w:rsidR="00BF1957" w:rsidRDefault="00034B12">
      <w:r>
        <w:fldChar w:fldCharType="end"/>
      </w:r>
      <w:bookmarkStart w:id="0" w:name="_GoBack"/>
      <w:bookmarkEnd w:id="0"/>
    </w:p>
    <w:p w:rsidR="00BF1957" w:rsidRDefault="00034B12">
      <w:r>
        <w:br w:type="page"/>
      </w:r>
    </w:p>
    <w:p w:rsidR="00BF1957" w:rsidRDefault="00034B12">
      <w:pPr>
        <w:pStyle w:val="Heading1"/>
        <w:jc w:val="center"/>
      </w:pPr>
      <w:bookmarkStart w:id="1" w:name="_Toc489619586"/>
      <w:r>
        <w:rPr>
          <w:color w:val="000000"/>
        </w:rPr>
        <w:lastRenderedPageBreak/>
        <w:t>Abbreviations</w:t>
      </w:r>
      <w:bookmarkEnd w:id="1"/>
    </w:p>
    <w:tbl>
      <w:tblPr>
        <w:tblStyle w:val="TableGrid"/>
        <w:tblW w:w="0" w:type="auto"/>
        <w:jc w:val="center"/>
        <w:tblLook w:val="04A0" w:firstRow="1" w:lastRow="0" w:firstColumn="1" w:lastColumn="0" w:noHBand="0" w:noVBand="1"/>
      </w:tblPr>
      <w:tblGrid>
        <w:gridCol w:w="1040"/>
        <w:gridCol w:w="4480"/>
      </w:tblGrid>
      <w:tr w:rsidR="00BF1957">
        <w:trPr>
          <w:jc w:val="center"/>
        </w:trPr>
        <w:tc>
          <w:tcPr>
            <w:tcW w:w="0" w:type="auto"/>
            <w:shd w:val="clear" w:color="auto" w:fill="FFFFFF"/>
            <w:vAlign w:val="center"/>
          </w:tcPr>
          <w:p w:rsidR="00BF1957" w:rsidRDefault="00034B12">
            <w:r>
              <w:rPr>
                <w:b/>
                <w:color w:val="000000"/>
              </w:rPr>
              <w:t>Acronym</w:t>
            </w:r>
          </w:p>
        </w:tc>
        <w:tc>
          <w:tcPr>
            <w:tcW w:w="0" w:type="auto"/>
            <w:shd w:val="clear" w:color="auto" w:fill="FFFFFF"/>
            <w:vAlign w:val="center"/>
          </w:tcPr>
          <w:p w:rsidR="00BF1957" w:rsidRDefault="00034B12">
            <w:r>
              <w:rPr>
                <w:b/>
                <w:color w:val="000000"/>
              </w:rPr>
              <w:t>Translation</w:t>
            </w:r>
          </w:p>
        </w:tc>
      </w:tr>
      <w:tr w:rsidR="00BF1957">
        <w:trPr>
          <w:jc w:val="center"/>
        </w:trPr>
        <w:tc>
          <w:tcPr>
            <w:tcW w:w="0" w:type="auto"/>
            <w:shd w:val="clear" w:color="auto" w:fill="FFFFFF"/>
            <w:vAlign w:val="center"/>
          </w:tcPr>
          <w:p w:rsidR="00BF1957" w:rsidRDefault="00034B12">
            <w:r>
              <w:rPr>
                <w:color w:val="000000"/>
              </w:rPr>
              <w:t>SDRG</w:t>
            </w:r>
          </w:p>
        </w:tc>
        <w:tc>
          <w:tcPr>
            <w:tcW w:w="0" w:type="auto"/>
            <w:shd w:val="clear" w:color="auto" w:fill="FFFFFF"/>
            <w:vAlign w:val="center"/>
          </w:tcPr>
          <w:p w:rsidR="00BF1957" w:rsidRDefault="00034B12">
            <w:r>
              <w:rPr>
                <w:color w:val="000000"/>
              </w:rPr>
              <w:t>Study Data Reviewer's Guide</w:t>
            </w:r>
          </w:p>
        </w:tc>
      </w:tr>
      <w:tr w:rsidR="00BF1957">
        <w:trPr>
          <w:jc w:val="center"/>
        </w:trPr>
        <w:tc>
          <w:tcPr>
            <w:tcW w:w="0" w:type="auto"/>
            <w:shd w:val="clear" w:color="auto" w:fill="FFFFFF"/>
            <w:vAlign w:val="center"/>
          </w:tcPr>
          <w:p w:rsidR="00BF1957" w:rsidRDefault="00034B12">
            <w:r>
              <w:rPr>
                <w:color w:val="000000"/>
              </w:rPr>
              <w:t>SEND</w:t>
            </w:r>
          </w:p>
        </w:tc>
        <w:tc>
          <w:tcPr>
            <w:tcW w:w="0" w:type="auto"/>
            <w:shd w:val="clear" w:color="auto" w:fill="FFFFFF"/>
            <w:vAlign w:val="center"/>
          </w:tcPr>
          <w:p w:rsidR="00BF1957" w:rsidRDefault="00034B12">
            <w:r>
              <w:rPr>
                <w:color w:val="000000"/>
              </w:rPr>
              <w:t>Standard for Exchange of Nonclinical Data</w:t>
            </w:r>
          </w:p>
        </w:tc>
      </w:tr>
      <w:tr w:rsidR="00BF1957">
        <w:trPr>
          <w:jc w:val="center"/>
        </w:trPr>
        <w:tc>
          <w:tcPr>
            <w:tcW w:w="0" w:type="auto"/>
            <w:shd w:val="clear" w:color="auto" w:fill="FFFFFF"/>
            <w:vAlign w:val="center"/>
          </w:tcPr>
          <w:p w:rsidR="00BF1957" w:rsidRDefault="00034B12">
            <w:r>
              <w:rPr>
                <w:color w:val="000000"/>
              </w:rPr>
              <w:t>LIMS</w:t>
            </w:r>
          </w:p>
        </w:tc>
        <w:tc>
          <w:tcPr>
            <w:tcW w:w="0" w:type="auto"/>
            <w:shd w:val="clear" w:color="auto" w:fill="FFFFFF"/>
            <w:vAlign w:val="center"/>
          </w:tcPr>
          <w:p w:rsidR="00BF1957" w:rsidRDefault="00034B12">
            <w:r>
              <w:rPr>
                <w:color w:val="000000"/>
              </w:rPr>
              <w:t>Laboratory Information Management System</w:t>
            </w:r>
          </w:p>
        </w:tc>
      </w:tr>
      <w:tr w:rsidR="00BF1957">
        <w:trPr>
          <w:jc w:val="center"/>
        </w:trPr>
        <w:tc>
          <w:tcPr>
            <w:tcW w:w="0" w:type="auto"/>
            <w:shd w:val="clear" w:color="auto" w:fill="FFFFFF"/>
            <w:vAlign w:val="center"/>
          </w:tcPr>
          <w:p w:rsidR="00BF1957" w:rsidRDefault="00034B12">
            <w:r>
              <w:rPr>
                <w:color w:val="000000"/>
              </w:rPr>
              <w:t>CDISC</w:t>
            </w:r>
          </w:p>
        </w:tc>
        <w:tc>
          <w:tcPr>
            <w:tcW w:w="0" w:type="auto"/>
            <w:shd w:val="clear" w:color="auto" w:fill="FFFFFF"/>
            <w:vAlign w:val="center"/>
          </w:tcPr>
          <w:p w:rsidR="00BF1957" w:rsidRDefault="00034B12">
            <w:r>
              <w:rPr>
                <w:color w:val="000000"/>
              </w:rPr>
              <w:t>Clinical Data Interchange Standards Consortium</w:t>
            </w:r>
          </w:p>
        </w:tc>
      </w:tr>
    </w:tbl>
    <w:p w:rsidR="00BF1957" w:rsidRDefault="00034B12">
      <w:r>
        <w:br w:type="page"/>
      </w:r>
    </w:p>
    <w:p w:rsidR="00BF1957" w:rsidRDefault="00034B12">
      <w:pPr>
        <w:pStyle w:val="Heading1"/>
      </w:pPr>
      <w:bookmarkStart w:id="2" w:name="_Toc489619587"/>
      <w:r>
        <w:rPr>
          <w:color w:val="000000"/>
          <w:sz w:val="22"/>
        </w:rPr>
        <w:lastRenderedPageBreak/>
        <w:t xml:space="preserve">1. </w:t>
      </w:r>
      <w:proofErr w:type="spellStart"/>
      <w:proofErr w:type="gramStart"/>
      <w:r>
        <w:rPr>
          <w:color w:val="000000"/>
          <w:sz w:val="22"/>
        </w:rPr>
        <w:t>nSDRG</w:t>
      </w:r>
      <w:proofErr w:type="spellEnd"/>
      <w:proofErr w:type="gramEnd"/>
      <w:r>
        <w:rPr>
          <w:color w:val="000000"/>
          <w:sz w:val="22"/>
        </w:rPr>
        <w:t xml:space="preserve"> Introduction</w:t>
      </w:r>
      <w:bookmarkEnd w:id="2"/>
    </w:p>
    <w:p w:rsidR="00BF1957" w:rsidRDefault="00034B12">
      <w:r>
        <w:rPr>
          <w:color w:val="000000"/>
        </w:rPr>
        <w:t>This document provides context for the SEND tabulation datasets and terminology for Study PC201708, in addition to what is provided in the Data definitions (define.xml) file, to facilitate the FDA reviewer's and Data manager's use of the datasets. It also includes a summary of SEND dataset conformance findings.</w:t>
      </w:r>
    </w:p>
    <w:p w:rsidR="00BF1957" w:rsidRDefault="00034B12">
      <w:pPr>
        <w:pStyle w:val="Heading2"/>
      </w:pPr>
      <w:bookmarkStart w:id="3" w:name="_Toc489619588"/>
      <w:r>
        <w:rPr>
          <w:color w:val="000000"/>
          <w:sz w:val="22"/>
        </w:rPr>
        <w:t>1.1 Study Protocol Title, Number, and Report Version</w:t>
      </w:r>
      <w:bookmarkEnd w:id="3"/>
    </w:p>
    <w:tbl>
      <w:tblPr>
        <w:tblStyle w:val="TableGrid"/>
        <w:tblW w:w="1" w:type="auto"/>
        <w:tblLook w:val="04A0" w:firstRow="1" w:lastRow="0" w:firstColumn="1" w:lastColumn="0" w:noHBand="0" w:noVBand="1"/>
      </w:tblPr>
      <w:tblGrid>
        <w:gridCol w:w="1536"/>
        <w:gridCol w:w="8000"/>
      </w:tblGrid>
      <w:tr w:rsidR="00BF1957">
        <w:tc>
          <w:tcPr>
            <w:tcW w:w="0" w:type="auto"/>
            <w:shd w:val="clear" w:color="auto" w:fill="BEBEBE"/>
            <w:vAlign w:val="center"/>
          </w:tcPr>
          <w:p w:rsidR="00BF1957" w:rsidRDefault="00034B12">
            <w:r>
              <w:rPr>
                <w:b/>
                <w:color w:val="000000"/>
              </w:rPr>
              <w:t>Study Title</w:t>
            </w:r>
          </w:p>
        </w:tc>
        <w:tc>
          <w:tcPr>
            <w:tcW w:w="8000" w:type="dxa"/>
            <w:shd w:val="clear" w:color="auto" w:fill="auto"/>
            <w:vAlign w:val="center"/>
          </w:tcPr>
          <w:p w:rsidR="00BF1957" w:rsidRDefault="00034B12">
            <w:r>
              <w:rPr>
                <w:color w:val="000000"/>
              </w:rPr>
              <w:t>13-Week Repeat Dose Toxicity Study on PCDRUG in Rats</w:t>
            </w:r>
          </w:p>
        </w:tc>
      </w:tr>
      <w:tr w:rsidR="00BF1957">
        <w:tc>
          <w:tcPr>
            <w:tcW w:w="0" w:type="auto"/>
            <w:shd w:val="clear" w:color="auto" w:fill="BEBEBE"/>
            <w:vAlign w:val="center"/>
          </w:tcPr>
          <w:p w:rsidR="00BF1957" w:rsidRDefault="00034B12">
            <w:r>
              <w:rPr>
                <w:b/>
                <w:color w:val="000000"/>
              </w:rPr>
              <w:t>Study Number</w:t>
            </w:r>
          </w:p>
        </w:tc>
        <w:tc>
          <w:tcPr>
            <w:tcW w:w="0" w:type="auto"/>
            <w:shd w:val="clear" w:color="auto" w:fill="auto"/>
            <w:vAlign w:val="center"/>
          </w:tcPr>
          <w:p w:rsidR="00BF1957" w:rsidRDefault="00034B12">
            <w:r>
              <w:rPr>
                <w:color w:val="000000"/>
              </w:rPr>
              <w:t>PC201708</w:t>
            </w:r>
          </w:p>
        </w:tc>
      </w:tr>
      <w:tr w:rsidR="00BF1957">
        <w:tc>
          <w:tcPr>
            <w:tcW w:w="0" w:type="auto"/>
            <w:shd w:val="clear" w:color="auto" w:fill="BEBEBE"/>
            <w:vAlign w:val="center"/>
          </w:tcPr>
          <w:p w:rsidR="00BF1957" w:rsidRDefault="00034B12">
            <w:r>
              <w:rPr>
                <w:b/>
                <w:color w:val="000000"/>
              </w:rPr>
              <w:t>Study Version</w:t>
            </w:r>
          </w:p>
        </w:tc>
        <w:tc>
          <w:tcPr>
            <w:tcW w:w="0" w:type="auto"/>
            <w:shd w:val="clear" w:color="auto" w:fill="auto"/>
            <w:vAlign w:val="center"/>
          </w:tcPr>
          <w:p w:rsidR="00BF1957" w:rsidRDefault="00034B12">
            <w:r>
              <w:rPr>
                <w:color w:val="000000"/>
              </w:rPr>
              <w:t>1.0</w:t>
            </w:r>
          </w:p>
        </w:tc>
      </w:tr>
    </w:tbl>
    <w:p w:rsidR="00BF1957" w:rsidRDefault="00034B12">
      <w:pPr>
        <w:pStyle w:val="Heading2"/>
      </w:pPr>
      <w:bookmarkStart w:id="4" w:name="_Toc489619589"/>
      <w:r>
        <w:rPr>
          <w:color w:val="000000"/>
          <w:sz w:val="22"/>
        </w:rPr>
        <w:t>1.2 Summary of SEND Dataset Creation Process</w:t>
      </w:r>
      <w:bookmarkEnd w:id="4"/>
    </w:p>
    <w:p w:rsidR="00E82AB6" w:rsidRPr="00970A32" w:rsidRDefault="00FC3146" w:rsidP="00E82AB6">
      <w:r>
        <w:rPr>
          <w:color w:val="000000"/>
        </w:rPr>
        <w:t>This is a synthetic dataset created based on published ranges for rat parameters, randomized data from public sources, and artificially adjusted to show signals as listed in Section 6.1.</w:t>
      </w:r>
      <w:r w:rsidR="00E82AB6">
        <w:rPr>
          <w:color w:val="000000"/>
        </w:rPr>
        <w:t xml:space="preserve"> </w:t>
      </w:r>
      <w:r w:rsidR="00E82AB6" w:rsidRPr="00970A32">
        <w:t xml:space="preserve">. </w:t>
      </w:r>
      <w:r w:rsidR="00E82AB6">
        <w:t>D</w:t>
      </w:r>
      <w:r w:rsidR="00E82AB6" w:rsidRPr="00970A32">
        <w:t xml:space="preserve">ata was checked </w:t>
      </w:r>
      <w:r w:rsidR="00E82AB6">
        <w:t>for SEND compliancy</w:t>
      </w:r>
      <w:r w:rsidR="00E82AB6" w:rsidRPr="00970A32">
        <w:t xml:space="preserve">. Data were also validated against the FDA Specific SEND Validation Rules. </w:t>
      </w:r>
    </w:p>
    <w:p w:rsidR="00E82AB6" w:rsidRPr="00970A32" w:rsidRDefault="00E82AB6" w:rsidP="00E82AB6">
      <w:r w:rsidRPr="00970A32">
        <w:t xml:space="preserve">Domains from the </w:t>
      </w:r>
      <w:r>
        <w:t>SEND</w:t>
      </w:r>
      <w:r w:rsidRPr="00970A32">
        <w:t xml:space="preserve"> Submission template were converted to .csv files and uploaded into DSIMS, </w:t>
      </w:r>
      <w:r>
        <w:t>our</w:t>
      </w:r>
      <w:r w:rsidRPr="00970A32">
        <w:t xml:space="preserve"> commercial </w:t>
      </w:r>
      <w:r>
        <w:t xml:space="preserve">software solution that generates </w:t>
      </w:r>
      <w:proofErr w:type="spellStart"/>
      <w:r>
        <w:t>xpt</w:t>
      </w:r>
      <w:proofErr w:type="spellEnd"/>
      <w:r>
        <w:t xml:space="preserve"> files and define xml files</w:t>
      </w:r>
      <w:r w:rsidRPr="00970A32">
        <w:t xml:space="preserve">. The standardized data were reviewed in </w:t>
      </w:r>
      <w:proofErr w:type="spellStart"/>
      <w:r w:rsidRPr="00970A32">
        <w:t>ToxVision</w:t>
      </w:r>
      <w:proofErr w:type="spellEnd"/>
      <w:r w:rsidRPr="00970A32">
        <w:t xml:space="preserve"> to ensure the datasets fit the needs of FDA nonclinical reviewers. </w:t>
      </w:r>
      <w:proofErr w:type="spellStart"/>
      <w:r w:rsidRPr="00970A32">
        <w:t>SEND.xpt</w:t>
      </w:r>
      <w:proofErr w:type="spellEnd"/>
      <w:r w:rsidRPr="00970A32">
        <w:t xml:space="preserve"> files were generated using an output function within DSIMS.</w:t>
      </w:r>
    </w:p>
    <w:p w:rsidR="00BF1957" w:rsidRDefault="00BF1957"/>
    <w:p w:rsidR="00BF1957" w:rsidRDefault="00034B12">
      <w:pPr>
        <w:pStyle w:val="Heading2"/>
      </w:pPr>
      <w:bookmarkStart w:id="5" w:name="_Toc489619590"/>
      <w:r>
        <w:rPr>
          <w:color w:val="000000"/>
          <w:sz w:val="22"/>
        </w:rPr>
        <w:t>1.3 SEND Dataset Verification</w:t>
      </w:r>
      <w:bookmarkEnd w:id="5"/>
    </w:p>
    <w:p w:rsidR="00BF1957" w:rsidRPr="00FC3146" w:rsidRDefault="00034B12" w:rsidP="005914B8">
      <w:pPr>
        <w:spacing w:after="0"/>
      </w:pPr>
      <w:r w:rsidRPr="00FC3146">
        <w:t xml:space="preserve">Data in the SEND datasets are an accurate representation </w:t>
      </w:r>
      <w:r w:rsidR="00FC3146">
        <w:t>of the data for Study No. PC201708</w:t>
      </w:r>
      <w:r w:rsidRPr="00FC3146">
        <w:t>. Any differences between the data sets and the repo</w:t>
      </w:r>
      <w:r w:rsidR="00FC3146">
        <w:t>rt are described in section 6.2</w:t>
      </w:r>
      <w:r w:rsidRPr="00FC3146">
        <w:t>.  Verification procedures and documentation supporting this are available upon request.</w:t>
      </w:r>
    </w:p>
    <w:p w:rsidR="00BF1957" w:rsidRDefault="00034B12" w:rsidP="005914B8">
      <w:pPr>
        <w:pStyle w:val="Heading1"/>
        <w:spacing w:after="0"/>
      </w:pPr>
      <w:bookmarkStart w:id="6" w:name="_Toc489619591"/>
      <w:r>
        <w:rPr>
          <w:color w:val="000000"/>
          <w:sz w:val="22"/>
        </w:rPr>
        <w:t>2. Study Design</w:t>
      </w:r>
      <w:bookmarkEnd w:id="6"/>
    </w:p>
    <w:p w:rsidR="00BF1957" w:rsidRDefault="00034B12">
      <w:pPr>
        <w:pStyle w:val="Heading2"/>
      </w:pPr>
      <w:bookmarkStart w:id="7" w:name="_Toc489619592"/>
      <w:r>
        <w:rPr>
          <w:color w:val="000000"/>
          <w:sz w:val="22"/>
        </w:rPr>
        <w:t>2.1 Study Design Summary</w:t>
      </w:r>
      <w:bookmarkEnd w:id="7"/>
    </w:p>
    <w:p w:rsidR="00BF1957" w:rsidRDefault="005914B8">
      <w:r>
        <w:t>In study PC201708</w:t>
      </w:r>
      <w:r w:rsidR="00034B12" w:rsidRPr="005914B8">
        <w:t xml:space="preserve">, </w:t>
      </w:r>
      <w:r>
        <w:t xml:space="preserve">PCDRUG </w:t>
      </w:r>
      <w:r w:rsidR="00034B12" w:rsidRPr="005914B8">
        <w:t xml:space="preserve">was given to male and female rats by </w:t>
      </w:r>
      <w:r>
        <w:t>oral gavage at doses of 0 (vehicle), 2, 20, and 20</w:t>
      </w:r>
      <w:r w:rsidR="00034B12" w:rsidRPr="005914B8">
        <w:t xml:space="preserve">0 mg/kg/day for </w:t>
      </w:r>
      <w:r>
        <w:t>13 weeks followed by a two</w:t>
      </w:r>
      <w:r w:rsidR="00034B12" w:rsidRPr="005914B8">
        <w:t xml:space="preserve"> week recovery period for all groups .Control group consisted of 15 subjects per sex and </w:t>
      </w:r>
      <w:r>
        <w:t>Treatment groups consisted of 15 subjects per sex. Following 13</w:t>
      </w:r>
      <w:r w:rsidR="00034B12" w:rsidRPr="005914B8">
        <w:t xml:space="preserve"> weeks of treatment, all but 5 subjects per sex were euthanized. The remaining subj</w:t>
      </w:r>
      <w:r>
        <w:t>ects continued onto a 2</w:t>
      </w:r>
      <w:r w:rsidR="00034B12" w:rsidRPr="005914B8">
        <w:t xml:space="preserve"> week treatment-free recovery period, and were euthanized.</w:t>
      </w:r>
    </w:p>
    <w:p w:rsidR="00A42B6B" w:rsidRDefault="00A42B6B"/>
    <w:p w:rsidR="00A42B6B" w:rsidRDefault="00A42B6B"/>
    <w:p w:rsidR="00A42B6B" w:rsidRPr="005914B8" w:rsidRDefault="00A42B6B"/>
    <w:tbl>
      <w:tblPr>
        <w:tblStyle w:val="TableGrid"/>
        <w:tblW w:w="1" w:type="auto"/>
        <w:tblLook w:val="04A0" w:firstRow="1" w:lastRow="0" w:firstColumn="1" w:lastColumn="0" w:noHBand="0" w:noVBand="1"/>
      </w:tblPr>
      <w:tblGrid>
        <w:gridCol w:w="930"/>
        <w:gridCol w:w="1163"/>
        <w:gridCol w:w="1147"/>
        <w:gridCol w:w="1958"/>
        <w:gridCol w:w="1371"/>
        <w:gridCol w:w="707"/>
        <w:gridCol w:w="707"/>
        <w:gridCol w:w="465"/>
        <w:gridCol w:w="575"/>
        <w:gridCol w:w="328"/>
        <w:gridCol w:w="405"/>
      </w:tblGrid>
      <w:tr w:rsidR="00BF1957">
        <w:tc>
          <w:tcPr>
            <w:tcW w:w="9000" w:type="auto"/>
            <w:vMerge w:val="restart"/>
            <w:shd w:val="clear" w:color="auto" w:fill="BEBEBE"/>
            <w:vAlign w:val="center"/>
          </w:tcPr>
          <w:p w:rsidR="00BF1957" w:rsidRDefault="00034B12">
            <w:pPr>
              <w:jc w:val="center"/>
            </w:pPr>
            <w:r>
              <w:rPr>
                <w:color w:val="000000"/>
              </w:rPr>
              <w:lastRenderedPageBreak/>
              <w:t>Group</w:t>
            </w:r>
          </w:p>
        </w:tc>
        <w:tc>
          <w:tcPr>
            <w:tcW w:w="9000" w:type="auto"/>
            <w:vMerge w:val="restart"/>
            <w:shd w:val="clear" w:color="auto" w:fill="BEBEBE"/>
            <w:vAlign w:val="center"/>
          </w:tcPr>
          <w:p w:rsidR="00BF1957" w:rsidRDefault="00034B12">
            <w:pPr>
              <w:jc w:val="center"/>
            </w:pPr>
            <w:r>
              <w:rPr>
                <w:color w:val="000000"/>
              </w:rPr>
              <w:t>Treatment</w:t>
            </w:r>
          </w:p>
        </w:tc>
        <w:tc>
          <w:tcPr>
            <w:tcW w:w="9000" w:type="auto"/>
            <w:vMerge w:val="restart"/>
            <w:shd w:val="clear" w:color="auto" w:fill="BEBEBE"/>
            <w:vAlign w:val="center"/>
          </w:tcPr>
          <w:p w:rsidR="00BF1957" w:rsidRDefault="00034B12">
            <w:pPr>
              <w:jc w:val="center"/>
            </w:pPr>
            <w:r>
              <w:rPr>
                <w:color w:val="000000"/>
              </w:rPr>
              <w:t>Dose Level</w:t>
            </w:r>
          </w:p>
        </w:tc>
        <w:tc>
          <w:tcPr>
            <w:tcW w:w="9000" w:type="auto"/>
            <w:vMerge w:val="restart"/>
            <w:shd w:val="clear" w:color="auto" w:fill="BEBEBE"/>
            <w:vAlign w:val="center"/>
          </w:tcPr>
          <w:p w:rsidR="00BF1957" w:rsidRDefault="00034B12">
            <w:pPr>
              <w:jc w:val="center"/>
            </w:pPr>
            <w:r>
              <w:rPr>
                <w:color w:val="000000"/>
              </w:rPr>
              <w:t>Dose Concentration</w:t>
            </w:r>
          </w:p>
        </w:tc>
        <w:tc>
          <w:tcPr>
            <w:tcW w:w="9000" w:type="auto"/>
            <w:vMerge w:val="restart"/>
            <w:shd w:val="clear" w:color="auto" w:fill="BEBEBE"/>
            <w:vAlign w:val="center"/>
          </w:tcPr>
          <w:p w:rsidR="00BF1957" w:rsidRDefault="00034B12">
            <w:pPr>
              <w:jc w:val="center"/>
            </w:pPr>
            <w:r>
              <w:rPr>
                <w:color w:val="000000"/>
              </w:rPr>
              <w:t>Dose Volume</w:t>
            </w:r>
          </w:p>
        </w:tc>
        <w:tc>
          <w:tcPr>
            <w:tcW w:w="0" w:type="auto"/>
            <w:gridSpan w:val="6"/>
            <w:shd w:val="clear" w:color="auto" w:fill="BEBEBE"/>
            <w:vAlign w:val="center"/>
          </w:tcPr>
          <w:p w:rsidR="00BF1957" w:rsidRDefault="00034B12">
            <w:pPr>
              <w:jc w:val="center"/>
            </w:pPr>
            <w:r>
              <w:rPr>
                <w:color w:val="000000"/>
              </w:rPr>
              <w:t>Number of Animals</w:t>
            </w:r>
          </w:p>
        </w:tc>
      </w:tr>
      <w:tr w:rsidR="00BF1957">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0" w:type="auto"/>
            <w:gridSpan w:val="4"/>
            <w:shd w:val="clear" w:color="auto" w:fill="BEBEBE"/>
            <w:vAlign w:val="center"/>
          </w:tcPr>
          <w:p w:rsidR="00BF1957" w:rsidRDefault="00034B12">
            <w:pPr>
              <w:jc w:val="center"/>
            </w:pPr>
            <w:r>
              <w:rPr>
                <w:color w:val="000000"/>
              </w:rPr>
              <w:t>Main</w:t>
            </w:r>
          </w:p>
        </w:tc>
        <w:tc>
          <w:tcPr>
            <w:tcW w:w="0" w:type="auto"/>
            <w:gridSpan w:val="2"/>
            <w:shd w:val="clear" w:color="auto" w:fill="BEBEBE"/>
            <w:vAlign w:val="center"/>
          </w:tcPr>
          <w:p w:rsidR="00BF1957" w:rsidRDefault="00034B12">
            <w:pPr>
              <w:jc w:val="center"/>
            </w:pPr>
            <w:r>
              <w:rPr>
                <w:color w:val="000000"/>
              </w:rPr>
              <w:t>TK</w:t>
            </w:r>
          </w:p>
        </w:tc>
      </w:tr>
      <w:tr w:rsidR="00BF1957">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0" w:type="auto"/>
            <w:gridSpan w:val="2"/>
            <w:shd w:val="clear" w:color="auto" w:fill="BEBEBE"/>
            <w:vAlign w:val="center"/>
          </w:tcPr>
          <w:p w:rsidR="00BF1957" w:rsidRDefault="00034B12">
            <w:pPr>
              <w:jc w:val="center"/>
            </w:pPr>
            <w:proofErr w:type="spellStart"/>
            <w:r>
              <w:rPr>
                <w:color w:val="000000"/>
              </w:rPr>
              <w:t>NonRecovery</w:t>
            </w:r>
            <w:proofErr w:type="spellEnd"/>
          </w:p>
        </w:tc>
        <w:tc>
          <w:tcPr>
            <w:tcW w:w="0" w:type="auto"/>
            <w:gridSpan w:val="2"/>
            <w:shd w:val="clear" w:color="auto" w:fill="BEBEBE"/>
            <w:vAlign w:val="center"/>
          </w:tcPr>
          <w:p w:rsidR="00BF1957" w:rsidRDefault="00034B12">
            <w:pPr>
              <w:jc w:val="center"/>
            </w:pPr>
            <w:r>
              <w:rPr>
                <w:color w:val="000000"/>
              </w:rPr>
              <w:t>Recovery</w:t>
            </w:r>
          </w:p>
        </w:tc>
        <w:tc>
          <w:tcPr>
            <w:tcW w:w="0" w:type="auto"/>
            <w:gridSpan w:val="2"/>
            <w:shd w:val="clear" w:color="auto" w:fill="BEBEBE"/>
            <w:vAlign w:val="center"/>
          </w:tcPr>
          <w:p w:rsidR="00BF1957" w:rsidRDefault="00BF1957">
            <w:pPr>
              <w:jc w:val="center"/>
            </w:pPr>
          </w:p>
        </w:tc>
      </w:tr>
      <w:tr w:rsidR="00BF1957">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9000" w:type="auto"/>
            <w:vMerge/>
            <w:shd w:val="clear" w:color="auto" w:fill="BEBEBE"/>
            <w:vAlign w:val="center"/>
          </w:tcPr>
          <w:p w:rsidR="00BF1957" w:rsidRDefault="00BF1957">
            <w:pPr>
              <w:jc w:val="center"/>
            </w:pPr>
          </w:p>
        </w:tc>
        <w:tc>
          <w:tcPr>
            <w:tcW w:w="0" w:type="auto"/>
            <w:shd w:val="clear" w:color="auto" w:fill="BEBEBE"/>
            <w:vAlign w:val="center"/>
          </w:tcPr>
          <w:p w:rsidR="00BF1957" w:rsidRDefault="00034B12">
            <w:pPr>
              <w:jc w:val="center"/>
            </w:pPr>
            <w:r>
              <w:rPr>
                <w:color w:val="000000"/>
              </w:rPr>
              <w:t>F</w:t>
            </w:r>
          </w:p>
        </w:tc>
        <w:tc>
          <w:tcPr>
            <w:tcW w:w="0" w:type="auto"/>
            <w:shd w:val="clear" w:color="auto" w:fill="BEBEBE"/>
            <w:vAlign w:val="center"/>
          </w:tcPr>
          <w:p w:rsidR="00BF1957" w:rsidRDefault="00034B12">
            <w:pPr>
              <w:jc w:val="center"/>
            </w:pPr>
            <w:r>
              <w:rPr>
                <w:color w:val="000000"/>
              </w:rPr>
              <w:t>M</w:t>
            </w:r>
          </w:p>
        </w:tc>
        <w:tc>
          <w:tcPr>
            <w:tcW w:w="0" w:type="auto"/>
            <w:shd w:val="clear" w:color="auto" w:fill="BEBEBE"/>
            <w:vAlign w:val="center"/>
          </w:tcPr>
          <w:p w:rsidR="00BF1957" w:rsidRDefault="00034B12">
            <w:pPr>
              <w:jc w:val="center"/>
            </w:pPr>
            <w:r>
              <w:rPr>
                <w:color w:val="000000"/>
              </w:rPr>
              <w:t>F</w:t>
            </w:r>
          </w:p>
        </w:tc>
        <w:tc>
          <w:tcPr>
            <w:tcW w:w="0" w:type="auto"/>
            <w:shd w:val="clear" w:color="auto" w:fill="BEBEBE"/>
            <w:vAlign w:val="center"/>
          </w:tcPr>
          <w:p w:rsidR="00BF1957" w:rsidRDefault="00034B12">
            <w:pPr>
              <w:jc w:val="center"/>
            </w:pPr>
            <w:r>
              <w:rPr>
                <w:color w:val="000000"/>
              </w:rPr>
              <w:t>M</w:t>
            </w:r>
          </w:p>
        </w:tc>
        <w:tc>
          <w:tcPr>
            <w:tcW w:w="0" w:type="auto"/>
            <w:shd w:val="clear" w:color="auto" w:fill="BEBEBE"/>
            <w:vAlign w:val="center"/>
          </w:tcPr>
          <w:p w:rsidR="00BF1957" w:rsidRDefault="00034B12">
            <w:pPr>
              <w:jc w:val="center"/>
            </w:pPr>
            <w:r>
              <w:rPr>
                <w:color w:val="000000"/>
              </w:rPr>
              <w:t>F</w:t>
            </w:r>
          </w:p>
        </w:tc>
        <w:tc>
          <w:tcPr>
            <w:tcW w:w="0" w:type="auto"/>
            <w:shd w:val="clear" w:color="auto" w:fill="BEBEBE"/>
            <w:vAlign w:val="center"/>
          </w:tcPr>
          <w:p w:rsidR="00BF1957" w:rsidRDefault="00034B12">
            <w:pPr>
              <w:jc w:val="center"/>
            </w:pPr>
            <w:r>
              <w:rPr>
                <w:color w:val="000000"/>
              </w:rPr>
              <w:t>M</w:t>
            </w:r>
          </w:p>
        </w:tc>
      </w:tr>
      <w:tr w:rsidR="00BF1957">
        <w:tc>
          <w:tcPr>
            <w:tcW w:w="0" w:type="auto"/>
            <w:shd w:val="clear" w:color="auto" w:fill="FFFFFF"/>
            <w:vAlign w:val="center"/>
          </w:tcPr>
          <w:p w:rsidR="00BF1957" w:rsidRDefault="00034B12">
            <w:pPr>
              <w:jc w:val="center"/>
            </w:pPr>
            <w:r>
              <w:rPr>
                <w:color w:val="000000"/>
              </w:rPr>
              <w:t>Group 1</w:t>
            </w:r>
          </w:p>
        </w:tc>
        <w:tc>
          <w:tcPr>
            <w:tcW w:w="0" w:type="auto"/>
            <w:shd w:val="clear" w:color="auto" w:fill="FFFFFF"/>
            <w:vAlign w:val="center"/>
          </w:tcPr>
          <w:p w:rsidR="00BF1957" w:rsidRDefault="00034B12">
            <w:pPr>
              <w:jc w:val="center"/>
            </w:pPr>
            <w:r>
              <w:rPr>
                <w:color w:val="000000"/>
              </w:rPr>
              <w:t>Vehicle</w:t>
            </w:r>
          </w:p>
        </w:tc>
        <w:tc>
          <w:tcPr>
            <w:tcW w:w="0" w:type="auto"/>
            <w:shd w:val="clear" w:color="auto" w:fill="FFFFFF"/>
            <w:vAlign w:val="center"/>
          </w:tcPr>
          <w:p w:rsidR="00BF1957" w:rsidRDefault="00034B12">
            <w:pPr>
              <w:jc w:val="center"/>
            </w:pPr>
            <w:r>
              <w:rPr>
                <w:color w:val="000000"/>
              </w:rPr>
              <w:t>0 mg/kg</w:t>
            </w:r>
          </w:p>
        </w:tc>
        <w:tc>
          <w:tcPr>
            <w:tcW w:w="0" w:type="auto"/>
            <w:shd w:val="clear" w:color="auto" w:fill="FFFFFF"/>
            <w:vAlign w:val="center"/>
          </w:tcPr>
          <w:p w:rsidR="00BF1957" w:rsidRDefault="00034B12">
            <w:pPr>
              <w:jc w:val="center"/>
            </w:pPr>
            <w:r>
              <w:rPr>
                <w:color w:val="000000"/>
              </w:rPr>
              <w:t>0mg/kg</w:t>
            </w:r>
          </w:p>
        </w:tc>
        <w:tc>
          <w:tcPr>
            <w:tcW w:w="0" w:type="auto"/>
            <w:shd w:val="clear" w:color="auto" w:fill="FFFFFF"/>
            <w:vAlign w:val="center"/>
          </w:tcPr>
          <w:p w:rsidR="00BF1957" w:rsidRDefault="00BF1957">
            <w:pPr>
              <w:jc w:val="center"/>
            </w:pP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0</w:t>
            </w:r>
          </w:p>
        </w:tc>
        <w:tc>
          <w:tcPr>
            <w:tcW w:w="0" w:type="auto"/>
            <w:shd w:val="clear" w:color="auto" w:fill="FFFFFF"/>
            <w:vAlign w:val="center"/>
          </w:tcPr>
          <w:p w:rsidR="00BF1957" w:rsidRDefault="00034B12">
            <w:pPr>
              <w:jc w:val="center"/>
            </w:pPr>
            <w:r>
              <w:rPr>
                <w:color w:val="000000"/>
              </w:rPr>
              <w:t>0</w:t>
            </w:r>
          </w:p>
        </w:tc>
      </w:tr>
      <w:tr w:rsidR="00BF1957">
        <w:tc>
          <w:tcPr>
            <w:tcW w:w="0" w:type="auto"/>
            <w:shd w:val="clear" w:color="auto" w:fill="FFFFFF"/>
            <w:vAlign w:val="center"/>
          </w:tcPr>
          <w:p w:rsidR="00BF1957" w:rsidRDefault="00034B12">
            <w:pPr>
              <w:jc w:val="center"/>
            </w:pPr>
            <w:r>
              <w:rPr>
                <w:color w:val="000000"/>
              </w:rPr>
              <w:t>Group 2</w:t>
            </w:r>
          </w:p>
        </w:tc>
        <w:tc>
          <w:tcPr>
            <w:tcW w:w="0" w:type="auto"/>
            <w:shd w:val="clear" w:color="auto" w:fill="FFFFFF"/>
            <w:vAlign w:val="center"/>
          </w:tcPr>
          <w:p w:rsidR="00BF1957" w:rsidRDefault="00034B12">
            <w:pPr>
              <w:jc w:val="center"/>
            </w:pPr>
            <w:r>
              <w:rPr>
                <w:color w:val="000000"/>
              </w:rPr>
              <w:t>PCDRUG</w:t>
            </w:r>
          </w:p>
        </w:tc>
        <w:tc>
          <w:tcPr>
            <w:tcW w:w="0" w:type="auto"/>
            <w:shd w:val="clear" w:color="auto" w:fill="FFFFFF"/>
            <w:vAlign w:val="center"/>
          </w:tcPr>
          <w:p w:rsidR="00BF1957" w:rsidRDefault="00034B12">
            <w:pPr>
              <w:jc w:val="center"/>
            </w:pPr>
            <w:r>
              <w:rPr>
                <w:color w:val="000000"/>
              </w:rPr>
              <w:t>2 mg/kg</w:t>
            </w:r>
          </w:p>
        </w:tc>
        <w:tc>
          <w:tcPr>
            <w:tcW w:w="0" w:type="auto"/>
            <w:shd w:val="clear" w:color="auto" w:fill="FFFFFF"/>
            <w:vAlign w:val="center"/>
          </w:tcPr>
          <w:p w:rsidR="00BF1957" w:rsidRDefault="00034B12">
            <w:pPr>
              <w:jc w:val="center"/>
            </w:pPr>
            <w:r>
              <w:rPr>
                <w:color w:val="000000"/>
              </w:rPr>
              <w:t>2mg/kg</w:t>
            </w:r>
          </w:p>
        </w:tc>
        <w:tc>
          <w:tcPr>
            <w:tcW w:w="0" w:type="auto"/>
            <w:shd w:val="clear" w:color="auto" w:fill="FFFFFF"/>
            <w:vAlign w:val="center"/>
          </w:tcPr>
          <w:p w:rsidR="00BF1957" w:rsidRDefault="00BF1957">
            <w:pPr>
              <w:jc w:val="center"/>
            </w:pP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r>
      <w:tr w:rsidR="00BF1957">
        <w:tc>
          <w:tcPr>
            <w:tcW w:w="0" w:type="auto"/>
            <w:shd w:val="clear" w:color="auto" w:fill="FFFFFF"/>
            <w:vAlign w:val="center"/>
          </w:tcPr>
          <w:p w:rsidR="00BF1957" w:rsidRDefault="00034B12">
            <w:pPr>
              <w:jc w:val="center"/>
            </w:pPr>
            <w:r>
              <w:rPr>
                <w:color w:val="000000"/>
              </w:rPr>
              <w:t>Group 3</w:t>
            </w:r>
          </w:p>
        </w:tc>
        <w:tc>
          <w:tcPr>
            <w:tcW w:w="0" w:type="auto"/>
            <w:shd w:val="clear" w:color="auto" w:fill="FFFFFF"/>
            <w:vAlign w:val="center"/>
          </w:tcPr>
          <w:p w:rsidR="00BF1957" w:rsidRDefault="00034B12">
            <w:pPr>
              <w:jc w:val="center"/>
            </w:pPr>
            <w:r>
              <w:rPr>
                <w:color w:val="000000"/>
              </w:rPr>
              <w:t>PCDRUG</w:t>
            </w:r>
          </w:p>
        </w:tc>
        <w:tc>
          <w:tcPr>
            <w:tcW w:w="0" w:type="auto"/>
            <w:shd w:val="clear" w:color="auto" w:fill="FFFFFF"/>
            <w:vAlign w:val="center"/>
          </w:tcPr>
          <w:p w:rsidR="00BF1957" w:rsidRDefault="00034B12">
            <w:pPr>
              <w:jc w:val="center"/>
            </w:pPr>
            <w:r>
              <w:rPr>
                <w:color w:val="000000"/>
              </w:rPr>
              <w:t>20 mg/kg</w:t>
            </w:r>
          </w:p>
        </w:tc>
        <w:tc>
          <w:tcPr>
            <w:tcW w:w="0" w:type="auto"/>
            <w:shd w:val="clear" w:color="auto" w:fill="FFFFFF"/>
            <w:vAlign w:val="center"/>
          </w:tcPr>
          <w:p w:rsidR="00BF1957" w:rsidRDefault="00034B12">
            <w:pPr>
              <w:jc w:val="center"/>
            </w:pPr>
            <w:r>
              <w:rPr>
                <w:color w:val="000000"/>
              </w:rPr>
              <w:t>20mg/kg</w:t>
            </w:r>
          </w:p>
        </w:tc>
        <w:tc>
          <w:tcPr>
            <w:tcW w:w="0" w:type="auto"/>
            <w:shd w:val="clear" w:color="auto" w:fill="FFFFFF"/>
            <w:vAlign w:val="center"/>
          </w:tcPr>
          <w:p w:rsidR="00BF1957" w:rsidRDefault="00BF1957">
            <w:pPr>
              <w:jc w:val="center"/>
            </w:pP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r>
      <w:tr w:rsidR="00BF1957">
        <w:tc>
          <w:tcPr>
            <w:tcW w:w="0" w:type="auto"/>
            <w:shd w:val="clear" w:color="auto" w:fill="FFFFFF"/>
            <w:vAlign w:val="center"/>
          </w:tcPr>
          <w:p w:rsidR="00BF1957" w:rsidRDefault="00034B12">
            <w:pPr>
              <w:jc w:val="center"/>
            </w:pPr>
            <w:r>
              <w:rPr>
                <w:color w:val="000000"/>
              </w:rPr>
              <w:t>Group 4</w:t>
            </w:r>
          </w:p>
        </w:tc>
        <w:tc>
          <w:tcPr>
            <w:tcW w:w="0" w:type="auto"/>
            <w:shd w:val="clear" w:color="auto" w:fill="FFFFFF"/>
            <w:vAlign w:val="center"/>
          </w:tcPr>
          <w:p w:rsidR="00BF1957" w:rsidRDefault="00034B12">
            <w:pPr>
              <w:jc w:val="center"/>
            </w:pPr>
            <w:r>
              <w:rPr>
                <w:color w:val="000000"/>
              </w:rPr>
              <w:t>PCDRUG</w:t>
            </w:r>
          </w:p>
        </w:tc>
        <w:tc>
          <w:tcPr>
            <w:tcW w:w="0" w:type="auto"/>
            <w:shd w:val="clear" w:color="auto" w:fill="FFFFFF"/>
            <w:vAlign w:val="center"/>
          </w:tcPr>
          <w:p w:rsidR="00BF1957" w:rsidRDefault="00034B12">
            <w:pPr>
              <w:jc w:val="center"/>
            </w:pPr>
            <w:r>
              <w:rPr>
                <w:color w:val="000000"/>
              </w:rPr>
              <w:t>200 mg/kg</w:t>
            </w:r>
          </w:p>
        </w:tc>
        <w:tc>
          <w:tcPr>
            <w:tcW w:w="0" w:type="auto"/>
            <w:shd w:val="clear" w:color="auto" w:fill="FFFFFF"/>
            <w:vAlign w:val="center"/>
          </w:tcPr>
          <w:p w:rsidR="00BF1957" w:rsidRDefault="00034B12">
            <w:pPr>
              <w:jc w:val="center"/>
            </w:pPr>
            <w:r>
              <w:rPr>
                <w:color w:val="000000"/>
              </w:rPr>
              <w:t>200mg/kg</w:t>
            </w:r>
          </w:p>
        </w:tc>
        <w:tc>
          <w:tcPr>
            <w:tcW w:w="0" w:type="auto"/>
            <w:shd w:val="clear" w:color="auto" w:fill="FFFFFF"/>
            <w:vAlign w:val="center"/>
          </w:tcPr>
          <w:p w:rsidR="00BF1957" w:rsidRDefault="00BF1957">
            <w:pPr>
              <w:jc w:val="center"/>
            </w:pP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10</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c>
          <w:tcPr>
            <w:tcW w:w="0" w:type="auto"/>
            <w:shd w:val="clear" w:color="auto" w:fill="FFFFFF"/>
            <w:vAlign w:val="center"/>
          </w:tcPr>
          <w:p w:rsidR="00BF1957" w:rsidRDefault="00034B12">
            <w:pPr>
              <w:jc w:val="center"/>
            </w:pPr>
            <w:r>
              <w:rPr>
                <w:color w:val="000000"/>
              </w:rPr>
              <w:t>5</w:t>
            </w:r>
          </w:p>
        </w:tc>
      </w:tr>
    </w:tbl>
    <w:p w:rsidR="00BF1957" w:rsidRDefault="00034B12">
      <w:pPr>
        <w:pStyle w:val="Heading2"/>
      </w:pPr>
      <w:bookmarkStart w:id="8" w:name="_Toc489619593"/>
      <w:r>
        <w:rPr>
          <w:color w:val="000000"/>
          <w:sz w:val="22"/>
        </w:rPr>
        <w:t>2.2 Trial Design Domain Overview</w:t>
      </w:r>
      <w:bookmarkEnd w:id="8"/>
    </w:p>
    <w:tbl>
      <w:tblPr>
        <w:tblW w:w="0" w:type="auto"/>
        <w:tblBorders>
          <w:top w:val="double" w:sz="15" w:space="0" w:color="auto"/>
          <w:left w:val="thick" w:sz="15" w:space="0" w:color="auto"/>
          <w:bottom w:val="double" w:sz="15" w:space="0" w:color="auto"/>
          <w:right w:val="thick" w:sz="15" w:space="0" w:color="auto"/>
          <w:insideH w:val="thick" w:sz="15" w:space="0" w:color="auto"/>
          <w:insideV w:val="thick" w:sz="15" w:space="0" w:color="auto"/>
        </w:tblBorders>
        <w:tblLook w:val="04A0" w:firstRow="1" w:lastRow="0" w:firstColumn="1" w:lastColumn="0" w:noHBand="0" w:noVBand="1"/>
      </w:tblPr>
      <w:tblGrid>
        <w:gridCol w:w="1119"/>
        <w:gridCol w:w="921"/>
        <w:gridCol w:w="1358"/>
        <w:gridCol w:w="1268"/>
        <w:gridCol w:w="1472"/>
        <w:gridCol w:w="1059"/>
        <w:gridCol w:w="792"/>
        <w:gridCol w:w="1767"/>
      </w:tblGrid>
      <w:tr w:rsidR="00BF1957" w:rsidTr="00A42B6B">
        <w:trPr>
          <w:tblHeader/>
        </w:trPr>
        <w:tc>
          <w:tcPr>
            <w:tcW w:w="0" w:type="auto"/>
            <w:shd w:val="clear" w:color="auto" w:fill="FFFFFF"/>
            <w:vAlign w:val="center"/>
          </w:tcPr>
          <w:p w:rsidR="00BF1957" w:rsidRDefault="00034B12">
            <w:pPr>
              <w:spacing w:after="0"/>
              <w:jc w:val="center"/>
            </w:pPr>
            <w:r>
              <w:rPr>
                <w:b/>
                <w:color w:val="000000"/>
              </w:rPr>
              <w:t>Study Group</w:t>
            </w:r>
          </w:p>
        </w:tc>
        <w:tc>
          <w:tcPr>
            <w:tcW w:w="0" w:type="auto"/>
            <w:gridSpan w:val="2"/>
            <w:shd w:val="clear" w:color="auto" w:fill="FFFFFF"/>
            <w:vAlign w:val="center"/>
          </w:tcPr>
          <w:p w:rsidR="00BF1957" w:rsidRDefault="00034B12">
            <w:pPr>
              <w:spacing w:after="0"/>
              <w:jc w:val="center"/>
            </w:pPr>
            <w:r>
              <w:rPr>
                <w:b/>
                <w:color w:val="000000"/>
              </w:rPr>
              <w:t>Trial Arms</w:t>
            </w:r>
          </w:p>
        </w:tc>
        <w:tc>
          <w:tcPr>
            <w:tcW w:w="0" w:type="auto"/>
            <w:gridSpan w:val="3"/>
            <w:shd w:val="clear" w:color="auto" w:fill="FFFFFF"/>
            <w:vAlign w:val="center"/>
          </w:tcPr>
          <w:p w:rsidR="00BF1957" w:rsidRDefault="00034B12">
            <w:pPr>
              <w:spacing w:after="0"/>
              <w:jc w:val="center"/>
            </w:pPr>
            <w:r>
              <w:rPr>
                <w:b/>
                <w:color w:val="000000"/>
              </w:rPr>
              <w:t>Element in each Epoch</w:t>
            </w:r>
          </w:p>
        </w:tc>
        <w:tc>
          <w:tcPr>
            <w:tcW w:w="0" w:type="auto"/>
            <w:gridSpan w:val="2"/>
            <w:shd w:val="clear" w:color="auto" w:fill="FFFFFF"/>
            <w:vAlign w:val="center"/>
          </w:tcPr>
          <w:p w:rsidR="00BF1957" w:rsidRDefault="00034B12">
            <w:pPr>
              <w:spacing w:after="0"/>
              <w:jc w:val="center"/>
            </w:pPr>
            <w:r>
              <w:rPr>
                <w:b/>
                <w:color w:val="000000"/>
              </w:rPr>
              <w:t>Trial Set</w:t>
            </w:r>
          </w:p>
        </w:tc>
      </w:tr>
      <w:tr w:rsidR="00BF1957">
        <w:tc>
          <w:tcPr>
            <w:tcW w:w="0" w:type="auto"/>
            <w:shd w:val="clear" w:color="auto" w:fill="FFFFFF"/>
            <w:vAlign w:val="center"/>
          </w:tcPr>
          <w:p w:rsidR="00BF1957" w:rsidRDefault="00034B12">
            <w:pPr>
              <w:spacing w:after="0"/>
              <w:jc w:val="center"/>
            </w:pPr>
            <w:r>
              <w:rPr>
                <w:b/>
                <w:color w:val="000000"/>
              </w:rPr>
              <w:t>SPGRPCD</w:t>
            </w:r>
          </w:p>
        </w:tc>
        <w:tc>
          <w:tcPr>
            <w:tcW w:w="0" w:type="auto"/>
            <w:shd w:val="clear" w:color="auto" w:fill="FFFFFF"/>
            <w:vAlign w:val="center"/>
          </w:tcPr>
          <w:p w:rsidR="00BF1957" w:rsidRDefault="00034B12">
            <w:pPr>
              <w:spacing w:after="0"/>
              <w:jc w:val="center"/>
            </w:pPr>
            <w:r>
              <w:rPr>
                <w:b/>
                <w:color w:val="000000"/>
              </w:rPr>
              <w:t>ARMCD</w:t>
            </w:r>
          </w:p>
        </w:tc>
        <w:tc>
          <w:tcPr>
            <w:tcW w:w="0" w:type="auto"/>
            <w:shd w:val="clear" w:color="auto" w:fill="FFFFFF"/>
            <w:vAlign w:val="center"/>
          </w:tcPr>
          <w:p w:rsidR="00BF1957" w:rsidRDefault="00034B12">
            <w:pPr>
              <w:spacing w:after="0"/>
              <w:jc w:val="center"/>
            </w:pPr>
            <w:r>
              <w:rPr>
                <w:b/>
                <w:color w:val="000000"/>
              </w:rPr>
              <w:t>ARM</w:t>
            </w:r>
          </w:p>
        </w:tc>
        <w:tc>
          <w:tcPr>
            <w:tcW w:w="0" w:type="auto"/>
            <w:shd w:val="clear" w:color="auto" w:fill="FFFFFF"/>
            <w:vAlign w:val="center"/>
          </w:tcPr>
          <w:p w:rsidR="00BF1957" w:rsidRDefault="00034B12">
            <w:pPr>
              <w:spacing w:after="0"/>
              <w:jc w:val="center"/>
            </w:pPr>
            <w:proofErr w:type="spellStart"/>
            <w:r>
              <w:rPr>
                <w:b/>
                <w:color w:val="000000"/>
              </w:rPr>
              <w:t>Prestudy</w:t>
            </w:r>
            <w:proofErr w:type="spellEnd"/>
          </w:p>
        </w:tc>
        <w:tc>
          <w:tcPr>
            <w:tcW w:w="0" w:type="auto"/>
            <w:shd w:val="clear" w:color="auto" w:fill="FFFFFF"/>
            <w:vAlign w:val="center"/>
          </w:tcPr>
          <w:p w:rsidR="00BF1957" w:rsidRDefault="00034B12">
            <w:pPr>
              <w:spacing w:after="0"/>
              <w:jc w:val="center"/>
            </w:pPr>
            <w:r>
              <w:rPr>
                <w:b/>
                <w:color w:val="000000"/>
              </w:rPr>
              <w:t>Treatment</w:t>
            </w:r>
          </w:p>
        </w:tc>
        <w:tc>
          <w:tcPr>
            <w:tcW w:w="0" w:type="auto"/>
            <w:shd w:val="clear" w:color="auto" w:fill="FFFFFF"/>
            <w:vAlign w:val="center"/>
          </w:tcPr>
          <w:p w:rsidR="00BF1957" w:rsidRDefault="00034B12">
            <w:pPr>
              <w:spacing w:after="0"/>
              <w:jc w:val="center"/>
            </w:pPr>
            <w:r>
              <w:rPr>
                <w:b/>
                <w:color w:val="000000"/>
              </w:rPr>
              <w:t>Recovery</w:t>
            </w:r>
          </w:p>
        </w:tc>
        <w:tc>
          <w:tcPr>
            <w:tcW w:w="0" w:type="auto"/>
            <w:shd w:val="clear" w:color="auto" w:fill="FFFFFF"/>
            <w:vAlign w:val="center"/>
          </w:tcPr>
          <w:p w:rsidR="00BF1957" w:rsidRDefault="00034B12">
            <w:pPr>
              <w:spacing w:after="0"/>
              <w:jc w:val="center"/>
            </w:pPr>
            <w:r>
              <w:rPr>
                <w:b/>
                <w:color w:val="000000"/>
              </w:rPr>
              <w:t>SETCD</w:t>
            </w:r>
          </w:p>
        </w:tc>
        <w:tc>
          <w:tcPr>
            <w:tcW w:w="0" w:type="auto"/>
            <w:shd w:val="clear" w:color="auto" w:fill="FFFFFF"/>
            <w:vAlign w:val="center"/>
          </w:tcPr>
          <w:p w:rsidR="00BF1957" w:rsidRDefault="00034B12">
            <w:pPr>
              <w:spacing w:after="0"/>
              <w:jc w:val="center"/>
            </w:pPr>
            <w:r>
              <w:rPr>
                <w:b/>
                <w:color w:val="000000"/>
              </w:rPr>
              <w:t>SET</w:t>
            </w:r>
          </w:p>
        </w:tc>
      </w:tr>
      <w:tr w:rsidR="00BF1957">
        <w:tc>
          <w:tcPr>
            <w:tcW w:w="9000" w:type="auto"/>
            <w:vMerge w:val="restart"/>
            <w:vAlign w:val="center"/>
          </w:tcPr>
          <w:p w:rsidR="00BF1957" w:rsidRDefault="00034B12">
            <w:pPr>
              <w:spacing w:after="0"/>
            </w:pPr>
            <w:r>
              <w:rPr>
                <w:color w:val="000000"/>
              </w:rPr>
              <w:t>Group 1</w:t>
            </w:r>
          </w:p>
        </w:tc>
        <w:tc>
          <w:tcPr>
            <w:tcW w:w="0" w:type="auto"/>
            <w:shd w:val="clear" w:color="auto" w:fill="FFFFFF"/>
            <w:vAlign w:val="center"/>
          </w:tcPr>
          <w:p w:rsidR="00BF1957" w:rsidRDefault="00034B12">
            <w:pPr>
              <w:spacing w:after="0"/>
              <w:jc w:val="center"/>
            </w:pPr>
            <w:r>
              <w:rPr>
                <w:color w:val="000000"/>
              </w:rPr>
              <w:t>1</w:t>
            </w:r>
          </w:p>
        </w:tc>
        <w:tc>
          <w:tcPr>
            <w:tcW w:w="0" w:type="auto"/>
            <w:shd w:val="clear" w:color="auto" w:fill="FFFFFF"/>
            <w:vAlign w:val="center"/>
          </w:tcPr>
          <w:p w:rsidR="00BF1957" w:rsidRDefault="00034B12">
            <w:pPr>
              <w:spacing w:after="0"/>
              <w:jc w:val="center"/>
            </w:pPr>
            <w:r>
              <w:rPr>
                <w:color w:val="000000"/>
              </w:rPr>
              <w:t>Vehicle Control</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Vehicle Control</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1</w:t>
            </w:r>
          </w:p>
        </w:tc>
        <w:tc>
          <w:tcPr>
            <w:tcW w:w="0" w:type="auto"/>
            <w:shd w:val="clear" w:color="auto" w:fill="FFFFFF"/>
            <w:vAlign w:val="center"/>
          </w:tcPr>
          <w:p w:rsidR="00BF1957" w:rsidRDefault="00034B12">
            <w:pPr>
              <w:spacing w:after="0"/>
              <w:jc w:val="center"/>
            </w:pPr>
            <w:r>
              <w:rPr>
                <w:color w:val="000000"/>
              </w:rPr>
              <w:t xml:space="preserve">Group 1, Control, </w:t>
            </w:r>
            <w:proofErr w:type="spellStart"/>
            <w:r>
              <w:rPr>
                <w:color w:val="000000"/>
              </w:rPr>
              <w:t>nonrecovery</w:t>
            </w:r>
            <w:proofErr w:type="spellEnd"/>
          </w:p>
        </w:tc>
      </w:tr>
      <w:tr w:rsidR="00BF1957">
        <w:tc>
          <w:tcPr>
            <w:tcW w:w="9000" w:type="auto"/>
            <w:vMerge/>
            <w:vAlign w:val="center"/>
          </w:tcPr>
          <w:p w:rsidR="00BF1957" w:rsidRDefault="00034B12">
            <w:pPr>
              <w:spacing w:after="0"/>
            </w:pPr>
            <w:r>
              <w:rPr>
                <w:color w:val="000000"/>
              </w:rPr>
              <w:t>Group 1</w:t>
            </w:r>
          </w:p>
        </w:tc>
        <w:tc>
          <w:tcPr>
            <w:tcW w:w="0" w:type="auto"/>
            <w:shd w:val="clear" w:color="auto" w:fill="FFFFFF"/>
            <w:vAlign w:val="center"/>
          </w:tcPr>
          <w:p w:rsidR="00BF1957" w:rsidRDefault="00034B12">
            <w:pPr>
              <w:spacing w:after="0"/>
              <w:jc w:val="center"/>
            </w:pPr>
            <w:r>
              <w:rPr>
                <w:color w:val="000000"/>
              </w:rPr>
              <w:t>1R</w:t>
            </w:r>
          </w:p>
        </w:tc>
        <w:tc>
          <w:tcPr>
            <w:tcW w:w="0" w:type="auto"/>
            <w:shd w:val="clear" w:color="auto" w:fill="FFFFFF"/>
            <w:vAlign w:val="center"/>
          </w:tcPr>
          <w:p w:rsidR="00BF1957" w:rsidRDefault="00034B12">
            <w:pPr>
              <w:spacing w:after="0"/>
              <w:jc w:val="center"/>
            </w:pPr>
            <w:r>
              <w:rPr>
                <w:color w:val="000000"/>
              </w:rPr>
              <w:t>Vehicle Control with recovery</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Vehicle Control</w:t>
            </w:r>
          </w:p>
        </w:tc>
        <w:tc>
          <w:tcPr>
            <w:tcW w:w="0" w:type="auto"/>
            <w:shd w:val="clear" w:color="auto" w:fill="FFFFFF"/>
            <w:vAlign w:val="center"/>
          </w:tcPr>
          <w:p w:rsidR="00BF1957" w:rsidRDefault="00034B12">
            <w:pPr>
              <w:spacing w:after="0"/>
              <w:jc w:val="center"/>
            </w:pPr>
            <w:r>
              <w:rPr>
                <w:color w:val="000000"/>
              </w:rPr>
              <w:t>Recovery</w:t>
            </w:r>
          </w:p>
        </w:tc>
        <w:tc>
          <w:tcPr>
            <w:tcW w:w="0" w:type="auto"/>
            <w:shd w:val="clear" w:color="auto" w:fill="FFFFFF"/>
            <w:vAlign w:val="center"/>
          </w:tcPr>
          <w:p w:rsidR="00BF1957" w:rsidRDefault="00034B12">
            <w:pPr>
              <w:spacing w:after="0"/>
              <w:jc w:val="center"/>
            </w:pPr>
            <w:r>
              <w:rPr>
                <w:color w:val="000000"/>
              </w:rPr>
              <w:t>1R</w:t>
            </w:r>
          </w:p>
        </w:tc>
        <w:tc>
          <w:tcPr>
            <w:tcW w:w="0" w:type="auto"/>
            <w:shd w:val="clear" w:color="auto" w:fill="FFFFFF"/>
            <w:vAlign w:val="center"/>
          </w:tcPr>
          <w:p w:rsidR="00BF1957" w:rsidRDefault="00034B12">
            <w:pPr>
              <w:spacing w:after="0"/>
              <w:jc w:val="center"/>
            </w:pPr>
            <w:r>
              <w:rPr>
                <w:color w:val="000000"/>
              </w:rPr>
              <w:t>Group 1, Control, recovery</w:t>
            </w:r>
          </w:p>
        </w:tc>
      </w:tr>
      <w:tr w:rsidR="00BF1957">
        <w:tc>
          <w:tcPr>
            <w:tcW w:w="9000" w:type="auto"/>
            <w:vMerge w:val="restart"/>
            <w:vAlign w:val="center"/>
          </w:tcPr>
          <w:p w:rsidR="00BF1957" w:rsidRDefault="00034B12">
            <w:pPr>
              <w:spacing w:after="0"/>
            </w:pPr>
            <w:r>
              <w:rPr>
                <w:color w:val="000000"/>
              </w:rPr>
              <w:t>Group 2</w:t>
            </w:r>
          </w:p>
        </w:tc>
        <w:tc>
          <w:tcPr>
            <w:tcW w:w="0" w:type="auto"/>
            <w:shd w:val="clear" w:color="auto" w:fill="FFFFFF"/>
            <w:vAlign w:val="center"/>
          </w:tcPr>
          <w:p w:rsidR="00BF1957" w:rsidRDefault="00034B12">
            <w:pPr>
              <w:spacing w:after="0"/>
              <w:jc w:val="center"/>
            </w:pPr>
            <w:r>
              <w:rPr>
                <w:color w:val="000000"/>
              </w:rPr>
              <w:t>2</w:t>
            </w:r>
          </w:p>
        </w:tc>
        <w:tc>
          <w:tcPr>
            <w:tcW w:w="0" w:type="auto"/>
            <w:shd w:val="clear" w:color="auto" w:fill="FFFFFF"/>
            <w:vAlign w:val="center"/>
          </w:tcPr>
          <w:p w:rsidR="00BF1957" w:rsidRDefault="00034B12">
            <w:pPr>
              <w:spacing w:after="0"/>
              <w:jc w:val="center"/>
            </w:pPr>
            <w:r>
              <w:rPr>
                <w:color w:val="000000"/>
              </w:rPr>
              <w:t>2 mg/kg PCDRUG</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 mg/kg PCDRUG, once daily</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2</w:t>
            </w:r>
          </w:p>
        </w:tc>
        <w:tc>
          <w:tcPr>
            <w:tcW w:w="0" w:type="auto"/>
            <w:shd w:val="clear" w:color="auto" w:fill="FFFFFF"/>
            <w:vAlign w:val="center"/>
          </w:tcPr>
          <w:p w:rsidR="00BF1957" w:rsidRDefault="00034B12">
            <w:pPr>
              <w:spacing w:after="0"/>
              <w:jc w:val="center"/>
            </w:pPr>
            <w:r>
              <w:rPr>
                <w:color w:val="000000"/>
              </w:rPr>
              <w:t xml:space="preserve">Group 2,2 mg/kg PCDRUG, </w:t>
            </w:r>
            <w:proofErr w:type="spellStart"/>
            <w:r>
              <w:rPr>
                <w:color w:val="000000"/>
              </w:rPr>
              <w:t>nonrecovery</w:t>
            </w:r>
            <w:proofErr w:type="spellEnd"/>
          </w:p>
        </w:tc>
      </w:tr>
      <w:tr w:rsidR="00BF1957">
        <w:tc>
          <w:tcPr>
            <w:tcW w:w="9000" w:type="auto"/>
            <w:vMerge/>
            <w:vAlign w:val="center"/>
          </w:tcPr>
          <w:p w:rsidR="00BF1957" w:rsidRDefault="00034B12">
            <w:pPr>
              <w:spacing w:after="0"/>
            </w:pPr>
            <w:r>
              <w:rPr>
                <w:color w:val="000000"/>
              </w:rPr>
              <w:t>Group 2</w:t>
            </w:r>
          </w:p>
        </w:tc>
        <w:tc>
          <w:tcPr>
            <w:tcW w:w="0" w:type="auto"/>
            <w:shd w:val="clear" w:color="auto" w:fill="FFFFFF"/>
            <w:vAlign w:val="center"/>
          </w:tcPr>
          <w:p w:rsidR="00BF1957" w:rsidRDefault="00034B12">
            <w:pPr>
              <w:spacing w:after="0"/>
              <w:jc w:val="center"/>
            </w:pPr>
            <w:r>
              <w:rPr>
                <w:color w:val="000000"/>
              </w:rPr>
              <w:t>2R</w:t>
            </w:r>
          </w:p>
        </w:tc>
        <w:tc>
          <w:tcPr>
            <w:tcW w:w="0" w:type="auto"/>
            <w:shd w:val="clear" w:color="auto" w:fill="FFFFFF"/>
            <w:vAlign w:val="center"/>
          </w:tcPr>
          <w:p w:rsidR="00BF1957" w:rsidRDefault="00034B12">
            <w:pPr>
              <w:spacing w:after="0"/>
              <w:jc w:val="center"/>
            </w:pPr>
            <w:r>
              <w:rPr>
                <w:color w:val="000000"/>
              </w:rPr>
              <w:t>2 mg/kg PCDRUG with recovery</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 mg/kg PCDRUG, once daily</w:t>
            </w:r>
          </w:p>
        </w:tc>
        <w:tc>
          <w:tcPr>
            <w:tcW w:w="0" w:type="auto"/>
            <w:shd w:val="clear" w:color="auto" w:fill="FFFFFF"/>
            <w:vAlign w:val="center"/>
          </w:tcPr>
          <w:p w:rsidR="00BF1957" w:rsidRDefault="00034B12">
            <w:pPr>
              <w:spacing w:after="0"/>
              <w:jc w:val="center"/>
            </w:pPr>
            <w:r>
              <w:rPr>
                <w:color w:val="000000"/>
              </w:rPr>
              <w:t>Recovery</w:t>
            </w:r>
          </w:p>
        </w:tc>
        <w:tc>
          <w:tcPr>
            <w:tcW w:w="0" w:type="auto"/>
            <w:shd w:val="clear" w:color="auto" w:fill="FFFFFF"/>
            <w:vAlign w:val="center"/>
          </w:tcPr>
          <w:p w:rsidR="00BF1957" w:rsidRDefault="00034B12">
            <w:pPr>
              <w:spacing w:after="0"/>
              <w:jc w:val="center"/>
            </w:pPr>
            <w:r>
              <w:rPr>
                <w:color w:val="000000"/>
              </w:rPr>
              <w:t>2R</w:t>
            </w:r>
          </w:p>
        </w:tc>
        <w:tc>
          <w:tcPr>
            <w:tcW w:w="0" w:type="auto"/>
            <w:shd w:val="clear" w:color="auto" w:fill="FFFFFF"/>
            <w:vAlign w:val="center"/>
          </w:tcPr>
          <w:p w:rsidR="00BF1957" w:rsidRDefault="00034B12">
            <w:pPr>
              <w:spacing w:after="0"/>
              <w:jc w:val="center"/>
            </w:pPr>
            <w:r>
              <w:rPr>
                <w:color w:val="000000"/>
              </w:rPr>
              <w:t>Group 2,2 mg/kg PCDRUG, recovery</w:t>
            </w:r>
          </w:p>
        </w:tc>
      </w:tr>
      <w:tr w:rsidR="00BF1957">
        <w:tc>
          <w:tcPr>
            <w:tcW w:w="9000" w:type="auto"/>
            <w:vMerge/>
            <w:vAlign w:val="center"/>
          </w:tcPr>
          <w:p w:rsidR="00BF1957" w:rsidRDefault="00034B12">
            <w:pPr>
              <w:spacing w:after="0"/>
            </w:pPr>
            <w:r>
              <w:rPr>
                <w:color w:val="000000"/>
              </w:rPr>
              <w:t>Group 2</w:t>
            </w:r>
          </w:p>
        </w:tc>
        <w:tc>
          <w:tcPr>
            <w:tcW w:w="0" w:type="auto"/>
            <w:shd w:val="clear" w:color="auto" w:fill="FFFFFF"/>
            <w:vAlign w:val="center"/>
          </w:tcPr>
          <w:p w:rsidR="00BF1957" w:rsidRDefault="00034B12">
            <w:pPr>
              <w:spacing w:after="0"/>
              <w:jc w:val="center"/>
            </w:pPr>
            <w:r>
              <w:rPr>
                <w:color w:val="000000"/>
              </w:rPr>
              <w:t>2</w:t>
            </w:r>
          </w:p>
        </w:tc>
        <w:tc>
          <w:tcPr>
            <w:tcW w:w="0" w:type="auto"/>
            <w:shd w:val="clear" w:color="auto" w:fill="FFFFFF"/>
            <w:vAlign w:val="center"/>
          </w:tcPr>
          <w:p w:rsidR="00BF1957" w:rsidRDefault="00034B12">
            <w:pPr>
              <w:spacing w:after="0"/>
              <w:jc w:val="center"/>
            </w:pPr>
            <w:r>
              <w:rPr>
                <w:color w:val="000000"/>
              </w:rPr>
              <w:t>2 mg/kg PCDRUG</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 mg/kg PCDRUG, once daily</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2TK</w:t>
            </w:r>
          </w:p>
        </w:tc>
        <w:tc>
          <w:tcPr>
            <w:tcW w:w="0" w:type="auto"/>
            <w:shd w:val="clear" w:color="auto" w:fill="FFFFFF"/>
            <w:vAlign w:val="center"/>
          </w:tcPr>
          <w:p w:rsidR="00BF1957" w:rsidRDefault="00034B12">
            <w:pPr>
              <w:spacing w:after="0"/>
              <w:jc w:val="center"/>
            </w:pPr>
            <w:r>
              <w:rPr>
                <w:color w:val="000000"/>
              </w:rPr>
              <w:t>Group 2,2 mg/kg PCDRUG, TK</w:t>
            </w:r>
          </w:p>
        </w:tc>
      </w:tr>
      <w:tr w:rsidR="00BF1957">
        <w:tc>
          <w:tcPr>
            <w:tcW w:w="9000" w:type="auto"/>
            <w:vMerge w:val="restart"/>
            <w:vAlign w:val="center"/>
          </w:tcPr>
          <w:p w:rsidR="00BF1957" w:rsidRDefault="00034B12">
            <w:pPr>
              <w:spacing w:after="0"/>
            </w:pPr>
            <w:r>
              <w:rPr>
                <w:color w:val="000000"/>
              </w:rPr>
              <w:t>Group 3</w:t>
            </w:r>
          </w:p>
        </w:tc>
        <w:tc>
          <w:tcPr>
            <w:tcW w:w="0" w:type="auto"/>
            <w:shd w:val="clear" w:color="auto" w:fill="FFFFFF"/>
            <w:vAlign w:val="center"/>
          </w:tcPr>
          <w:p w:rsidR="00BF1957" w:rsidRDefault="00034B12">
            <w:pPr>
              <w:spacing w:after="0"/>
              <w:jc w:val="center"/>
            </w:pPr>
            <w:r>
              <w:rPr>
                <w:color w:val="000000"/>
              </w:rPr>
              <w:t>3</w:t>
            </w:r>
          </w:p>
        </w:tc>
        <w:tc>
          <w:tcPr>
            <w:tcW w:w="0" w:type="auto"/>
            <w:shd w:val="clear" w:color="auto" w:fill="FFFFFF"/>
            <w:vAlign w:val="center"/>
          </w:tcPr>
          <w:p w:rsidR="00BF1957" w:rsidRDefault="00034B12">
            <w:pPr>
              <w:spacing w:after="0"/>
              <w:jc w:val="center"/>
            </w:pPr>
            <w:r>
              <w:rPr>
                <w:color w:val="000000"/>
              </w:rPr>
              <w:t>20 mg/kg PCDRUG</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20 mg/kg PCDRUG, once daily</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3</w:t>
            </w:r>
          </w:p>
        </w:tc>
        <w:tc>
          <w:tcPr>
            <w:tcW w:w="0" w:type="auto"/>
            <w:shd w:val="clear" w:color="auto" w:fill="FFFFFF"/>
            <w:vAlign w:val="center"/>
          </w:tcPr>
          <w:p w:rsidR="00BF1957" w:rsidRDefault="00034B12">
            <w:pPr>
              <w:spacing w:after="0"/>
              <w:jc w:val="center"/>
            </w:pPr>
            <w:r>
              <w:rPr>
                <w:color w:val="000000"/>
              </w:rPr>
              <w:t xml:space="preserve">Group 3,20 mg/kg PCDRUG, </w:t>
            </w:r>
            <w:proofErr w:type="spellStart"/>
            <w:r>
              <w:rPr>
                <w:color w:val="000000"/>
              </w:rPr>
              <w:t>nonrecovery</w:t>
            </w:r>
            <w:proofErr w:type="spellEnd"/>
          </w:p>
        </w:tc>
      </w:tr>
      <w:tr w:rsidR="00BF1957">
        <w:tc>
          <w:tcPr>
            <w:tcW w:w="9000" w:type="auto"/>
            <w:vMerge/>
            <w:vAlign w:val="center"/>
          </w:tcPr>
          <w:p w:rsidR="00BF1957" w:rsidRDefault="00034B12">
            <w:pPr>
              <w:spacing w:after="0"/>
            </w:pPr>
            <w:r>
              <w:rPr>
                <w:color w:val="000000"/>
              </w:rPr>
              <w:t>Group 3</w:t>
            </w:r>
          </w:p>
        </w:tc>
        <w:tc>
          <w:tcPr>
            <w:tcW w:w="0" w:type="auto"/>
            <w:shd w:val="clear" w:color="auto" w:fill="FFFFFF"/>
            <w:vAlign w:val="center"/>
          </w:tcPr>
          <w:p w:rsidR="00BF1957" w:rsidRDefault="00034B12">
            <w:pPr>
              <w:spacing w:after="0"/>
              <w:jc w:val="center"/>
            </w:pPr>
            <w:r>
              <w:rPr>
                <w:color w:val="000000"/>
              </w:rPr>
              <w:t>3R</w:t>
            </w:r>
          </w:p>
        </w:tc>
        <w:tc>
          <w:tcPr>
            <w:tcW w:w="0" w:type="auto"/>
            <w:shd w:val="clear" w:color="auto" w:fill="FFFFFF"/>
            <w:vAlign w:val="center"/>
          </w:tcPr>
          <w:p w:rsidR="00BF1957" w:rsidRDefault="00034B12">
            <w:pPr>
              <w:spacing w:after="0"/>
              <w:jc w:val="center"/>
            </w:pPr>
            <w:r>
              <w:rPr>
                <w:color w:val="000000"/>
              </w:rPr>
              <w:t>20 mg/kg PCDRUG with recovery</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20 mg/kg PCDRUG, once daily</w:t>
            </w:r>
          </w:p>
        </w:tc>
        <w:tc>
          <w:tcPr>
            <w:tcW w:w="0" w:type="auto"/>
            <w:shd w:val="clear" w:color="auto" w:fill="FFFFFF"/>
            <w:vAlign w:val="center"/>
          </w:tcPr>
          <w:p w:rsidR="00BF1957" w:rsidRDefault="00034B12">
            <w:pPr>
              <w:spacing w:after="0"/>
              <w:jc w:val="center"/>
            </w:pPr>
            <w:r>
              <w:rPr>
                <w:color w:val="000000"/>
              </w:rPr>
              <w:t>Recovery</w:t>
            </w:r>
          </w:p>
        </w:tc>
        <w:tc>
          <w:tcPr>
            <w:tcW w:w="0" w:type="auto"/>
            <w:shd w:val="clear" w:color="auto" w:fill="FFFFFF"/>
            <w:vAlign w:val="center"/>
          </w:tcPr>
          <w:p w:rsidR="00BF1957" w:rsidRDefault="00034B12">
            <w:pPr>
              <w:spacing w:after="0"/>
              <w:jc w:val="center"/>
            </w:pPr>
            <w:r>
              <w:rPr>
                <w:color w:val="000000"/>
              </w:rPr>
              <w:t>3R</w:t>
            </w:r>
          </w:p>
        </w:tc>
        <w:tc>
          <w:tcPr>
            <w:tcW w:w="0" w:type="auto"/>
            <w:shd w:val="clear" w:color="auto" w:fill="FFFFFF"/>
            <w:vAlign w:val="center"/>
          </w:tcPr>
          <w:p w:rsidR="00BF1957" w:rsidRDefault="00034B12">
            <w:pPr>
              <w:spacing w:after="0"/>
              <w:jc w:val="center"/>
            </w:pPr>
            <w:r>
              <w:rPr>
                <w:color w:val="000000"/>
              </w:rPr>
              <w:t>Group 3,20 mg/kg PCDRUG, recovery</w:t>
            </w:r>
          </w:p>
        </w:tc>
      </w:tr>
      <w:tr w:rsidR="00BF1957">
        <w:tc>
          <w:tcPr>
            <w:tcW w:w="9000" w:type="auto"/>
            <w:vMerge/>
            <w:vAlign w:val="center"/>
          </w:tcPr>
          <w:p w:rsidR="00BF1957" w:rsidRDefault="00034B12">
            <w:pPr>
              <w:spacing w:after="0"/>
            </w:pPr>
            <w:r>
              <w:rPr>
                <w:color w:val="000000"/>
              </w:rPr>
              <w:t>Group 3</w:t>
            </w:r>
          </w:p>
        </w:tc>
        <w:tc>
          <w:tcPr>
            <w:tcW w:w="0" w:type="auto"/>
            <w:shd w:val="clear" w:color="auto" w:fill="FFFFFF"/>
            <w:vAlign w:val="center"/>
          </w:tcPr>
          <w:p w:rsidR="00BF1957" w:rsidRDefault="00034B12">
            <w:pPr>
              <w:spacing w:after="0"/>
              <w:jc w:val="center"/>
            </w:pPr>
            <w:r>
              <w:rPr>
                <w:color w:val="000000"/>
              </w:rPr>
              <w:t>3</w:t>
            </w:r>
          </w:p>
        </w:tc>
        <w:tc>
          <w:tcPr>
            <w:tcW w:w="0" w:type="auto"/>
            <w:shd w:val="clear" w:color="auto" w:fill="FFFFFF"/>
            <w:vAlign w:val="center"/>
          </w:tcPr>
          <w:p w:rsidR="00BF1957" w:rsidRDefault="00034B12">
            <w:pPr>
              <w:spacing w:after="0"/>
              <w:jc w:val="center"/>
            </w:pPr>
            <w:r>
              <w:rPr>
                <w:color w:val="000000"/>
              </w:rPr>
              <w:t>20 mg/kg PCDRUG</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 xml:space="preserve">20 mg/kg PCDRUG, </w:t>
            </w:r>
            <w:r>
              <w:rPr>
                <w:color w:val="000000"/>
              </w:rPr>
              <w:lastRenderedPageBreak/>
              <w:t>once daily</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3TK</w:t>
            </w:r>
          </w:p>
        </w:tc>
        <w:tc>
          <w:tcPr>
            <w:tcW w:w="0" w:type="auto"/>
            <w:shd w:val="clear" w:color="auto" w:fill="FFFFFF"/>
            <w:vAlign w:val="center"/>
          </w:tcPr>
          <w:p w:rsidR="00BF1957" w:rsidRDefault="00034B12">
            <w:pPr>
              <w:spacing w:after="0"/>
              <w:jc w:val="center"/>
            </w:pPr>
            <w:r>
              <w:rPr>
                <w:color w:val="000000"/>
              </w:rPr>
              <w:t xml:space="preserve">Group 3,20 mg/kg PCDRUG, </w:t>
            </w:r>
            <w:r>
              <w:rPr>
                <w:color w:val="000000"/>
              </w:rPr>
              <w:lastRenderedPageBreak/>
              <w:t>TK</w:t>
            </w:r>
          </w:p>
        </w:tc>
      </w:tr>
      <w:tr w:rsidR="00BF1957">
        <w:tc>
          <w:tcPr>
            <w:tcW w:w="9000" w:type="auto"/>
            <w:vMerge w:val="restart"/>
            <w:vAlign w:val="center"/>
          </w:tcPr>
          <w:p w:rsidR="00BF1957" w:rsidRDefault="00034B12">
            <w:pPr>
              <w:spacing w:after="0"/>
            </w:pPr>
            <w:r>
              <w:rPr>
                <w:color w:val="000000"/>
              </w:rPr>
              <w:lastRenderedPageBreak/>
              <w:t>Group 4</w:t>
            </w:r>
          </w:p>
        </w:tc>
        <w:tc>
          <w:tcPr>
            <w:tcW w:w="0" w:type="auto"/>
            <w:shd w:val="clear" w:color="auto" w:fill="FFFFFF"/>
            <w:vAlign w:val="center"/>
          </w:tcPr>
          <w:p w:rsidR="00BF1957" w:rsidRDefault="00034B12">
            <w:pPr>
              <w:spacing w:after="0"/>
              <w:jc w:val="center"/>
            </w:pPr>
            <w:r>
              <w:rPr>
                <w:color w:val="000000"/>
              </w:rPr>
              <w:t>4</w:t>
            </w:r>
          </w:p>
        </w:tc>
        <w:tc>
          <w:tcPr>
            <w:tcW w:w="0" w:type="auto"/>
            <w:shd w:val="clear" w:color="auto" w:fill="FFFFFF"/>
            <w:vAlign w:val="center"/>
          </w:tcPr>
          <w:p w:rsidR="00BF1957" w:rsidRDefault="00034B12">
            <w:pPr>
              <w:spacing w:after="0"/>
              <w:jc w:val="center"/>
            </w:pPr>
            <w:r>
              <w:rPr>
                <w:color w:val="000000"/>
              </w:rPr>
              <w:t>200 mg/kg PCDRUG</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200 mg/kg PCDRUG, once daily</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4</w:t>
            </w:r>
          </w:p>
        </w:tc>
        <w:tc>
          <w:tcPr>
            <w:tcW w:w="0" w:type="auto"/>
            <w:shd w:val="clear" w:color="auto" w:fill="FFFFFF"/>
            <w:vAlign w:val="center"/>
          </w:tcPr>
          <w:p w:rsidR="00BF1957" w:rsidRDefault="00034B12">
            <w:pPr>
              <w:spacing w:after="0"/>
              <w:jc w:val="center"/>
            </w:pPr>
            <w:r>
              <w:rPr>
                <w:color w:val="000000"/>
              </w:rPr>
              <w:t xml:space="preserve">Group 4,200 mg/kg PCDRUG, </w:t>
            </w:r>
            <w:proofErr w:type="spellStart"/>
            <w:r>
              <w:rPr>
                <w:color w:val="000000"/>
              </w:rPr>
              <w:t>nonrecovery</w:t>
            </w:r>
            <w:proofErr w:type="spellEnd"/>
          </w:p>
        </w:tc>
      </w:tr>
      <w:tr w:rsidR="00BF1957">
        <w:tc>
          <w:tcPr>
            <w:tcW w:w="9000" w:type="auto"/>
            <w:vMerge/>
            <w:vAlign w:val="center"/>
          </w:tcPr>
          <w:p w:rsidR="00BF1957" w:rsidRDefault="00034B12">
            <w:pPr>
              <w:spacing w:after="0"/>
            </w:pPr>
            <w:r>
              <w:rPr>
                <w:color w:val="000000"/>
              </w:rPr>
              <w:t>Group 4</w:t>
            </w:r>
          </w:p>
        </w:tc>
        <w:tc>
          <w:tcPr>
            <w:tcW w:w="0" w:type="auto"/>
            <w:shd w:val="clear" w:color="auto" w:fill="FFFFFF"/>
            <w:vAlign w:val="center"/>
          </w:tcPr>
          <w:p w:rsidR="00BF1957" w:rsidRDefault="00034B12">
            <w:pPr>
              <w:spacing w:after="0"/>
              <w:jc w:val="center"/>
            </w:pPr>
            <w:r>
              <w:rPr>
                <w:color w:val="000000"/>
              </w:rPr>
              <w:t>4R</w:t>
            </w:r>
          </w:p>
        </w:tc>
        <w:tc>
          <w:tcPr>
            <w:tcW w:w="0" w:type="auto"/>
            <w:shd w:val="clear" w:color="auto" w:fill="FFFFFF"/>
            <w:vAlign w:val="center"/>
          </w:tcPr>
          <w:p w:rsidR="00BF1957" w:rsidRDefault="00034B12">
            <w:pPr>
              <w:spacing w:after="0"/>
              <w:jc w:val="center"/>
            </w:pPr>
            <w:r>
              <w:rPr>
                <w:color w:val="000000"/>
              </w:rPr>
              <w:t>200 mg/kg PCDRUG with recovery</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200 mg/kg PCDRUG, once daily</w:t>
            </w:r>
          </w:p>
        </w:tc>
        <w:tc>
          <w:tcPr>
            <w:tcW w:w="0" w:type="auto"/>
            <w:shd w:val="clear" w:color="auto" w:fill="FFFFFF"/>
            <w:vAlign w:val="center"/>
          </w:tcPr>
          <w:p w:rsidR="00BF1957" w:rsidRDefault="00034B12">
            <w:pPr>
              <w:spacing w:after="0"/>
              <w:jc w:val="center"/>
            </w:pPr>
            <w:r>
              <w:rPr>
                <w:color w:val="000000"/>
              </w:rPr>
              <w:t>Recovery</w:t>
            </w:r>
          </w:p>
        </w:tc>
        <w:tc>
          <w:tcPr>
            <w:tcW w:w="0" w:type="auto"/>
            <w:shd w:val="clear" w:color="auto" w:fill="FFFFFF"/>
            <w:vAlign w:val="center"/>
          </w:tcPr>
          <w:p w:rsidR="00BF1957" w:rsidRDefault="00034B12">
            <w:pPr>
              <w:spacing w:after="0"/>
              <w:jc w:val="center"/>
            </w:pPr>
            <w:r>
              <w:rPr>
                <w:color w:val="000000"/>
              </w:rPr>
              <w:t>4R</w:t>
            </w:r>
          </w:p>
        </w:tc>
        <w:tc>
          <w:tcPr>
            <w:tcW w:w="0" w:type="auto"/>
            <w:shd w:val="clear" w:color="auto" w:fill="FFFFFF"/>
            <w:vAlign w:val="center"/>
          </w:tcPr>
          <w:p w:rsidR="00BF1957" w:rsidRDefault="00034B12">
            <w:pPr>
              <w:spacing w:after="0"/>
              <w:jc w:val="center"/>
            </w:pPr>
            <w:r>
              <w:rPr>
                <w:color w:val="000000"/>
              </w:rPr>
              <w:t>Group 4,200 mg/kg PCDRUG, recovery</w:t>
            </w:r>
          </w:p>
        </w:tc>
      </w:tr>
      <w:tr w:rsidR="00BF1957">
        <w:tc>
          <w:tcPr>
            <w:tcW w:w="9000" w:type="auto"/>
            <w:vMerge/>
            <w:vAlign w:val="center"/>
          </w:tcPr>
          <w:p w:rsidR="00BF1957" w:rsidRDefault="00034B12">
            <w:pPr>
              <w:spacing w:after="0"/>
            </w:pPr>
            <w:r>
              <w:rPr>
                <w:color w:val="000000"/>
              </w:rPr>
              <w:t>Group 4</w:t>
            </w:r>
          </w:p>
        </w:tc>
        <w:tc>
          <w:tcPr>
            <w:tcW w:w="0" w:type="auto"/>
            <w:shd w:val="clear" w:color="auto" w:fill="FFFFFF"/>
            <w:vAlign w:val="center"/>
          </w:tcPr>
          <w:p w:rsidR="00BF1957" w:rsidRDefault="00034B12">
            <w:pPr>
              <w:spacing w:after="0"/>
              <w:jc w:val="center"/>
            </w:pPr>
            <w:r>
              <w:rPr>
                <w:color w:val="000000"/>
              </w:rPr>
              <w:t>4</w:t>
            </w:r>
          </w:p>
        </w:tc>
        <w:tc>
          <w:tcPr>
            <w:tcW w:w="0" w:type="auto"/>
            <w:shd w:val="clear" w:color="auto" w:fill="FFFFFF"/>
            <w:vAlign w:val="center"/>
          </w:tcPr>
          <w:p w:rsidR="00BF1957" w:rsidRDefault="00034B12">
            <w:pPr>
              <w:spacing w:after="0"/>
              <w:jc w:val="center"/>
            </w:pPr>
            <w:r>
              <w:rPr>
                <w:color w:val="000000"/>
              </w:rPr>
              <w:t>200 mg/kg PCDRUG</w:t>
            </w:r>
          </w:p>
        </w:tc>
        <w:tc>
          <w:tcPr>
            <w:tcW w:w="0" w:type="auto"/>
            <w:shd w:val="clear" w:color="auto" w:fill="FFFFFF"/>
            <w:vAlign w:val="center"/>
          </w:tcPr>
          <w:p w:rsidR="00BF1957" w:rsidRDefault="00034B12">
            <w:pPr>
              <w:spacing w:after="0"/>
              <w:jc w:val="center"/>
            </w:pPr>
            <w:r>
              <w:rPr>
                <w:color w:val="000000"/>
              </w:rPr>
              <w:t>Acclimation</w:t>
            </w:r>
          </w:p>
        </w:tc>
        <w:tc>
          <w:tcPr>
            <w:tcW w:w="0" w:type="auto"/>
            <w:shd w:val="clear" w:color="auto" w:fill="FFFFFF"/>
            <w:vAlign w:val="center"/>
          </w:tcPr>
          <w:p w:rsidR="00BF1957" w:rsidRDefault="00034B12">
            <w:pPr>
              <w:spacing w:after="0"/>
              <w:jc w:val="center"/>
            </w:pPr>
            <w:r>
              <w:rPr>
                <w:color w:val="000000"/>
              </w:rPr>
              <w:t>200 mg/kg PCDRUG, once daily</w:t>
            </w:r>
          </w:p>
        </w:tc>
        <w:tc>
          <w:tcPr>
            <w:tcW w:w="0" w:type="auto"/>
            <w:shd w:val="clear" w:color="auto" w:fill="FFFFFF"/>
            <w:vAlign w:val="center"/>
          </w:tcPr>
          <w:p w:rsidR="00BF1957" w:rsidRDefault="00BF1957">
            <w:pPr>
              <w:spacing w:after="0"/>
              <w:jc w:val="center"/>
            </w:pPr>
          </w:p>
        </w:tc>
        <w:tc>
          <w:tcPr>
            <w:tcW w:w="0" w:type="auto"/>
            <w:shd w:val="clear" w:color="auto" w:fill="FFFFFF"/>
            <w:vAlign w:val="center"/>
          </w:tcPr>
          <w:p w:rsidR="00BF1957" w:rsidRDefault="00034B12">
            <w:pPr>
              <w:spacing w:after="0"/>
              <w:jc w:val="center"/>
            </w:pPr>
            <w:r>
              <w:rPr>
                <w:color w:val="000000"/>
              </w:rPr>
              <w:t>4TK</w:t>
            </w:r>
          </w:p>
        </w:tc>
        <w:tc>
          <w:tcPr>
            <w:tcW w:w="0" w:type="auto"/>
            <w:shd w:val="clear" w:color="auto" w:fill="FFFFFF"/>
            <w:vAlign w:val="center"/>
          </w:tcPr>
          <w:p w:rsidR="00BF1957" w:rsidRDefault="00034B12">
            <w:pPr>
              <w:spacing w:after="0"/>
              <w:jc w:val="center"/>
            </w:pPr>
            <w:r>
              <w:rPr>
                <w:color w:val="000000"/>
              </w:rPr>
              <w:t>Group 4,200 mg/kg PCDRUG, TK</w:t>
            </w:r>
          </w:p>
        </w:tc>
      </w:tr>
    </w:tbl>
    <w:p w:rsidR="00BF1957" w:rsidRDefault="00034B12">
      <w:pPr>
        <w:pStyle w:val="Heading1"/>
      </w:pPr>
      <w:bookmarkStart w:id="9" w:name="_Toc489619594"/>
      <w:r>
        <w:rPr>
          <w:color w:val="000000"/>
          <w:sz w:val="22"/>
        </w:rPr>
        <w:t>3. Standards, Formats, and Terminologies and their Versions</w:t>
      </w:r>
      <w:bookmarkEnd w:id="9"/>
    </w:p>
    <w:p w:rsidR="00BF1957" w:rsidRDefault="00034B12">
      <w:pPr>
        <w:pStyle w:val="Heading2"/>
      </w:pPr>
      <w:bookmarkStart w:id="10" w:name="_Toc489619595"/>
      <w:r>
        <w:rPr>
          <w:color w:val="000000"/>
          <w:sz w:val="22"/>
        </w:rPr>
        <w:t>3.1. Standards Used</w:t>
      </w:r>
      <w:bookmarkEnd w:id="10"/>
    </w:p>
    <w:tbl>
      <w:tblPr>
        <w:tblStyle w:val="TableGrid"/>
        <w:tblW w:w="0" w:type="auto"/>
        <w:tblLook w:val="04A0" w:firstRow="1" w:lastRow="0" w:firstColumn="1" w:lastColumn="0" w:noHBand="0" w:noVBand="1"/>
      </w:tblPr>
      <w:tblGrid>
        <w:gridCol w:w="2328"/>
        <w:gridCol w:w="3440"/>
        <w:gridCol w:w="3831"/>
      </w:tblGrid>
      <w:tr w:rsidR="00BF1957">
        <w:tc>
          <w:tcPr>
            <w:tcW w:w="0" w:type="auto"/>
            <w:shd w:val="clear" w:color="auto" w:fill="BEBEBE"/>
            <w:vAlign w:val="center"/>
          </w:tcPr>
          <w:p w:rsidR="00BF1957" w:rsidRDefault="00034B12">
            <w:r>
              <w:rPr>
                <w:b/>
                <w:color w:val="000000"/>
              </w:rPr>
              <w:t>Dataset Component</w:t>
            </w:r>
          </w:p>
        </w:tc>
        <w:tc>
          <w:tcPr>
            <w:tcW w:w="0" w:type="auto"/>
            <w:shd w:val="clear" w:color="auto" w:fill="BEBEBE"/>
            <w:vAlign w:val="center"/>
          </w:tcPr>
          <w:p w:rsidR="00BF1957" w:rsidRDefault="00034B12">
            <w:r>
              <w:rPr>
                <w:b/>
                <w:color w:val="000000"/>
              </w:rPr>
              <w:t>Standard or Dictionary</w:t>
            </w:r>
          </w:p>
        </w:tc>
        <w:tc>
          <w:tcPr>
            <w:tcW w:w="0" w:type="auto"/>
            <w:shd w:val="clear" w:color="auto" w:fill="BEBEBE"/>
            <w:vAlign w:val="center"/>
          </w:tcPr>
          <w:p w:rsidR="00BF1957" w:rsidRDefault="00034B12">
            <w:r>
              <w:rPr>
                <w:b/>
                <w:color w:val="000000"/>
              </w:rPr>
              <w:t>Versions Used</w:t>
            </w:r>
          </w:p>
        </w:tc>
      </w:tr>
      <w:tr w:rsidR="00BF1957">
        <w:tc>
          <w:tcPr>
            <w:tcW w:w="0" w:type="auto"/>
            <w:shd w:val="clear" w:color="auto" w:fill="FFFFFF"/>
            <w:vAlign w:val="center"/>
          </w:tcPr>
          <w:p w:rsidR="00BF1957" w:rsidRDefault="00034B12">
            <w:r>
              <w:rPr>
                <w:color w:val="000000"/>
              </w:rPr>
              <w:t>Tabulation Datasets</w:t>
            </w:r>
          </w:p>
        </w:tc>
        <w:tc>
          <w:tcPr>
            <w:tcW w:w="0" w:type="auto"/>
            <w:shd w:val="clear" w:color="auto" w:fill="FFFFFF"/>
            <w:vAlign w:val="center"/>
          </w:tcPr>
          <w:p w:rsidR="00BF1957" w:rsidRDefault="00034B12">
            <w:r>
              <w:rPr>
                <w:color w:val="000000"/>
              </w:rPr>
              <w:t>CDISC SEND Implementation Guide</w:t>
            </w:r>
          </w:p>
        </w:tc>
        <w:tc>
          <w:tcPr>
            <w:tcW w:w="0" w:type="auto"/>
            <w:shd w:val="clear" w:color="auto" w:fill="FFFFFF"/>
            <w:vAlign w:val="center"/>
          </w:tcPr>
          <w:p w:rsidR="00BF1957" w:rsidRDefault="00034B12">
            <w:r>
              <w:rPr>
                <w:color w:val="000000"/>
              </w:rPr>
              <w:t>SEND Implementation Guide Version 3.0</w:t>
            </w:r>
          </w:p>
        </w:tc>
      </w:tr>
      <w:tr w:rsidR="00BF1957">
        <w:tc>
          <w:tcPr>
            <w:tcW w:w="0" w:type="auto"/>
            <w:shd w:val="clear" w:color="auto" w:fill="FFFFFF"/>
            <w:vAlign w:val="center"/>
          </w:tcPr>
          <w:p w:rsidR="00BF1957" w:rsidRDefault="00034B12">
            <w:r>
              <w:rPr>
                <w:color w:val="000000"/>
              </w:rPr>
              <w:t>Controlled Terminology</w:t>
            </w:r>
          </w:p>
        </w:tc>
        <w:tc>
          <w:tcPr>
            <w:tcW w:w="0" w:type="auto"/>
            <w:shd w:val="clear" w:color="auto" w:fill="FFFFFF"/>
            <w:vAlign w:val="center"/>
          </w:tcPr>
          <w:p w:rsidR="00BF1957" w:rsidRDefault="00034B12">
            <w:r>
              <w:rPr>
                <w:color w:val="000000"/>
              </w:rPr>
              <w:t>CDISC SEND Controlled Terminology</w:t>
            </w:r>
          </w:p>
        </w:tc>
        <w:tc>
          <w:tcPr>
            <w:tcW w:w="0" w:type="auto"/>
            <w:shd w:val="clear" w:color="auto" w:fill="FFFFFF"/>
            <w:vAlign w:val="center"/>
          </w:tcPr>
          <w:p w:rsidR="00BF1957" w:rsidRDefault="00034B12">
            <w:r>
              <w:rPr>
                <w:color w:val="000000"/>
              </w:rPr>
              <w:t>SEND Terminology 2017-03-31</w:t>
            </w:r>
          </w:p>
        </w:tc>
      </w:tr>
      <w:tr w:rsidR="00BF1957">
        <w:tc>
          <w:tcPr>
            <w:tcW w:w="0" w:type="auto"/>
            <w:shd w:val="clear" w:color="auto" w:fill="FFFFFF"/>
            <w:vAlign w:val="center"/>
          </w:tcPr>
          <w:p w:rsidR="00BF1957" w:rsidRDefault="00034B12">
            <w:r>
              <w:rPr>
                <w:color w:val="000000"/>
              </w:rPr>
              <w:t>Data Definition file</w:t>
            </w:r>
          </w:p>
        </w:tc>
        <w:tc>
          <w:tcPr>
            <w:tcW w:w="0" w:type="auto"/>
            <w:shd w:val="clear" w:color="auto" w:fill="FFFFFF"/>
            <w:vAlign w:val="center"/>
          </w:tcPr>
          <w:p w:rsidR="00BF1957" w:rsidRDefault="00034B12">
            <w:r>
              <w:rPr>
                <w:color w:val="000000"/>
              </w:rPr>
              <w:t>CDISC DEFINE</w:t>
            </w:r>
          </w:p>
        </w:tc>
        <w:tc>
          <w:tcPr>
            <w:tcW w:w="0" w:type="auto"/>
            <w:shd w:val="clear" w:color="auto" w:fill="FFFFFF"/>
            <w:vAlign w:val="center"/>
          </w:tcPr>
          <w:p w:rsidR="00BF1957" w:rsidRDefault="00034B12">
            <w:r>
              <w:rPr>
                <w:color w:val="000000"/>
              </w:rPr>
              <w:t>2.0</w:t>
            </w:r>
          </w:p>
        </w:tc>
      </w:tr>
      <w:tr w:rsidR="00BF1957">
        <w:tc>
          <w:tcPr>
            <w:tcW w:w="0" w:type="auto"/>
            <w:shd w:val="clear" w:color="auto" w:fill="FFFFFF"/>
            <w:vAlign w:val="center"/>
          </w:tcPr>
          <w:p w:rsidR="00BF1957" w:rsidRDefault="00034B12">
            <w:r>
              <w:rPr>
                <w:color w:val="000000"/>
              </w:rPr>
              <w:t>Validation Rules</w:t>
            </w:r>
          </w:p>
        </w:tc>
        <w:tc>
          <w:tcPr>
            <w:tcW w:w="0" w:type="auto"/>
            <w:shd w:val="clear" w:color="auto" w:fill="FFFFFF"/>
            <w:vAlign w:val="center"/>
          </w:tcPr>
          <w:p w:rsidR="00BF1957" w:rsidRDefault="00034B12">
            <w:r>
              <w:rPr>
                <w:color w:val="000000"/>
              </w:rPr>
              <w:t>FDA Specific SEND Validation Rules</w:t>
            </w:r>
          </w:p>
        </w:tc>
        <w:tc>
          <w:tcPr>
            <w:tcW w:w="0" w:type="auto"/>
            <w:shd w:val="clear" w:color="auto" w:fill="FFFFFF"/>
            <w:vAlign w:val="center"/>
          </w:tcPr>
          <w:p w:rsidR="00BF1957" w:rsidRDefault="00034B12">
            <w:r>
              <w:rPr>
                <w:color w:val="000000"/>
              </w:rPr>
              <w:t>2.1</w:t>
            </w:r>
          </w:p>
        </w:tc>
      </w:tr>
    </w:tbl>
    <w:p w:rsidR="00BF1957" w:rsidRDefault="00034B12">
      <w:pPr>
        <w:pStyle w:val="Heading2"/>
      </w:pPr>
      <w:bookmarkStart w:id="11" w:name="_Toc489619596"/>
      <w:r>
        <w:rPr>
          <w:color w:val="000000"/>
          <w:sz w:val="22"/>
        </w:rPr>
        <w:t>3.2 Rationale for Standards Selection</w:t>
      </w:r>
      <w:bookmarkEnd w:id="11"/>
    </w:p>
    <w:p w:rsidR="00BF1957" w:rsidRPr="005914B8" w:rsidRDefault="00034B12">
      <w:r w:rsidRPr="005914B8">
        <w:t>The standards and versions selected were the most current ones listed in FDA’s Study Data Standards Catalog at the time of dataset creation.</w:t>
      </w:r>
    </w:p>
    <w:p w:rsidR="00BF1957" w:rsidRDefault="00034B12">
      <w:pPr>
        <w:pStyle w:val="Heading2"/>
      </w:pPr>
      <w:bookmarkStart w:id="12" w:name="_Toc489619597"/>
      <w:r>
        <w:rPr>
          <w:color w:val="000000"/>
          <w:sz w:val="22"/>
        </w:rPr>
        <w:t>3.3 Nonstandard Terminology</w:t>
      </w:r>
      <w:bookmarkEnd w:id="12"/>
    </w:p>
    <w:p w:rsidR="00BF1957" w:rsidRDefault="00034B12">
      <w:r>
        <w:rPr>
          <w:color w:val="000000"/>
        </w:rPr>
        <w:t>The following nonstandard terminology was used:</w:t>
      </w:r>
    </w:p>
    <w:tbl>
      <w:tblPr>
        <w:tblStyle w:val="TableGrid"/>
        <w:tblW w:w="0" w:type="auto"/>
        <w:tblLook w:val="04A0" w:firstRow="1" w:lastRow="0" w:firstColumn="1" w:lastColumn="0" w:noHBand="0" w:noVBand="1"/>
      </w:tblPr>
      <w:tblGrid>
        <w:gridCol w:w="1456"/>
        <w:gridCol w:w="979"/>
        <w:gridCol w:w="952"/>
        <w:gridCol w:w="2601"/>
        <w:gridCol w:w="3768"/>
      </w:tblGrid>
      <w:tr w:rsidR="00BF1957">
        <w:tc>
          <w:tcPr>
            <w:tcW w:w="0" w:type="auto"/>
            <w:shd w:val="clear" w:color="auto" w:fill="BEBEBE"/>
            <w:vAlign w:val="center"/>
          </w:tcPr>
          <w:p w:rsidR="00BF1957" w:rsidRDefault="00034B12">
            <w:r>
              <w:rPr>
                <w:b/>
                <w:color w:val="000000"/>
              </w:rPr>
              <w:t>Dataset Name</w:t>
            </w:r>
          </w:p>
        </w:tc>
        <w:tc>
          <w:tcPr>
            <w:tcW w:w="0" w:type="auto"/>
            <w:shd w:val="clear" w:color="auto" w:fill="BEBEBE"/>
            <w:vAlign w:val="center"/>
          </w:tcPr>
          <w:p w:rsidR="00BF1957" w:rsidRDefault="00034B12">
            <w:r>
              <w:rPr>
                <w:b/>
                <w:color w:val="000000"/>
              </w:rPr>
              <w:t>Variable</w:t>
            </w:r>
          </w:p>
        </w:tc>
        <w:tc>
          <w:tcPr>
            <w:tcW w:w="0" w:type="auto"/>
            <w:shd w:val="clear" w:color="auto" w:fill="BEBEBE"/>
            <w:vAlign w:val="center"/>
          </w:tcPr>
          <w:p w:rsidR="00BF1957" w:rsidRDefault="00034B12">
            <w:proofErr w:type="spellStart"/>
            <w:r>
              <w:rPr>
                <w:b/>
                <w:color w:val="000000"/>
              </w:rPr>
              <w:t>Codelist</w:t>
            </w:r>
            <w:proofErr w:type="spellEnd"/>
          </w:p>
        </w:tc>
        <w:tc>
          <w:tcPr>
            <w:tcW w:w="0" w:type="auto"/>
            <w:shd w:val="clear" w:color="auto" w:fill="BEBEBE"/>
            <w:vAlign w:val="center"/>
          </w:tcPr>
          <w:p w:rsidR="00BF1957" w:rsidRDefault="00034B12">
            <w:r>
              <w:rPr>
                <w:b/>
                <w:color w:val="000000"/>
              </w:rPr>
              <w:t>Term Used</w:t>
            </w:r>
          </w:p>
        </w:tc>
        <w:tc>
          <w:tcPr>
            <w:tcW w:w="0" w:type="auto"/>
            <w:shd w:val="clear" w:color="auto" w:fill="BEBEBE"/>
            <w:vAlign w:val="center"/>
          </w:tcPr>
          <w:p w:rsidR="00BF1957" w:rsidRDefault="00034B12">
            <w:r>
              <w:rPr>
                <w:b/>
                <w:color w:val="000000"/>
              </w:rPr>
              <w:t>Meaning</w:t>
            </w:r>
          </w:p>
        </w:tc>
      </w:tr>
      <w:tr w:rsidR="00BF1957">
        <w:tc>
          <w:tcPr>
            <w:tcW w:w="0" w:type="auto"/>
            <w:shd w:val="clear" w:color="auto" w:fill="FFFFFF"/>
            <w:vAlign w:val="center"/>
          </w:tcPr>
          <w:p w:rsidR="00BF1957" w:rsidRDefault="00034B12">
            <w:r>
              <w:rPr>
                <w:color w:val="000000"/>
              </w:rPr>
              <w:t>TS</w:t>
            </w:r>
          </w:p>
        </w:tc>
        <w:tc>
          <w:tcPr>
            <w:tcW w:w="0" w:type="auto"/>
            <w:shd w:val="clear" w:color="auto" w:fill="FFFFFF"/>
            <w:vAlign w:val="center"/>
          </w:tcPr>
          <w:p w:rsidR="00BF1957" w:rsidRDefault="00034B12">
            <w:r>
              <w:rPr>
                <w:color w:val="000000"/>
              </w:rPr>
              <w:t>TSPARM</w:t>
            </w:r>
          </w:p>
        </w:tc>
        <w:tc>
          <w:tcPr>
            <w:tcW w:w="0" w:type="auto"/>
            <w:shd w:val="clear" w:color="auto" w:fill="FFFFFF"/>
            <w:vAlign w:val="center"/>
          </w:tcPr>
          <w:p w:rsidR="00BF1957" w:rsidRDefault="00034B12">
            <w:r>
              <w:rPr>
                <w:color w:val="000000"/>
              </w:rPr>
              <w:t>STSPRM</w:t>
            </w:r>
          </w:p>
        </w:tc>
        <w:tc>
          <w:tcPr>
            <w:tcW w:w="0" w:type="auto"/>
            <w:shd w:val="clear" w:color="auto" w:fill="FFFFFF"/>
            <w:vAlign w:val="center"/>
          </w:tcPr>
          <w:p w:rsidR="00BF1957" w:rsidRDefault="00034B12">
            <w:r>
              <w:rPr>
                <w:color w:val="000000"/>
              </w:rPr>
              <w:t>Quality Assurance type</w:t>
            </w:r>
          </w:p>
        </w:tc>
        <w:tc>
          <w:tcPr>
            <w:tcW w:w="0" w:type="auto"/>
            <w:shd w:val="clear" w:color="auto" w:fill="FFFFFF"/>
            <w:vAlign w:val="center"/>
          </w:tcPr>
          <w:p w:rsidR="00BF1957" w:rsidRDefault="007039E7">
            <w:r>
              <w:t>Type of quality assurance used in the study</w:t>
            </w:r>
          </w:p>
        </w:tc>
      </w:tr>
      <w:tr w:rsidR="00BF1957">
        <w:tc>
          <w:tcPr>
            <w:tcW w:w="0" w:type="auto"/>
            <w:shd w:val="clear" w:color="auto" w:fill="FFFFFF"/>
            <w:vAlign w:val="center"/>
          </w:tcPr>
          <w:p w:rsidR="00BF1957" w:rsidRDefault="00034B12">
            <w:r>
              <w:rPr>
                <w:color w:val="000000"/>
              </w:rPr>
              <w:t>TS</w:t>
            </w:r>
          </w:p>
        </w:tc>
        <w:tc>
          <w:tcPr>
            <w:tcW w:w="0" w:type="auto"/>
            <w:shd w:val="clear" w:color="auto" w:fill="FFFFFF"/>
            <w:vAlign w:val="center"/>
          </w:tcPr>
          <w:p w:rsidR="00BF1957" w:rsidRDefault="00034B12">
            <w:r>
              <w:rPr>
                <w:color w:val="000000"/>
              </w:rPr>
              <w:t>TSPARM</w:t>
            </w:r>
          </w:p>
        </w:tc>
        <w:tc>
          <w:tcPr>
            <w:tcW w:w="0" w:type="auto"/>
            <w:shd w:val="clear" w:color="auto" w:fill="FFFFFF"/>
            <w:vAlign w:val="center"/>
          </w:tcPr>
          <w:p w:rsidR="00BF1957" w:rsidRDefault="00034B12">
            <w:r>
              <w:rPr>
                <w:color w:val="000000"/>
              </w:rPr>
              <w:t>STSPRM</w:t>
            </w:r>
          </w:p>
        </w:tc>
        <w:tc>
          <w:tcPr>
            <w:tcW w:w="0" w:type="auto"/>
            <w:shd w:val="clear" w:color="auto" w:fill="FFFFFF"/>
            <w:vAlign w:val="center"/>
          </w:tcPr>
          <w:p w:rsidR="00BF1957" w:rsidRDefault="00034B12">
            <w:r>
              <w:rPr>
                <w:color w:val="000000"/>
              </w:rPr>
              <w:t>Lot Number</w:t>
            </w:r>
          </w:p>
        </w:tc>
        <w:tc>
          <w:tcPr>
            <w:tcW w:w="0" w:type="auto"/>
            <w:shd w:val="clear" w:color="auto" w:fill="FFFFFF"/>
            <w:vAlign w:val="center"/>
          </w:tcPr>
          <w:p w:rsidR="00BF1957" w:rsidRDefault="007039E7">
            <w:r>
              <w:t>Lot number of the test article</w:t>
            </w:r>
          </w:p>
        </w:tc>
      </w:tr>
      <w:tr w:rsidR="00BF1957">
        <w:tc>
          <w:tcPr>
            <w:tcW w:w="0" w:type="auto"/>
            <w:shd w:val="clear" w:color="auto" w:fill="FFFFFF"/>
            <w:vAlign w:val="center"/>
          </w:tcPr>
          <w:p w:rsidR="00BF1957" w:rsidRDefault="00034B12">
            <w:r>
              <w:rPr>
                <w:color w:val="000000"/>
              </w:rPr>
              <w:t>TS</w:t>
            </w:r>
          </w:p>
        </w:tc>
        <w:tc>
          <w:tcPr>
            <w:tcW w:w="0" w:type="auto"/>
            <w:shd w:val="clear" w:color="auto" w:fill="FFFFFF"/>
            <w:vAlign w:val="center"/>
          </w:tcPr>
          <w:p w:rsidR="00BF1957" w:rsidRDefault="00034B12">
            <w:r>
              <w:rPr>
                <w:color w:val="000000"/>
              </w:rPr>
              <w:t>TSPARM</w:t>
            </w:r>
          </w:p>
        </w:tc>
        <w:tc>
          <w:tcPr>
            <w:tcW w:w="0" w:type="auto"/>
            <w:shd w:val="clear" w:color="auto" w:fill="FFFFFF"/>
            <w:vAlign w:val="center"/>
          </w:tcPr>
          <w:p w:rsidR="00BF1957" w:rsidRDefault="00034B12">
            <w:r>
              <w:rPr>
                <w:color w:val="000000"/>
              </w:rPr>
              <w:t>STSPRM</w:t>
            </w:r>
          </w:p>
        </w:tc>
        <w:tc>
          <w:tcPr>
            <w:tcW w:w="0" w:type="auto"/>
            <w:shd w:val="clear" w:color="auto" w:fill="FFFFFF"/>
            <w:vAlign w:val="center"/>
          </w:tcPr>
          <w:p w:rsidR="00BF1957" w:rsidRDefault="00034B12">
            <w:r>
              <w:rPr>
                <w:color w:val="000000"/>
              </w:rPr>
              <w:t>Percent Purity of Compound</w:t>
            </w:r>
          </w:p>
        </w:tc>
        <w:tc>
          <w:tcPr>
            <w:tcW w:w="0" w:type="auto"/>
            <w:shd w:val="clear" w:color="auto" w:fill="FFFFFF"/>
            <w:vAlign w:val="center"/>
          </w:tcPr>
          <w:p w:rsidR="00BF1957" w:rsidRDefault="007039E7">
            <w:r>
              <w:t>Percent purity of the test article</w:t>
            </w:r>
          </w:p>
        </w:tc>
      </w:tr>
    </w:tbl>
    <w:p w:rsidR="00BF1957" w:rsidRDefault="00034B12">
      <w:pPr>
        <w:pStyle w:val="Heading1"/>
      </w:pPr>
      <w:bookmarkStart w:id="13" w:name="_Toc489619598"/>
      <w:r>
        <w:rPr>
          <w:color w:val="000000"/>
          <w:sz w:val="22"/>
        </w:rPr>
        <w:lastRenderedPageBreak/>
        <w:t>4. Description of Study Datasets</w:t>
      </w:r>
      <w:bookmarkEnd w:id="13"/>
    </w:p>
    <w:p w:rsidR="00BF1957" w:rsidRPr="00334629" w:rsidRDefault="00034B12">
      <w:r w:rsidRPr="00334629">
        <w:t>The submitted SEND datasets represent a completed study. LIMS reports and not SEND datasets were used for data analysis. All data in the study report are included In the SEND dataset.</w:t>
      </w:r>
    </w:p>
    <w:p w:rsidR="00BF1957" w:rsidRDefault="00034B12" w:rsidP="00334629">
      <w:pPr>
        <w:pStyle w:val="Heading2"/>
      </w:pPr>
      <w:bookmarkStart w:id="14" w:name="_Toc489619599"/>
      <w:r>
        <w:rPr>
          <w:color w:val="000000"/>
          <w:sz w:val="22"/>
        </w:rPr>
        <w:t>4.1 Dataset Summary</w:t>
      </w:r>
      <w:bookmarkEnd w:id="14"/>
    </w:p>
    <w:tbl>
      <w:tblPr>
        <w:tblStyle w:val="TableGrid"/>
        <w:tblW w:w="0" w:type="auto"/>
        <w:tblLook w:val="04A0" w:firstRow="1" w:lastRow="0" w:firstColumn="1" w:lastColumn="0" w:noHBand="0" w:noVBand="1"/>
      </w:tblPr>
      <w:tblGrid>
        <w:gridCol w:w="1356"/>
        <w:gridCol w:w="2830"/>
        <w:gridCol w:w="2245"/>
        <w:gridCol w:w="1597"/>
        <w:gridCol w:w="1728"/>
      </w:tblGrid>
      <w:tr w:rsidR="00BF1957">
        <w:tc>
          <w:tcPr>
            <w:tcW w:w="0" w:type="auto"/>
            <w:shd w:val="clear" w:color="auto" w:fill="BEBEBE"/>
            <w:vAlign w:val="center"/>
          </w:tcPr>
          <w:p w:rsidR="00BF1957" w:rsidRDefault="00034B12">
            <w:r>
              <w:rPr>
                <w:b/>
                <w:color w:val="000000"/>
              </w:rPr>
              <w:t>Dataset Name</w:t>
            </w:r>
          </w:p>
        </w:tc>
        <w:tc>
          <w:tcPr>
            <w:tcW w:w="0" w:type="auto"/>
            <w:shd w:val="clear" w:color="auto" w:fill="BEBEBE"/>
            <w:vAlign w:val="center"/>
          </w:tcPr>
          <w:p w:rsidR="00BF1957" w:rsidRDefault="00034B12">
            <w:r>
              <w:rPr>
                <w:b/>
                <w:color w:val="000000"/>
              </w:rPr>
              <w:t>Dataset Label</w:t>
            </w:r>
          </w:p>
        </w:tc>
        <w:tc>
          <w:tcPr>
            <w:tcW w:w="0" w:type="auto"/>
            <w:shd w:val="clear" w:color="auto" w:fill="BEBEBE"/>
            <w:vAlign w:val="center"/>
          </w:tcPr>
          <w:p w:rsidR="00BF1957" w:rsidRDefault="00034B12">
            <w:r>
              <w:rPr>
                <w:b/>
                <w:color w:val="000000"/>
              </w:rPr>
              <w:t>Supplemental Qualifiers?</w:t>
            </w:r>
          </w:p>
        </w:tc>
        <w:tc>
          <w:tcPr>
            <w:tcW w:w="0" w:type="auto"/>
            <w:shd w:val="clear" w:color="auto" w:fill="BEBEBE"/>
            <w:vAlign w:val="center"/>
          </w:tcPr>
          <w:p w:rsidR="00BF1957" w:rsidRDefault="00034B12">
            <w:r>
              <w:rPr>
                <w:b/>
                <w:color w:val="000000"/>
              </w:rPr>
              <w:t>Related Records?</w:t>
            </w:r>
          </w:p>
        </w:tc>
        <w:tc>
          <w:tcPr>
            <w:tcW w:w="0" w:type="auto"/>
            <w:shd w:val="clear" w:color="auto" w:fill="BEBEBE"/>
            <w:vAlign w:val="center"/>
          </w:tcPr>
          <w:p w:rsidR="00BF1957" w:rsidRDefault="00034B12">
            <w:r>
              <w:rPr>
                <w:b/>
                <w:color w:val="000000"/>
              </w:rPr>
              <w:t>Observation Class</w:t>
            </w:r>
          </w:p>
        </w:tc>
      </w:tr>
      <w:tr w:rsidR="00BF1957">
        <w:tc>
          <w:tcPr>
            <w:tcW w:w="0" w:type="auto"/>
            <w:shd w:val="clear" w:color="auto" w:fill="FFFFFF"/>
            <w:vAlign w:val="center"/>
          </w:tcPr>
          <w:p w:rsidR="00BF1957" w:rsidRDefault="00034B12">
            <w:r>
              <w:rPr>
                <w:color w:val="000000"/>
              </w:rPr>
              <w:t>DS</w:t>
            </w:r>
          </w:p>
        </w:tc>
        <w:tc>
          <w:tcPr>
            <w:tcW w:w="0" w:type="auto"/>
            <w:shd w:val="clear" w:color="auto" w:fill="FFFFFF"/>
            <w:vAlign w:val="center"/>
          </w:tcPr>
          <w:p w:rsidR="00BF1957" w:rsidRDefault="00034B12">
            <w:r>
              <w:rPr>
                <w:color w:val="000000"/>
              </w:rPr>
              <w:t>Disposition</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Events</w:t>
            </w:r>
          </w:p>
        </w:tc>
      </w:tr>
      <w:tr w:rsidR="00BF1957">
        <w:tc>
          <w:tcPr>
            <w:tcW w:w="0" w:type="auto"/>
            <w:shd w:val="clear" w:color="auto" w:fill="FFFFFF"/>
            <w:vAlign w:val="center"/>
          </w:tcPr>
          <w:p w:rsidR="00BF1957" w:rsidRDefault="00034B12">
            <w:r>
              <w:rPr>
                <w:color w:val="000000"/>
              </w:rPr>
              <w:t>BG</w:t>
            </w:r>
          </w:p>
        </w:tc>
        <w:tc>
          <w:tcPr>
            <w:tcW w:w="0" w:type="auto"/>
            <w:shd w:val="clear" w:color="auto" w:fill="FFFFFF"/>
            <w:vAlign w:val="center"/>
          </w:tcPr>
          <w:p w:rsidR="00BF1957" w:rsidRDefault="00034B12">
            <w:r>
              <w:rPr>
                <w:color w:val="000000"/>
              </w:rPr>
              <w:t>Body Weight Gains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BW</w:t>
            </w:r>
          </w:p>
        </w:tc>
        <w:tc>
          <w:tcPr>
            <w:tcW w:w="0" w:type="auto"/>
            <w:shd w:val="clear" w:color="auto" w:fill="FFFFFF"/>
            <w:vAlign w:val="center"/>
          </w:tcPr>
          <w:p w:rsidR="00BF1957" w:rsidRDefault="00034B12">
            <w:r>
              <w:rPr>
                <w:color w:val="000000"/>
              </w:rPr>
              <w:t>Body Weights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CL</w:t>
            </w:r>
          </w:p>
        </w:tc>
        <w:tc>
          <w:tcPr>
            <w:tcW w:w="0" w:type="auto"/>
            <w:shd w:val="clear" w:color="auto" w:fill="FFFFFF"/>
            <w:vAlign w:val="center"/>
          </w:tcPr>
          <w:p w:rsidR="00BF1957" w:rsidRDefault="00034B12">
            <w:r>
              <w:rPr>
                <w:color w:val="000000"/>
              </w:rPr>
              <w:t>Clinical Observations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DD</w:t>
            </w:r>
          </w:p>
        </w:tc>
        <w:tc>
          <w:tcPr>
            <w:tcW w:w="0" w:type="auto"/>
            <w:shd w:val="clear" w:color="auto" w:fill="FFFFFF"/>
            <w:vAlign w:val="center"/>
          </w:tcPr>
          <w:p w:rsidR="00BF1957" w:rsidRDefault="00034B12">
            <w:r>
              <w:rPr>
                <w:color w:val="000000"/>
              </w:rPr>
              <w:t>Death Diagnosis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EG</w:t>
            </w:r>
          </w:p>
        </w:tc>
        <w:tc>
          <w:tcPr>
            <w:tcW w:w="0" w:type="auto"/>
            <w:shd w:val="clear" w:color="auto" w:fill="FFFFFF"/>
            <w:vAlign w:val="center"/>
          </w:tcPr>
          <w:p w:rsidR="00BF1957" w:rsidRDefault="00034B12">
            <w:r>
              <w:rPr>
                <w:color w:val="000000"/>
              </w:rPr>
              <w:t>ECG Test Results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FW</w:t>
            </w:r>
          </w:p>
        </w:tc>
        <w:tc>
          <w:tcPr>
            <w:tcW w:w="0" w:type="auto"/>
            <w:shd w:val="clear" w:color="auto" w:fill="FFFFFF"/>
            <w:vAlign w:val="center"/>
          </w:tcPr>
          <w:p w:rsidR="00BF1957" w:rsidRDefault="00034B12">
            <w:r>
              <w:rPr>
                <w:color w:val="000000"/>
              </w:rPr>
              <w:t>Food and Water Consumption</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LB</w:t>
            </w:r>
          </w:p>
        </w:tc>
        <w:tc>
          <w:tcPr>
            <w:tcW w:w="0" w:type="auto"/>
            <w:shd w:val="clear" w:color="auto" w:fill="FFFFFF"/>
            <w:vAlign w:val="center"/>
          </w:tcPr>
          <w:p w:rsidR="00BF1957" w:rsidRDefault="00034B12">
            <w:r>
              <w:rPr>
                <w:color w:val="000000"/>
              </w:rPr>
              <w:t>Laboratory Test Results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MA</w:t>
            </w:r>
          </w:p>
        </w:tc>
        <w:tc>
          <w:tcPr>
            <w:tcW w:w="0" w:type="auto"/>
            <w:shd w:val="clear" w:color="auto" w:fill="FFFFFF"/>
            <w:vAlign w:val="center"/>
          </w:tcPr>
          <w:p w:rsidR="00BF1957" w:rsidRDefault="00034B12">
            <w:r>
              <w:rPr>
                <w:color w:val="000000"/>
              </w:rPr>
              <w:t>Macroscopic Findings</w:t>
            </w:r>
          </w:p>
        </w:tc>
        <w:tc>
          <w:tcPr>
            <w:tcW w:w="0" w:type="auto"/>
            <w:shd w:val="clear" w:color="auto" w:fill="FFFFFF"/>
            <w:vAlign w:val="center"/>
          </w:tcPr>
          <w:p w:rsidR="00BF1957" w:rsidRDefault="00034B12">
            <w:r>
              <w:rPr>
                <w:color w:val="000000"/>
              </w:rPr>
              <w:t>X</w:t>
            </w:r>
          </w:p>
        </w:tc>
        <w:tc>
          <w:tcPr>
            <w:tcW w:w="0" w:type="auto"/>
            <w:shd w:val="clear" w:color="auto" w:fill="FFFFFF"/>
            <w:vAlign w:val="center"/>
          </w:tcPr>
          <w:p w:rsidR="00BF1957" w:rsidRDefault="00034B12">
            <w:r>
              <w:rPr>
                <w:color w:val="000000"/>
              </w:rPr>
              <w:t>X</w:t>
            </w:r>
          </w:p>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MI</w:t>
            </w:r>
          </w:p>
        </w:tc>
        <w:tc>
          <w:tcPr>
            <w:tcW w:w="0" w:type="auto"/>
            <w:shd w:val="clear" w:color="auto" w:fill="FFFFFF"/>
            <w:vAlign w:val="center"/>
          </w:tcPr>
          <w:p w:rsidR="00BF1957" w:rsidRDefault="00034B12">
            <w:r>
              <w:rPr>
                <w:color w:val="000000"/>
              </w:rPr>
              <w:t>Microscopic Findings</w:t>
            </w:r>
          </w:p>
        </w:tc>
        <w:tc>
          <w:tcPr>
            <w:tcW w:w="0" w:type="auto"/>
            <w:shd w:val="clear" w:color="auto" w:fill="FFFFFF"/>
            <w:vAlign w:val="center"/>
          </w:tcPr>
          <w:p w:rsidR="00BF1957" w:rsidRDefault="00034B12">
            <w:r>
              <w:rPr>
                <w:color w:val="000000"/>
              </w:rPr>
              <w:t>X</w:t>
            </w:r>
          </w:p>
        </w:tc>
        <w:tc>
          <w:tcPr>
            <w:tcW w:w="0" w:type="auto"/>
            <w:shd w:val="clear" w:color="auto" w:fill="FFFFFF"/>
            <w:vAlign w:val="center"/>
          </w:tcPr>
          <w:p w:rsidR="00BF1957" w:rsidRDefault="00034B12">
            <w:r>
              <w:rPr>
                <w:color w:val="000000"/>
              </w:rPr>
              <w:t>X</w:t>
            </w:r>
          </w:p>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OM</w:t>
            </w:r>
          </w:p>
        </w:tc>
        <w:tc>
          <w:tcPr>
            <w:tcW w:w="0" w:type="auto"/>
            <w:shd w:val="clear" w:color="auto" w:fill="FFFFFF"/>
            <w:vAlign w:val="center"/>
          </w:tcPr>
          <w:p w:rsidR="00BF1957" w:rsidRDefault="00034B12">
            <w:r>
              <w:rPr>
                <w:color w:val="000000"/>
              </w:rPr>
              <w:t>Organ Measurements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PC</w:t>
            </w:r>
          </w:p>
        </w:tc>
        <w:tc>
          <w:tcPr>
            <w:tcW w:w="0" w:type="auto"/>
            <w:shd w:val="clear" w:color="auto" w:fill="FFFFFF"/>
            <w:vAlign w:val="center"/>
          </w:tcPr>
          <w:p w:rsidR="00BF1957" w:rsidRDefault="00034B12">
            <w:r>
              <w:rPr>
                <w:color w:val="000000"/>
              </w:rPr>
              <w:t>Pharmacokinetics Concentrations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PM</w:t>
            </w:r>
          </w:p>
        </w:tc>
        <w:tc>
          <w:tcPr>
            <w:tcW w:w="0" w:type="auto"/>
            <w:shd w:val="clear" w:color="auto" w:fill="FFFFFF"/>
            <w:vAlign w:val="center"/>
          </w:tcPr>
          <w:p w:rsidR="00BF1957" w:rsidRDefault="00034B12">
            <w:r>
              <w:rPr>
                <w:color w:val="000000"/>
              </w:rPr>
              <w:t>Palpable Masses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PP</w:t>
            </w:r>
          </w:p>
        </w:tc>
        <w:tc>
          <w:tcPr>
            <w:tcW w:w="0" w:type="auto"/>
            <w:shd w:val="clear" w:color="auto" w:fill="FFFFFF"/>
            <w:vAlign w:val="center"/>
          </w:tcPr>
          <w:p w:rsidR="00BF1957" w:rsidRDefault="00034B12">
            <w:r>
              <w:rPr>
                <w:color w:val="000000"/>
              </w:rPr>
              <w:t>Pharmacokinetics Parameters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SC</w:t>
            </w:r>
          </w:p>
        </w:tc>
        <w:tc>
          <w:tcPr>
            <w:tcW w:w="0" w:type="auto"/>
            <w:shd w:val="clear" w:color="auto" w:fill="FFFFFF"/>
            <w:vAlign w:val="center"/>
          </w:tcPr>
          <w:p w:rsidR="00BF1957" w:rsidRDefault="00034B12">
            <w:r>
              <w:rPr>
                <w:color w:val="000000"/>
              </w:rPr>
              <w:t>Subject Characteristics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TF</w:t>
            </w:r>
          </w:p>
        </w:tc>
        <w:tc>
          <w:tcPr>
            <w:tcW w:w="0" w:type="auto"/>
            <w:shd w:val="clear" w:color="auto" w:fill="FFFFFF"/>
            <w:vAlign w:val="center"/>
          </w:tcPr>
          <w:p w:rsidR="00BF1957" w:rsidRDefault="00034B12">
            <w:r>
              <w:rPr>
                <w:color w:val="000000"/>
              </w:rPr>
              <w:t>Tumor Findings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VS</w:t>
            </w:r>
          </w:p>
        </w:tc>
        <w:tc>
          <w:tcPr>
            <w:tcW w:w="0" w:type="auto"/>
            <w:shd w:val="clear" w:color="auto" w:fill="FFFFFF"/>
            <w:vAlign w:val="center"/>
          </w:tcPr>
          <w:p w:rsidR="00BF1957" w:rsidRDefault="00034B12">
            <w:r>
              <w:rPr>
                <w:color w:val="000000"/>
              </w:rPr>
              <w:t>Vital Signs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Findings</w:t>
            </w:r>
          </w:p>
        </w:tc>
      </w:tr>
      <w:tr w:rsidR="00BF1957">
        <w:tc>
          <w:tcPr>
            <w:tcW w:w="0" w:type="auto"/>
            <w:shd w:val="clear" w:color="auto" w:fill="FFFFFF"/>
            <w:vAlign w:val="center"/>
          </w:tcPr>
          <w:p w:rsidR="00BF1957" w:rsidRDefault="00034B12">
            <w:r>
              <w:rPr>
                <w:color w:val="000000"/>
              </w:rPr>
              <w:t>EX</w:t>
            </w:r>
          </w:p>
        </w:tc>
        <w:tc>
          <w:tcPr>
            <w:tcW w:w="0" w:type="auto"/>
            <w:shd w:val="clear" w:color="auto" w:fill="FFFFFF"/>
            <w:vAlign w:val="center"/>
          </w:tcPr>
          <w:p w:rsidR="00BF1957" w:rsidRDefault="00034B12">
            <w:r>
              <w:rPr>
                <w:color w:val="000000"/>
              </w:rPr>
              <w:t>Exposure</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Interventions</w:t>
            </w:r>
          </w:p>
        </w:tc>
      </w:tr>
      <w:tr w:rsidR="00BF1957">
        <w:tc>
          <w:tcPr>
            <w:tcW w:w="0" w:type="auto"/>
            <w:shd w:val="clear" w:color="auto" w:fill="FFFFFF"/>
            <w:vAlign w:val="center"/>
          </w:tcPr>
          <w:p w:rsidR="00BF1957" w:rsidRDefault="00034B12">
            <w:r>
              <w:rPr>
                <w:color w:val="000000"/>
              </w:rPr>
              <w:t>RELREC</w:t>
            </w:r>
          </w:p>
        </w:tc>
        <w:tc>
          <w:tcPr>
            <w:tcW w:w="0" w:type="auto"/>
            <w:shd w:val="clear" w:color="auto" w:fill="FFFFFF"/>
            <w:vAlign w:val="center"/>
          </w:tcPr>
          <w:p w:rsidR="00BF1957" w:rsidRDefault="00034B12">
            <w:r>
              <w:rPr>
                <w:color w:val="000000"/>
              </w:rPr>
              <w:t>Related Records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Relationship</w:t>
            </w:r>
          </w:p>
        </w:tc>
      </w:tr>
      <w:tr w:rsidR="00BF1957">
        <w:tc>
          <w:tcPr>
            <w:tcW w:w="0" w:type="auto"/>
            <w:shd w:val="clear" w:color="auto" w:fill="FFFFFF"/>
            <w:vAlign w:val="center"/>
          </w:tcPr>
          <w:p w:rsidR="00BF1957" w:rsidRDefault="00034B12">
            <w:r>
              <w:rPr>
                <w:color w:val="000000"/>
              </w:rPr>
              <w:t>CO</w:t>
            </w:r>
          </w:p>
        </w:tc>
        <w:tc>
          <w:tcPr>
            <w:tcW w:w="0" w:type="auto"/>
            <w:shd w:val="clear" w:color="auto" w:fill="FFFFFF"/>
            <w:vAlign w:val="center"/>
          </w:tcPr>
          <w:p w:rsidR="00BF1957" w:rsidRDefault="00034B12">
            <w:r>
              <w:rPr>
                <w:color w:val="000000"/>
              </w:rPr>
              <w:t>Comments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Special Purpose</w:t>
            </w:r>
          </w:p>
        </w:tc>
      </w:tr>
      <w:tr w:rsidR="00BF1957">
        <w:tc>
          <w:tcPr>
            <w:tcW w:w="0" w:type="auto"/>
            <w:shd w:val="clear" w:color="auto" w:fill="FFFFFF"/>
            <w:vAlign w:val="center"/>
          </w:tcPr>
          <w:p w:rsidR="00BF1957" w:rsidRDefault="00034B12">
            <w:r>
              <w:rPr>
                <w:color w:val="000000"/>
              </w:rPr>
              <w:t>DM</w:t>
            </w:r>
          </w:p>
        </w:tc>
        <w:tc>
          <w:tcPr>
            <w:tcW w:w="0" w:type="auto"/>
            <w:shd w:val="clear" w:color="auto" w:fill="FFFFFF"/>
            <w:vAlign w:val="center"/>
          </w:tcPr>
          <w:p w:rsidR="00BF1957" w:rsidRDefault="00034B12">
            <w:r>
              <w:rPr>
                <w:color w:val="000000"/>
              </w:rPr>
              <w:t>Demographics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Special Purpose</w:t>
            </w:r>
          </w:p>
        </w:tc>
      </w:tr>
      <w:tr w:rsidR="00BF1957">
        <w:tc>
          <w:tcPr>
            <w:tcW w:w="0" w:type="auto"/>
            <w:shd w:val="clear" w:color="auto" w:fill="FFFFFF"/>
            <w:vAlign w:val="center"/>
          </w:tcPr>
          <w:p w:rsidR="00BF1957" w:rsidRDefault="00034B12">
            <w:r>
              <w:rPr>
                <w:color w:val="000000"/>
              </w:rPr>
              <w:t>SE</w:t>
            </w:r>
          </w:p>
        </w:tc>
        <w:tc>
          <w:tcPr>
            <w:tcW w:w="0" w:type="auto"/>
            <w:shd w:val="clear" w:color="auto" w:fill="FFFFFF"/>
            <w:vAlign w:val="center"/>
          </w:tcPr>
          <w:p w:rsidR="00BF1957" w:rsidRDefault="00034B12">
            <w:r>
              <w:rPr>
                <w:color w:val="000000"/>
              </w:rPr>
              <w:t>Subject Elements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Special Purpose</w:t>
            </w:r>
          </w:p>
        </w:tc>
      </w:tr>
      <w:tr w:rsidR="00BF1957">
        <w:tc>
          <w:tcPr>
            <w:tcW w:w="0" w:type="auto"/>
            <w:shd w:val="clear" w:color="auto" w:fill="FFFFFF"/>
            <w:vAlign w:val="center"/>
          </w:tcPr>
          <w:p w:rsidR="00BF1957" w:rsidRDefault="00034B12">
            <w:r>
              <w:rPr>
                <w:color w:val="000000"/>
              </w:rPr>
              <w:t>TA</w:t>
            </w:r>
          </w:p>
        </w:tc>
        <w:tc>
          <w:tcPr>
            <w:tcW w:w="0" w:type="auto"/>
            <w:shd w:val="clear" w:color="auto" w:fill="FFFFFF"/>
            <w:vAlign w:val="center"/>
          </w:tcPr>
          <w:p w:rsidR="00BF1957" w:rsidRDefault="00034B12">
            <w:r>
              <w:rPr>
                <w:color w:val="000000"/>
              </w:rPr>
              <w:t>Trial Arms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Trial Design</w:t>
            </w:r>
          </w:p>
        </w:tc>
      </w:tr>
      <w:tr w:rsidR="00BF1957">
        <w:tc>
          <w:tcPr>
            <w:tcW w:w="0" w:type="auto"/>
            <w:shd w:val="clear" w:color="auto" w:fill="FFFFFF"/>
            <w:vAlign w:val="center"/>
          </w:tcPr>
          <w:p w:rsidR="00BF1957" w:rsidRDefault="00034B12">
            <w:r>
              <w:rPr>
                <w:color w:val="000000"/>
              </w:rPr>
              <w:t>TE</w:t>
            </w:r>
          </w:p>
        </w:tc>
        <w:tc>
          <w:tcPr>
            <w:tcW w:w="0" w:type="auto"/>
            <w:shd w:val="clear" w:color="auto" w:fill="FFFFFF"/>
            <w:vAlign w:val="center"/>
          </w:tcPr>
          <w:p w:rsidR="00BF1957" w:rsidRDefault="00034B12">
            <w:r>
              <w:rPr>
                <w:color w:val="000000"/>
              </w:rPr>
              <w:t>Trial Elements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Trial Design</w:t>
            </w:r>
          </w:p>
        </w:tc>
      </w:tr>
      <w:tr w:rsidR="00BF1957">
        <w:tc>
          <w:tcPr>
            <w:tcW w:w="0" w:type="auto"/>
            <w:shd w:val="clear" w:color="auto" w:fill="FFFFFF"/>
            <w:vAlign w:val="center"/>
          </w:tcPr>
          <w:p w:rsidR="00BF1957" w:rsidRDefault="00034B12">
            <w:r>
              <w:rPr>
                <w:color w:val="000000"/>
              </w:rPr>
              <w:t>TS</w:t>
            </w:r>
          </w:p>
        </w:tc>
        <w:tc>
          <w:tcPr>
            <w:tcW w:w="0" w:type="auto"/>
            <w:shd w:val="clear" w:color="auto" w:fill="FFFFFF"/>
            <w:vAlign w:val="center"/>
          </w:tcPr>
          <w:p w:rsidR="00BF1957" w:rsidRDefault="00034B12">
            <w:r>
              <w:rPr>
                <w:color w:val="000000"/>
              </w:rPr>
              <w:t>Trial Summary</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Trial Design</w:t>
            </w:r>
          </w:p>
        </w:tc>
      </w:tr>
      <w:tr w:rsidR="00BF1957">
        <w:tc>
          <w:tcPr>
            <w:tcW w:w="0" w:type="auto"/>
            <w:shd w:val="clear" w:color="auto" w:fill="FFFFFF"/>
            <w:vAlign w:val="center"/>
          </w:tcPr>
          <w:p w:rsidR="00BF1957" w:rsidRDefault="00034B12">
            <w:r>
              <w:rPr>
                <w:color w:val="000000"/>
              </w:rPr>
              <w:t>TX</w:t>
            </w:r>
          </w:p>
        </w:tc>
        <w:tc>
          <w:tcPr>
            <w:tcW w:w="0" w:type="auto"/>
            <w:shd w:val="clear" w:color="auto" w:fill="FFFFFF"/>
            <w:vAlign w:val="center"/>
          </w:tcPr>
          <w:p w:rsidR="00BF1957" w:rsidRDefault="00034B12">
            <w:r>
              <w:rPr>
                <w:color w:val="000000"/>
              </w:rPr>
              <w:t>Trial Sets</w:t>
            </w:r>
          </w:p>
        </w:tc>
        <w:tc>
          <w:tcPr>
            <w:tcW w:w="0" w:type="auto"/>
            <w:shd w:val="clear" w:color="auto" w:fill="FFFFFF"/>
            <w:vAlign w:val="center"/>
          </w:tcPr>
          <w:p w:rsidR="00BF1957" w:rsidRDefault="00BF1957"/>
        </w:tc>
        <w:tc>
          <w:tcPr>
            <w:tcW w:w="0" w:type="auto"/>
            <w:shd w:val="clear" w:color="auto" w:fill="FFFFFF"/>
            <w:vAlign w:val="center"/>
          </w:tcPr>
          <w:p w:rsidR="00BF1957" w:rsidRDefault="00BF1957"/>
        </w:tc>
        <w:tc>
          <w:tcPr>
            <w:tcW w:w="0" w:type="auto"/>
            <w:shd w:val="clear" w:color="auto" w:fill="FFFFFF"/>
            <w:vAlign w:val="center"/>
          </w:tcPr>
          <w:p w:rsidR="00BF1957" w:rsidRDefault="00034B12">
            <w:r>
              <w:rPr>
                <w:color w:val="000000"/>
              </w:rPr>
              <w:t>Trial Design</w:t>
            </w:r>
          </w:p>
        </w:tc>
      </w:tr>
    </w:tbl>
    <w:p w:rsidR="00BF1957" w:rsidRDefault="00034B12" w:rsidP="00334629">
      <w:pPr>
        <w:pStyle w:val="Heading2"/>
      </w:pPr>
      <w:bookmarkStart w:id="15" w:name="_Toc489619600"/>
      <w:r>
        <w:rPr>
          <w:color w:val="000000"/>
          <w:sz w:val="22"/>
        </w:rPr>
        <w:t>4.2 Dataset Explanation</w:t>
      </w:r>
      <w:bookmarkEnd w:id="15"/>
    </w:p>
    <w:p w:rsidR="00BF1957" w:rsidRDefault="00034B12">
      <w:pPr>
        <w:pStyle w:val="Heading2"/>
      </w:pPr>
      <w:bookmarkStart w:id="16" w:name="_Toc489619601"/>
      <w:r>
        <w:rPr>
          <w:color w:val="000000"/>
          <w:sz w:val="22"/>
        </w:rPr>
        <w:t>4.3 Use of Supplemental Qualifiers</w:t>
      </w:r>
      <w:bookmarkEnd w:id="16"/>
    </w:p>
    <w:tbl>
      <w:tblPr>
        <w:tblStyle w:val="TableGrid"/>
        <w:tblW w:w="0" w:type="auto"/>
        <w:tblLook w:val="04A0" w:firstRow="1" w:lastRow="0" w:firstColumn="1" w:lastColumn="0" w:noHBand="0" w:noVBand="1"/>
      </w:tblPr>
      <w:tblGrid>
        <w:gridCol w:w="1516"/>
        <w:gridCol w:w="2138"/>
        <w:gridCol w:w="4214"/>
      </w:tblGrid>
      <w:tr w:rsidR="00BF1957">
        <w:tc>
          <w:tcPr>
            <w:tcW w:w="0" w:type="auto"/>
            <w:shd w:val="clear" w:color="auto" w:fill="BEBEBE"/>
            <w:vAlign w:val="center"/>
          </w:tcPr>
          <w:p w:rsidR="00BF1957" w:rsidRDefault="00034B12">
            <w:r>
              <w:rPr>
                <w:b/>
                <w:color w:val="000000"/>
              </w:rPr>
              <w:t>Dataset Name</w:t>
            </w:r>
          </w:p>
        </w:tc>
        <w:tc>
          <w:tcPr>
            <w:tcW w:w="0" w:type="auto"/>
            <w:shd w:val="clear" w:color="auto" w:fill="BEBEBE"/>
            <w:vAlign w:val="center"/>
          </w:tcPr>
          <w:p w:rsidR="00BF1957" w:rsidRDefault="00034B12">
            <w:r>
              <w:rPr>
                <w:b/>
                <w:color w:val="000000"/>
              </w:rPr>
              <w:t>Associated Dataset</w:t>
            </w:r>
          </w:p>
        </w:tc>
        <w:tc>
          <w:tcPr>
            <w:tcW w:w="0" w:type="auto"/>
            <w:shd w:val="clear" w:color="auto" w:fill="BEBEBE"/>
            <w:vAlign w:val="center"/>
          </w:tcPr>
          <w:p w:rsidR="00BF1957" w:rsidRDefault="00034B12">
            <w:r>
              <w:rPr>
                <w:b/>
                <w:color w:val="000000"/>
              </w:rPr>
              <w:t>Qualifiers Used</w:t>
            </w:r>
          </w:p>
        </w:tc>
      </w:tr>
      <w:tr w:rsidR="00BF1957">
        <w:tc>
          <w:tcPr>
            <w:tcW w:w="0" w:type="auto"/>
            <w:shd w:val="clear" w:color="auto" w:fill="FFFFFF"/>
            <w:vAlign w:val="center"/>
          </w:tcPr>
          <w:p w:rsidR="00BF1957" w:rsidRDefault="00034B12">
            <w:r>
              <w:rPr>
                <w:color w:val="000000"/>
              </w:rPr>
              <w:t>SUPPMA</w:t>
            </w:r>
          </w:p>
        </w:tc>
        <w:tc>
          <w:tcPr>
            <w:tcW w:w="0" w:type="auto"/>
            <w:shd w:val="clear" w:color="auto" w:fill="FFFFFF"/>
            <w:vAlign w:val="center"/>
          </w:tcPr>
          <w:p w:rsidR="00BF1957" w:rsidRDefault="00034B12">
            <w:r>
              <w:rPr>
                <w:color w:val="000000"/>
              </w:rPr>
              <w:t>Macroscopic Findings</w:t>
            </w:r>
          </w:p>
        </w:tc>
        <w:tc>
          <w:tcPr>
            <w:tcW w:w="0" w:type="auto"/>
            <w:shd w:val="clear" w:color="auto" w:fill="FFFFFF"/>
            <w:vAlign w:val="center"/>
          </w:tcPr>
          <w:p w:rsidR="00BF1957" w:rsidRDefault="00E82AB6" w:rsidP="00EE5606">
            <w:r>
              <w:t xml:space="preserve">Result </w:t>
            </w:r>
            <w:r w:rsidRPr="008E4F05">
              <w:t>Modi</w:t>
            </w:r>
            <w:r>
              <w:t>fiers that were part of MAORRES</w:t>
            </w:r>
          </w:p>
        </w:tc>
      </w:tr>
      <w:tr w:rsidR="00BF1957">
        <w:tc>
          <w:tcPr>
            <w:tcW w:w="0" w:type="auto"/>
            <w:shd w:val="clear" w:color="auto" w:fill="FFFFFF"/>
            <w:vAlign w:val="center"/>
          </w:tcPr>
          <w:p w:rsidR="00BF1957" w:rsidRDefault="00034B12">
            <w:r>
              <w:rPr>
                <w:color w:val="000000"/>
              </w:rPr>
              <w:t>SUPPMI</w:t>
            </w:r>
          </w:p>
        </w:tc>
        <w:tc>
          <w:tcPr>
            <w:tcW w:w="0" w:type="auto"/>
            <w:shd w:val="clear" w:color="auto" w:fill="FFFFFF"/>
            <w:vAlign w:val="center"/>
          </w:tcPr>
          <w:p w:rsidR="00BF1957" w:rsidRDefault="00034B12">
            <w:r>
              <w:rPr>
                <w:color w:val="000000"/>
              </w:rPr>
              <w:t>Microscopic Findings</w:t>
            </w:r>
          </w:p>
        </w:tc>
        <w:tc>
          <w:tcPr>
            <w:tcW w:w="0" w:type="auto"/>
            <w:shd w:val="clear" w:color="auto" w:fill="FFFFFF"/>
            <w:vAlign w:val="center"/>
          </w:tcPr>
          <w:p w:rsidR="00BF1957" w:rsidRDefault="00E82AB6" w:rsidP="00EE5606">
            <w:r>
              <w:t xml:space="preserve">Result </w:t>
            </w:r>
            <w:r w:rsidRPr="008E4F05">
              <w:t>Modi</w:t>
            </w:r>
            <w:r>
              <w:t>fiers that were part of MIORRES</w:t>
            </w:r>
          </w:p>
        </w:tc>
      </w:tr>
    </w:tbl>
    <w:p w:rsidR="00BF1957" w:rsidRDefault="00BF1957"/>
    <w:p w:rsidR="00BF1957" w:rsidRDefault="00034B12">
      <w:pPr>
        <w:pStyle w:val="Heading1"/>
      </w:pPr>
      <w:bookmarkStart w:id="17" w:name="_Toc489619602"/>
      <w:r>
        <w:rPr>
          <w:color w:val="000000"/>
          <w:sz w:val="22"/>
        </w:rPr>
        <w:lastRenderedPageBreak/>
        <w:t>5. Data Standards Validation Rules, Versions, and Conformance Issues</w:t>
      </w:r>
      <w:bookmarkEnd w:id="17"/>
    </w:p>
    <w:p w:rsidR="00BF1957" w:rsidRDefault="00034B12">
      <w:pPr>
        <w:pStyle w:val="Heading2"/>
      </w:pPr>
      <w:bookmarkStart w:id="18" w:name="_Toc489619603"/>
      <w:r>
        <w:rPr>
          <w:color w:val="000000"/>
          <w:sz w:val="22"/>
        </w:rPr>
        <w:t>5.1 Validation Outcome Summary</w:t>
      </w:r>
      <w:bookmarkEnd w:id="18"/>
    </w:p>
    <w:p w:rsidR="00E82AB6" w:rsidRDefault="00E82AB6" w:rsidP="00E82AB6">
      <w:r>
        <w:t xml:space="preserve">No errors in the standardized dataset were identified. A total of </w:t>
      </w:r>
      <w:r w:rsidR="009262EC">
        <w:t>942</w:t>
      </w:r>
      <w:r w:rsidRPr="00AD21BC">
        <w:t xml:space="preserve"> </w:t>
      </w:r>
      <w:r>
        <w:t xml:space="preserve">warnings were identified by the Pinnacle 21 Community 2.2.1 Validator (formerly </w:t>
      </w:r>
      <w:proofErr w:type="spellStart"/>
      <w:r>
        <w:t>OpenCDISC</w:t>
      </w:r>
      <w:proofErr w:type="spellEnd"/>
      <w:r>
        <w:t>).</w:t>
      </w:r>
      <w:r w:rsidR="009262EC">
        <w:t xml:space="preserve"> A total of 367 errors and 5 warnings were identified by the Pinnacle 21 Community 2.2.1 Validator against define file rules.</w:t>
      </w:r>
    </w:p>
    <w:p w:rsidR="00BF1957" w:rsidRDefault="00E82AB6">
      <w:r>
        <w:t>A tot</w:t>
      </w:r>
      <w:r w:rsidR="009262EC">
        <w:t>al of 2436</w:t>
      </w:r>
      <w:r>
        <w:t xml:space="preserve"> warnings were identified by the FDA Nonclinical Validator Specifications version 2.1.</w:t>
      </w:r>
    </w:p>
    <w:p w:rsidR="00BF1957" w:rsidRDefault="00034B12">
      <w:pPr>
        <w:pStyle w:val="Heading2"/>
      </w:pPr>
      <w:bookmarkStart w:id="19" w:name="_Toc489619604"/>
      <w:r>
        <w:rPr>
          <w:color w:val="000000"/>
          <w:sz w:val="22"/>
        </w:rPr>
        <w:t>5.2 FDA SEND Validation Rules Version</w:t>
      </w:r>
      <w:bookmarkEnd w:id="19"/>
    </w:p>
    <w:p w:rsidR="00BF1957" w:rsidRDefault="00034B12">
      <w:pPr>
        <w:rPr>
          <w:color w:val="000000"/>
        </w:rPr>
      </w:pPr>
      <w:r>
        <w:rPr>
          <w:color w:val="000000"/>
        </w:rPr>
        <w:t>Rule conformance to SEND 3.0 was evaluated using FDA Specific SEND Validation Rules, Version 2.1</w:t>
      </w:r>
    </w:p>
    <w:p w:rsidR="009262EC" w:rsidRPr="009262EC" w:rsidRDefault="009262EC" w:rsidP="009262EC">
      <w:pPr>
        <w:pStyle w:val="Heading2"/>
        <w:rPr>
          <w:color w:val="auto"/>
          <w:sz w:val="24"/>
          <w:szCs w:val="24"/>
          <w:lang w:val="da-DK"/>
        </w:rPr>
      </w:pPr>
      <w:bookmarkStart w:id="20" w:name="_Toc445469190"/>
      <w:bookmarkStart w:id="21" w:name="_Toc476230329"/>
      <w:bookmarkStart w:id="22" w:name="_Toc489619605"/>
      <w:r w:rsidRPr="009262EC">
        <w:rPr>
          <w:color w:val="auto"/>
          <w:sz w:val="24"/>
          <w:szCs w:val="24"/>
          <w:lang w:val="da-DK"/>
        </w:rPr>
        <w:t>5.3 Errors</w:t>
      </w:r>
      <w:bookmarkEnd w:id="20"/>
      <w:bookmarkEnd w:id="21"/>
      <w:bookmarkEnd w:id="22"/>
      <w:r w:rsidRPr="009262EC">
        <w:rPr>
          <w:color w:val="auto"/>
          <w:sz w:val="24"/>
          <w:szCs w:val="24"/>
          <w:lang w:val="da-DK"/>
        </w:rPr>
        <w:t xml:space="preserve"> </w:t>
      </w:r>
    </w:p>
    <w:p w:rsidR="009262EC" w:rsidRPr="009262EC" w:rsidRDefault="009262EC" w:rsidP="009262EC">
      <w:pPr>
        <w:pStyle w:val="Heading3"/>
        <w:rPr>
          <w:color w:val="auto"/>
          <w:lang w:val="da-DK"/>
        </w:rPr>
      </w:pPr>
      <w:bookmarkStart w:id="23" w:name="_Toc445469191"/>
      <w:bookmarkStart w:id="24" w:name="_Toc476230330"/>
      <w:bookmarkStart w:id="25" w:name="_Toc489619606"/>
      <w:r w:rsidRPr="009262EC">
        <w:rPr>
          <w:color w:val="auto"/>
          <w:lang w:val="da-DK"/>
        </w:rPr>
        <w:t>5.3.1</w:t>
      </w:r>
      <w:r w:rsidRPr="009262EC">
        <w:rPr>
          <w:color w:val="auto"/>
          <w:lang w:val="da-DK"/>
        </w:rPr>
        <w:tab/>
        <w:t>Pinnacle21 Validator</w:t>
      </w:r>
      <w:bookmarkEnd w:id="23"/>
      <w:bookmarkEnd w:id="24"/>
      <w:bookmarkEnd w:id="25"/>
    </w:p>
    <w:p w:rsidR="009262EC" w:rsidRPr="00530A41" w:rsidRDefault="009262EC" w:rsidP="009262EC">
      <w:r w:rsidRPr="00530A41">
        <w:t>The following errors were reported by the Pinnacle 21 Validator for the define file.</w:t>
      </w:r>
    </w:p>
    <w:tbl>
      <w:tblPr>
        <w:tblStyle w:val="TableGrid"/>
        <w:tblW w:w="0" w:type="auto"/>
        <w:tblLook w:val="04A0" w:firstRow="1" w:lastRow="0" w:firstColumn="1" w:lastColumn="0" w:noHBand="0" w:noVBand="1"/>
      </w:tblPr>
      <w:tblGrid>
        <w:gridCol w:w="1314"/>
        <w:gridCol w:w="2716"/>
        <w:gridCol w:w="1572"/>
        <w:gridCol w:w="1030"/>
        <w:gridCol w:w="2914"/>
      </w:tblGrid>
      <w:tr w:rsidR="009262EC" w:rsidTr="004B47EC">
        <w:trPr>
          <w:tblHeader/>
        </w:trPr>
        <w:tc>
          <w:tcPr>
            <w:tcW w:w="1057" w:type="dxa"/>
            <w:shd w:val="clear" w:color="auto" w:fill="A6A6A6" w:themeFill="background1" w:themeFillShade="A6"/>
          </w:tcPr>
          <w:p w:rsidR="009262EC" w:rsidRPr="009341DC" w:rsidRDefault="009262EC" w:rsidP="004B47EC">
            <w:pPr>
              <w:rPr>
                <w:b/>
              </w:rPr>
            </w:pPr>
            <w:r w:rsidRPr="009341DC">
              <w:rPr>
                <w:b/>
              </w:rPr>
              <w:t xml:space="preserve">Rule </w:t>
            </w:r>
          </w:p>
        </w:tc>
        <w:tc>
          <w:tcPr>
            <w:tcW w:w="2716" w:type="dxa"/>
            <w:shd w:val="clear" w:color="auto" w:fill="A6A6A6" w:themeFill="background1" w:themeFillShade="A6"/>
          </w:tcPr>
          <w:p w:rsidR="009262EC" w:rsidRPr="009341DC" w:rsidRDefault="009262EC" w:rsidP="004B47EC">
            <w:pPr>
              <w:rPr>
                <w:b/>
              </w:rPr>
            </w:pPr>
            <w:r w:rsidRPr="009341DC">
              <w:rPr>
                <w:b/>
              </w:rPr>
              <w:t>Message</w:t>
            </w:r>
          </w:p>
        </w:tc>
        <w:tc>
          <w:tcPr>
            <w:tcW w:w="1319" w:type="dxa"/>
            <w:shd w:val="clear" w:color="auto" w:fill="A6A6A6" w:themeFill="background1" w:themeFillShade="A6"/>
          </w:tcPr>
          <w:p w:rsidR="009262EC" w:rsidRDefault="009262EC" w:rsidP="004B47EC">
            <w:pPr>
              <w:rPr>
                <w:b/>
              </w:rPr>
            </w:pPr>
            <w:r>
              <w:rPr>
                <w:b/>
              </w:rPr>
              <w:t>Domain(s)</w:t>
            </w:r>
          </w:p>
        </w:tc>
        <w:tc>
          <w:tcPr>
            <w:tcW w:w="1030" w:type="dxa"/>
            <w:shd w:val="clear" w:color="auto" w:fill="A6A6A6" w:themeFill="background1" w:themeFillShade="A6"/>
          </w:tcPr>
          <w:p w:rsidR="009262EC" w:rsidRPr="009341DC" w:rsidRDefault="009262EC" w:rsidP="004B47EC">
            <w:pPr>
              <w:rPr>
                <w:b/>
              </w:rPr>
            </w:pPr>
            <w:r>
              <w:rPr>
                <w:b/>
              </w:rPr>
              <w:t>Count</w:t>
            </w:r>
          </w:p>
        </w:tc>
        <w:tc>
          <w:tcPr>
            <w:tcW w:w="2914" w:type="dxa"/>
            <w:shd w:val="clear" w:color="auto" w:fill="A6A6A6" w:themeFill="background1" w:themeFillShade="A6"/>
          </w:tcPr>
          <w:p w:rsidR="009262EC" w:rsidRDefault="009262EC" w:rsidP="004B47EC">
            <w:pPr>
              <w:rPr>
                <w:b/>
              </w:rPr>
            </w:pPr>
            <w:r>
              <w:rPr>
                <w:b/>
              </w:rPr>
              <w:t>Explanation</w:t>
            </w:r>
          </w:p>
        </w:tc>
      </w:tr>
      <w:tr w:rsidR="009262EC" w:rsidRPr="00C3648B" w:rsidTr="004B47EC">
        <w:tc>
          <w:tcPr>
            <w:tcW w:w="1057" w:type="dxa"/>
          </w:tcPr>
          <w:p w:rsidR="009262EC" w:rsidRDefault="009262EC" w:rsidP="004B47EC">
            <w:r>
              <w:t>DD0038</w:t>
            </w:r>
          </w:p>
          <w:p w:rsidR="00222E52" w:rsidRPr="00C3648B" w:rsidRDefault="00222E52" w:rsidP="004B47EC">
            <w:r>
              <w:t>(Define.xml)</w:t>
            </w:r>
          </w:p>
        </w:tc>
        <w:tc>
          <w:tcPr>
            <w:tcW w:w="2716" w:type="dxa"/>
          </w:tcPr>
          <w:p w:rsidR="009262EC" w:rsidRDefault="009262EC" w:rsidP="004B47EC">
            <w:r w:rsidRPr="00CB3881">
              <w:t>Missing Value Level metadata for QVAL in Dataset 'SUPPMA'</w:t>
            </w:r>
          </w:p>
          <w:p w:rsidR="009262EC" w:rsidRPr="00C3648B" w:rsidRDefault="009262EC" w:rsidP="004B47EC">
            <w:r w:rsidRPr="00CB3881">
              <w:t>Missing Value Level meta</w:t>
            </w:r>
            <w:r>
              <w:t>data for QVAL in Dataset 'SUPPMI</w:t>
            </w:r>
            <w:r w:rsidRPr="00CB3881">
              <w:t>'</w:t>
            </w:r>
          </w:p>
        </w:tc>
        <w:tc>
          <w:tcPr>
            <w:tcW w:w="1319" w:type="dxa"/>
          </w:tcPr>
          <w:p w:rsidR="009262EC" w:rsidRPr="00C3648B" w:rsidRDefault="009262EC" w:rsidP="004B47EC">
            <w:r>
              <w:t>SUPPMA, SUPPMI</w:t>
            </w:r>
          </w:p>
        </w:tc>
        <w:tc>
          <w:tcPr>
            <w:tcW w:w="1030" w:type="dxa"/>
          </w:tcPr>
          <w:p w:rsidR="009262EC" w:rsidRPr="00C3648B" w:rsidRDefault="009262EC" w:rsidP="004B47EC">
            <w:r>
              <w:t>2</w:t>
            </w:r>
          </w:p>
        </w:tc>
        <w:tc>
          <w:tcPr>
            <w:tcW w:w="2914" w:type="dxa"/>
          </w:tcPr>
          <w:p w:rsidR="009262EC" w:rsidRPr="00C3648B" w:rsidRDefault="009262EC" w:rsidP="004B47EC">
            <w:r w:rsidRPr="004B0BA9">
              <w:t xml:space="preserve">Pinnacle rule </w:t>
            </w:r>
            <w:r>
              <w:t xml:space="preserve">based on </w:t>
            </w:r>
            <w:r w:rsidRPr="004B0BA9">
              <w:t>the PMDA published define rules for clinical</w:t>
            </w:r>
            <w:r>
              <w:t xml:space="preserve"> studies. </w:t>
            </w:r>
            <w:r w:rsidRPr="00C3648B">
              <w:t>We therefor</w:t>
            </w:r>
            <w:r>
              <w:t>e do not consider these errors</w:t>
            </w:r>
            <w:r w:rsidRPr="00C3648B">
              <w:t xml:space="preserve"> to be applicable</w:t>
            </w:r>
          </w:p>
        </w:tc>
      </w:tr>
      <w:tr w:rsidR="009262EC" w:rsidRPr="00C3648B" w:rsidTr="004B47EC">
        <w:tc>
          <w:tcPr>
            <w:tcW w:w="1057" w:type="dxa"/>
          </w:tcPr>
          <w:p w:rsidR="009262EC" w:rsidRDefault="0032211A" w:rsidP="004B47EC">
            <w:r w:rsidRPr="0032211A">
              <w:t>DD0034</w:t>
            </w:r>
          </w:p>
          <w:p w:rsidR="00222E52" w:rsidRDefault="00222E52" w:rsidP="004B47EC">
            <w:r>
              <w:t>(Define.xml)</w:t>
            </w:r>
          </w:p>
        </w:tc>
        <w:tc>
          <w:tcPr>
            <w:tcW w:w="2716" w:type="dxa"/>
          </w:tcPr>
          <w:p w:rsidR="009262EC" w:rsidRDefault="0032211A" w:rsidP="004B47EC">
            <w:r w:rsidRPr="0032211A">
              <w:t xml:space="preserve">Unknown NCI Code value for Term in </w:t>
            </w:r>
            <w:proofErr w:type="spellStart"/>
            <w:r w:rsidRPr="0032211A">
              <w:t>Codelist</w:t>
            </w:r>
            <w:proofErr w:type="spellEnd"/>
            <w:r w:rsidRPr="0032211A">
              <w:t xml:space="preserve"> 'Specimen'</w:t>
            </w:r>
          </w:p>
          <w:p w:rsidR="0032211A" w:rsidRPr="00CB3881" w:rsidRDefault="0032211A" w:rsidP="004B47EC">
            <w:r w:rsidRPr="0032211A">
              <w:t xml:space="preserve">Unknown NCI Code value for Term in </w:t>
            </w:r>
            <w:proofErr w:type="spellStart"/>
            <w:r w:rsidRPr="0032211A">
              <w:t>Codelist</w:t>
            </w:r>
            <w:proofErr w:type="spellEnd"/>
            <w:r w:rsidRPr="0032211A">
              <w:t xml:space="preserve"> 'SEND Trial Summary Parameter Test Name'</w:t>
            </w:r>
          </w:p>
        </w:tc>
        <w:tc>
          <w:tcPr>
            <w:tcW w:w="1319" w:type="dxa"/>
          </w:tcPr>
          <w:p w:rsidR="009262EC" w:rsidRDefault="0032211A" w:rsidP="004B47EC">
            <w:r>
              <w:t>MA/MI/</w:t>
            </w:r>
            <w:r w:rsidR="00222E52">
              <w:t>OM/</w:t>
            </w:r>
            <w:r>
              <w:t>TS</w:t>
            </w:r>
          </w:p>
        </w:tc>
        <w:tc>
          <w:tcPr>
            <w:tcW w:w="1030" w:type="dxa"/>
          </w:tcPr>
          <w:p w:rsidR="009262EC" w:rsidRDefault="0032211A" w:rsidP="004B47EC">
            <w:r>
              <w:t>95</w:t>
            </w:r>
          </w:p>
        </w:tc>
        <w:tc>
          <w:tcPr>
            <w:tcW w:w="2914" w:type="dxa"/>
          </w:tcPr>
          <w:p w:rsidR="009262EC" w:rsidRPr="00C3648B" w:rsidRDefault="0032211A" w:rsidP="004B47EC">
            <w:r>
              <w:t>The NCI Code value present in the define file for each specimen or TSPARM are correct according to the Controlled Terminology list used in the study.</w:t>
            </w:r>
          </w:p>
        </w:tc>
      </w:tr>
      <w:tr w:rsidR="009262EC" w:rsidRPr="00C3648B" w:rsidTr="004B47EC">
        <w:tc>
          <w:tcPr>
            <w:tcW w:w="1057" w:type="dxa"/>
          </w:tcPr>
          <w:p w:rsidR="009262EC" w:rsidRDefault="009262EC" w:rsidP="004B47EC">
            <w:r>
              <w:t>DD0073</w:t>
            </w:r>
          </w:p>
          <w:p w:rsidR="00222E52" w:rsidRDefault="00222E52" w:rsidP="004B47EC">
            <w:r>
              <w:t>(Define.xml)</w:t>
            </w:r>
          </w:p>
        </w:tc>
        <w:tc>
          <w:tcPr>
            <w:tcW w:w="2716" w:type="dxa"/>
          </w:tcPr>
          <w:p w:rsidR="009262EC" w:rsidRPr="00CB3881" w:rsidRDefault="009262EC" w:rsidP="004B47EC">
            <w:r w:rsidRPr="00BA03F0">
              <w:t>Invalid Origin Type value</w:t>
            </w:r>
          </w:p>
        </w:tc>
        <w:tc>
          <w:tcPr>
            <w:tcW w:w="1319" w:type="dxa"/>
          </w:tcPr>
          <w:p w:rsidR="009262EC" w:rsidRDefault="009262EC" w:rsidP="004B47EC">
            <w:r>
              <w:t>All</w:t>
            </w:r>
          </w:p>
        </w:tc>
        <w:tc>
          <w:tcPr>
            <w:tcW w:w="1030" w:type="dxa"/>
          </w:tcPr>
          <w:p w:rsidR="009262EC" w:rsidRDefault="009262EC" w:rsidP="004B47EC">
            <w:r>
              <w:t>247</w:t>
            </w:r>
          </w:p>
        </w:tc>
        <w:tc>
          <w:tcPr>
            <w:tcW w:w="2914" w:type="dxa"/>
          </w:tcPr>
          <w:p w:rsidR="009262EC" w:rsidRDefault="009262EC" w:rsidP="004B47EC">
            <w:r w:rsidRPr="00BA03F0">
              <w:t xml:space="preserve">Pinnacle validator is </w:t>
            </w:r>
            <w:r>
              <w:t xml:space="preserve">using </w:t>
            </w:r>
            <w:r w:rsidRPr="00BA03F0">
              <w:t>the PMDA defined rules that are not applicable for SEND.</w:t>
            </w:r>
            <w:r>
              <w:t xml:space="preserve"> </w:t>
            </w:r>
            <w:r w:rsidRPr="00BA03F0">
              <w:t>As per SEND IG</w:t>
            </w:r>
            <w:r>
              <w:t xml:space="preserve"> 3.0</w:t>
            </w:r>
            <w:r w:rsidRPr="00BA03F0">
              <w:t>, the allowed Origin values are “COLLECTED”, “DERIVED</w:t>
            </w:r>
            <w:r>
              <w:t xml:space="preserve">”, “OTHER” and “NOT AVAILABLE” (Section 3.2.2.1, </w:t>
            </w:r>
            <w:r w:rsidRPr="00BA03F0">
              <w:t>page 19</w:t>
            </w:r>
            <w:r>
              <w:t xml:space="preserve">). </w:t>
            </w:r>
          </w:p>
        </w:tc>
      </w:tr>
    </w:tbl>
    <w:p w:rsidR="009262EC" w:rsidRDefault="009262EC"/>
    <w:p w:rsidR="00BF1957" w:rsidRDefault="00034B12" w:rsidP="0032211A">
      <w:pPr>
        <w:pStyle w:val="Heading2"/>
        <w:numPr>
          <w:ilvl w:val="1"/>
          <w:numId w:val="5"/>
        </w:numPr>
        <w:rPr>
          <w:color w:val="000000"/>
          <w:sz w:val="22"/>
        </w:rPr>
      </w:pPr>
      <w:bookmarkStart w:id="26" w:name="_Toc489619607"/>
      <w:r>
        <w:rPr>
          <w:color w:val="000000"/>
          <w:sz w:val="22"/>
        </w:rPr>
        <w:lastRenderedPageBreak/>
        <w:t>Warnings</w:t>
      </w:r>
      <w:bookmarkEnd w:id="26"/>
    </w:p>
    <w:p w:rsidR="0032211A" w:rsidRPr="0032211A" w:rsidRDefault="0032211A" w:rsidP="0032211A">
      <w:pPr>
        <w:pStyle w:val="Heading3"/>
        <w:keepLines w:val="0"/>
        <w:tabs>
          <w:tab w:val="left" w:pos="864"/>
        </w:tabs>
        <w:spacing w:before="240" w:after="60" w:line="240" w:lineRule="auto"/>
        <w:rPr>
          <w:color w:val="auto"/>
        </w:rPr>
      </w:pPr>
      <w:bookmarkStart w:id="27" w:name="_Toc476230333"/>
      <w:bookmarkStart w:id="28" w:name="_Toc489619608"/>
      <w:r w:rsidRPr="0032211A">
        <w:rPr>
          <w:color w:val="auto"/>
        </w:rPr>
        <w:t>5.4.1 Pinnacle21 Validator</w:t>
      </w:r>
      <w:bookmarkEnd w:id="27"/>
      <w:bookmarkEnd w:id="28"/>
    </w:p>
    <w:p w:rsidR="0032211A" w:rsidRDefault="0032211A" w:rsidP="0032211A">
      <w:pPr>
        <w:rPr>
          <w:lang w:val="da-DK"/>
        </w:rPr>
      </w:pPr>
      <w:r>
        <w:rPr>
          <w:lang w:val="da-DK"/>
        </w:rPr>
        <w:t>The following warnings were reported by the Pinnacle 21 Validator:</w:t>
      </w:r>
    </w:p>
    <w:tbl>
      <w:tblPr>
        <w:tblStyle w:val="TableGrid"/>
        <w:tblW w:w="0" w:type="auto"/>
        <w:tblLook w:val="04A0" w:firstRow="1" w:lastRow="0" w:firstColumn="1" w:lastColumn="0" w:noHBand="0" w:noVBand="1"/>
      </w:tblPr>
      <w:tblGrid>
        <w:gridCol w:w="1314"/>
        <w:gridCol w:w="2716"/>
        <w:gridCol w:w="1319"/>
        <w:gridCol w:w="1030"/>
        <w:gridCol w:w="2914"/>
      </w:tblGrid>
      <w:tr w:rsidR="0032211A" w:rsidTr="008803D3">
        <w:trPr>
          <w:tblHeader/>
        </w:trPr>
        <w:tc>
          <w:tcPr>
            <w:tcW w:w="1314" w:type="dxa"/>
            <w:shd w:val="clear" w:color="auto" w:fill="A6A6A6" w:themeFill="background1" w:themeFillShade="A6"/>
          </w:tcPr>
          <w:p w:rsidR="0032211A" w:rsidRPr="009341DC" w:rsidRDefault="0032211A" w:rsidP="004B47EC">
            <w:pPr>
              <w:rPr>
                <w:b/>
              </w:rPr>
            </w:pPr>
            <w:r w:rsidRPr="009341DC">
              <w:rPr>
                <w:b/>
              </w:rPr>
              <w:t xml:space="preserve">Rule </w:t>
            </w:r>
          </w:p>
        </w:tc>
        <w:tc>
          <w:tcPr>
            <w:tcW w:w="2716" w:type="dxa"/>
            <w:shd w:val="clear" w:color="auto" w:fill="A6A6A6" w:themeFill="background1" w:themeFillShade="A6"/>
          </w:tcPr>
          <w:p w:rsidR="0032211A" w:rsidRPr="009341DC" w:rsidRDefault="0032211A" w:rsidP="004B47EC">
            <w:pPr>
              <w:rPr>
                <w:b/>
              </w:rPr>
            </w:pPr>
            <w:r w:rsidRPr="009341DC">
              <w:rPr>
                <w:b/>
              </w:rPr>
              <w:t>Message</w:t>
            </w:r>
          </w:p>
        </w:tc>
        <w:tc>
          <w:tcPr>
            <w:tcW w:w="1319" w:type="dxa"/>
            <w:shd w:val="clear" w:color="auto" w:fill="A6A6A6" w:themeFill="background1" w:themeFillShade="A6"/>
          </w:tcPr>
          <w:p w:rsidR="0032211A" w:rsidRDefault="0032211A" w:rsidP="004B47EC">
            <w:pPr>
              <w:rPr>
                <w:b/>
              </w:rPr>
            </w:pPr>
            <w:r>
              <w:rPr>
                <w:b/>
              </w:rPr>
              <w:t>Domain(s)</w:t>
            </w:r>
          </w:p>
        </w:tc>
        <w:tc>
          <w:tcPr>
            <w:tcW w:w="1030" w:type="dxa"/>
            <w:shd w:val="clear" w:color="auto" w:fill="A6A6A6" w:themeFill="background1" w:themeFillShade="A6"/>
          </w:tcPr>
          <w:p w:rsidR="0032211A" w:rsidRPr="009341DC" w:rsidRDefault="0032211A" w:rsidP="004B47EC">
            <w:pPr>
              <w:rPr>
                <w:b/>
              </w:rPr>
            </w:pPr>
            <w:r>
              <w:rPr>
                <w:b/>
              </w:rPr>
              <w:t>Count</w:t>
            </w:r>
          </w:p>
        </w:tc>
        <w:tc>
          <w:tcPr>
            <w:tcW w:w="2914" w:type="dxa"/>
            <w:shd w:val="clear" w:color="auto" w:fill="A6A6A6" w:themeFill="background1" w:themeFillShade="A6"/>
          </w:tcPr>
          <w:p w:rsidR="0032211A" w:rsidRDefault="0032211A" w:rsidP="004B47EC">
            <w:pPr>
              <w:rPr>
                <w:b/>
              </w:rPr>
            </w:pPr>
            <w:r>
              <w:rPr>
                <w:b/>
              </w:rPr>
              <w:t>Explanation</w:t>
            </w:r>
          </w:p>
        </w:tc>
      </w:tr>
      <w:tr w:rsidR="0032211A" w:rsidTr="008803D3">
        <w:tc>
          <w:tcPr>
            <w:tcW w:w="1314" w:type="dxa"/>
          </w:tcPr>
          <w:p w:rsidR="0032211A" w:rsidRPr="00C3648B" w:rsidRDefault="0032211A" w:rsidP="004B47EC">
            <w:r w:rsidRPr="00C3648B">
              <w:t>FDAN212</w:t>
            </w:r>
          </w:p>
        </w:tc>
        <w:tc>
          <w:tcPr>
            <w:tcW w:w="2716" w:type="dxa"/>
          </w:tcPr>
          <w:p w:rsidR="0032211A" w:rsidRPr="00C3648B" w:rsidRDefault="0032211A" w:rsidP="004B47EC">
            <w:r w:rsidRPr="00C3648B">
              <w:t>Duplicate Records</w:t>
            </w:r>
          </w:p>
        </w:tc>
        <w:tc>
          <w:tcPr>
            <w:tcW w:w="1319" w:type="dxa"/>
          </w:tcPr>
          <w:p w:rsidR="0032211A" w:rsidRPr="00C3648B" w:rsidRDefault="0032211A" w:rsidP="004B47EC">
            <w:r>
              <w:t>FW, MA, MI</w:t>
            </w:r>
          </w:p>
        </w:tc>
        <w:tc>
          <w:tcPr>
            <w:tcW w:w="1030" w:type="dxa"/>
          </w:tcPr>
          <w:p w:rsidR="0032211A" w:rsidRPr="00C3648B" w:rsidRDefault="0032211A" w:rsidP="004B47EC">
            <w:r>
              <w:t>242</w:t>
            </w:r>
          </w:p>
        </w:tc>
        <w:tc>
          <w:tcPr>
            <w:tcW w:w="2914" w:type="dxa"/>
          </w:tcPr>
          <w:p w:rsidR="0032211A" w:rsidRPr="00C3648B" w:rsidRDefault="0032211A" w:rsidP="004B47EC">
            <w:r w:rsidRPr="00C3648B">
              <w:t xml:space="preserve">This Rule does not include a sufficient number of variables to determine uniqueness. For example, neither –ORRES nor </w:t>
            </w:r>
            <w:r>
              <w:t>–DY, nor other timing variables other than --DTC were included</w:t>
            </w:r>
            <w:r w:rsidRPr="00C3648B">
              <w:t>. We therefore do not consider these warnings to be applicable.</w:t>
            </w:r>
          </w:p>
        </w:tc>
      </w:tr>
      <w:tr w:rsidR="0032211A" w:rsidRPr="00D762A5" w:rsidTr="008803D3">
        <w:tc>
          <w:tcPr>
            <w:tcW w:w="1314" w:type="dxa"/>
          </w:tcPr>
          <w:p w:rsidR="0032211A" w:rsidRPr="00C3648B" w:rsidRDefault="0032211A" w:rsidP="004B47EC">
            <w:r w:rsidRPr="00C3648B">
              <w:t>FDAN341</w:t>
            </w:r>
          </w:p>
        </w:tc>
        <w:tc>
          <w:tcPr>
            <w:tcW w:w="2716" w:type="dxa"/>
          </w:tcPr>
          <w:p w:rsidR="0032211A" w:rsidRPr="00C3648B" w:rsidRDefault="0032211A" w:rsidP="004B47EC">
            <w:r w:rsidRPr="00C3648B">
              <w:t xml:space="preserve">TSPARMCD value not found in 'SEND Trial Summary Parameter Test Code' extensible </w:t>
            </w:r>
            <w:proofErr w:type="spellStart"/>
            <w:r w:rsidRPr="00C3648B">
              <w:t>codelist</w:t>
            </w:r>
            <w:proofErr w:type="spellEnd"/>
          </w:p>
          <w:p w:rsidR="0032211A" w:rsidRPr="00C3648B" w:rsidRDefault="0032211A" w:rsidP="004B47EC">
            <w:r w:rsidRPr="00C3648B">
              <w:t xml:space="preserve">TSPARM value not found in 'SEND Trial Summary Parameter Test Name' extensible </w:t>
            </w:r>
            <w:proofErr w:type="spellStart"/>
            <w:r w:rsidRPr="00C3648B">
              <w:t>codelist</w:t>
            </w:r>
            <w:proofErr w:type="spellEnd"/>
          </w:p>
        </w:tc>
        <w:tc>
          <w:tcPr>
            <w:tcW w:w="1319" w:type="dxa"/>
          </w:tcPr>
          <w:p w:rsidR="0032211A" w:rsidRPr="00C3648B" w:rsidRDefault="0032211A" w:rsidP="004B47EC">
            <w:r w:rsidRPr="00C3648B">
              <w:t>TS</w:t>
            </w:r>
          </w:p>
        </w:tc>
        <w:tc>
          <w:tcPr>
            <w:tcW w:w="1030" w:type="dxa"/>
          </w:tcPr>
          <w:p w:rsidR="0032211A" w:rsidRPr="00C3648B" w:rsidRDefault="00CB0246" w:rsidP="004B47EC">
            <w:r>
              <w:t>6</w:t>
            </w:r>
          </w:p>
        </w:tc>
        <w:tc>
          <w:tcPr>
            <w:tcW w:w="2914" w:type="dxa"/>
          </w:tcPr>
          <w:p w:rsidR="0032211A" w:rsidRPr="00C3648B" w:rsidRDefault="0032211A" w:rsidP="00CB0246">
            <w:r w:rsidRPr="00C3648B">
              <w:t xml:space="preserve">TSPARM and TSPARMCD are extensible variables, and in order to capture study information not included in the </w:t>
            </w:r>
            <w:proofErr w:type="spellStart"/>
            <w:r w:rsidRPr="00C3648B">
              <w:t>codelist</w:t>
            </w:r>
            <w:proofErr w:type="spellEnd"/>
            <w:r w:rsidRPr="00C3648B">
              <w:t xml:space="preserve">, the parameter test names </w:t>
            </w:r>
            <w:r>
              <w:t>Lot Number,</w:t>
            </w:r>
            <w:r w:rsidRPr="00C3648B">
              <w:t xml:space="preserve"> Percent Purity of Compound, Quality Assurance type, </w:t>
            </w:r>
            <w:r>
              <w:t>LOT, QATYPE</w:t>
            </w:r>
            <w:r w:rsidR="00CB0246">
              <w:t xml:space="preserve">, </w:t>
            </w:r>
            <w:r>
              <w:t>TRTPUR</w:t>
            </w:r>
          </w:p>
        </w:tc>
      </w:tr>
      <w:tr w:rsidR="0032211A" w:rsidRPr="00D762A5" w:rsidTr="004B47EC">
        <w:tc>
          <w:tcPr>
            <w:tcW w:w="1057" w:type="dxa"/>
          </w:tcPr>
          <w:p w:rsidR="0032211A" w:rsidRDefault="0032211A" w:rsidP="004B47EC">
            <w:r w:rsidRPr="009D2A05">
              <w:t>FDAN341</w:t>
            </w:r>
          </w:p>
        </w:tc>
        <w:tc>
          <w:tcPr>
            <w:tcW w:w="2716" w:type="dxa"/>
          </w:tcPr>
          <w:p w:rsidR="0032211A" w:rsidRPr="001065AE" w:rsidRDefault="0032211A" w:rsidP="004B47EC">
            <w:r w:rsidRPr="009D2A05">
              <w:t xml:space="preserve">EGSTRESC value not found in 'ECG Result' extensible </w:t>
            </w:r>
            <w:proofErr w:type="spellStart"/>
            <w:r w:rsidRPr="009D2A05">
              <w:t>codelist</w:t>
            </w:r>
            <w:proofErr w:type="spellEnd"/>
          </w:p>
        </w:tc>
        <w:tc>
          <w:tcPr>
            <w:tcW w:w="1319" w:type="dxa"/>
          </w:tcPr>
          <w:p w:rsidR="0032211A" w:rsidRDefault="0032211A" w:rsidP="004B47EC">
            <w:r>
              <w:t>EG</w:t>
            </w:r>
          </w:p>
        </w:tc>
        <w:tc>
          <w:tcPr>
            <w:tcW w:w="1030" w:type="dxa"/>
          </w:tcPr>
          <w:p w:rsidR="0032211A" w:rsidRDefault="00CB0246" w:rsidP="004B47EC">
            <w:r>
              <w:t>354</w:t>
            </w:r>
          </w:p>
        </w:tc>
        <w:tc>
          <w:tcPr>
            <w:tcW w:w="2914" w:type="dxa"/>
          </w:tcPr>
          <w:p w:rsidR="0032211A" w:rsidRDefault="0032211A" w:rsidP="004B47EC">
            <w:r>
              <w:t xml:space="preserve">The values flagged are all numeric values which would not be included in </w:t>
            </w:r>
            <w:proofErr w:type="gramStart"/>
            <w:r>
              <w:t xml:space="preserve">a </w:t>
            </w:r>
            <w:proofErr w:type="spellStart"/>
            <w:r>
              <w:t>codelist</w:t>
            </w:r>
            <w:proofErr w:type="spellEnd"/>
            <w:proofErr w:type="gramEnd"/>
            <w:r>
              <w:t>. This is a bug in the Pinnacle 21 validator.</w:t>
            </w:r>
          </w:p>
        </w:tc>
      </w:tr>
      <w:tr w:rsidR="0032211A" w:rsidRPr="00D762A5" w:rsidTr="008803D3">
        <w:tc>
          <w:tcPr>
            <w:tcW w:w="1314" w:type="dxa"/>
          </w:tcPr>
          <w:p w:rsidR="0032211A" w:rsidRDefault="0032211A" w:rsidP="004B47EC">
            <w:r>
              <w:t>FDAN154</w:t>
            </w:r>
          </w:p>
        </w:tc>
        <w:tc>
          <w:tcPr>
            <w:tcW w:w="2716" w:type="dxa"/>
          </w:tcPr>
          <w:p w:rsidR="0032211A" w:rsidRPr="004D15B5" w:rsidRDefault="0032211A" w:rsidP="004B47EC">
            <w:r w:rsidRPr="00D447FB">
              <w:t>Missing value for LBORRESU, when LBORRES is provided</w:t>
            </w:r>
          </w:p>
        </w:tc>
        <w:tc>
          <w:tcPr>
            <w:tcW w:w="1319" w:type="dxa"/>
          </w:tcPr>
          <w:p w:rsidR="0032211A" w:rsidRDefault="0032211A" w:rsidP="004B47EC">
            <w:r>
              <w:t>LB</w:t>
            </w:r>
          </w:p>
        </w:tc>
        <w:tc>
          <w:tcPr>
            <w:tcW w:w="1030" w:type="dxa"/>
          </w:tcPr>
          <w:p w:rsidR="0032211A" w:rsidRDefault="00CB0246" w:rsidP="004B47EC">
            <w:r>
              <w:t>120</w:t>
            </w:r>
          </w:p>
        </w:tc>
        <w:tc>
          <w:tcPr>
            <w:tcW w:w="2914" w:type="dxa"/>
          </w:tcPr>
          <w:p w:rsidR="0032211A" w:rsidRDefault="0032211A" w:rsidP="004B47EC">
            <w:r w:rsidRPr="003119DA">
              <w:t>Certain LB parameters had qualitative results (</w:t>
            </w:r>
            <w:r>
              <w:t>Clarity</w:t>
            </w:r>
            <w:r w:rsidRPr="003119DA">
              <w:t>, Color, etc.) or do not have associated units (</w:t>
            </w:r>
            <w:r>
              <w:t>pH</w:t>
            </w:r>
            <w:r w:rsidRPr="003119DA">
              <w:t>, etc.).</w:t>
            </w:r>
            <w:r>
              <w:t xml:space="preserve"> Thus</w:t>
            </w:r>
            <w:r w:rsidRPr="003119DA">
              <w:t>, no unit was populated in ORRESU for these measurements.</w:t>
            </w:r>
          </w:p>
        </w:tc>
      </w:tr>
      <w:tr w:rsidR="0032211A" w:rsidRPr="00D762A5" w:rsidTr="008803D3">
        <w:tc>
          <w:tcPr>
            <w:tcW w:w="1314" w:type="dxa"/>
          </w:tcPr>
          <w:p w:rsidR="0032211A" w:rsidRDefault="0032211A" w:rsidP="004B47EC">
            <w:r>
              <w:t>FDAN169</w:t>
            </w:r>
          </w:p>
        </w:tc>
        <w:tc>
          <w:tcPr>
            <w:tcW w:w="2716" w:type="dxa"/>
          </w:tcPr>
          <w:p w:rsidR="0032211A" w:rsidRPr="004D15B5" w:rsidRDefault="0032211A" w:rsidP="004B47EC">
            <w:r w:rsidRPr="00D447FB">
              <w:t>Missing value for LBSTRESU, when LBSTRESC is provided</w:t>
            </w:r>
          </w:p>
        </w:tc>
        <w:tc>
          <w:tcPr>
            <w:tcW w:w="1319" w:type="dxa"/>
          </w:tcPr>
          <w:p w:rsidR="0032211A" w:rsidRDefault="0032211A" w:rsidP="004B47EC">
            <w:r>
              <w:t>LB</w:t>
            </w:r>
          </w:p>
        </w:tc>
        <w:tc>
          <w:tcPr>
            <w:tcW w:w="1030" w:type="dxa"/>
          </w:tcPr>
          <w:p w:rsidR="0032211A" w:rsidRDefault="00CB0246" w:rsidP="004B47EC">
            <w:r>
              <w:t>120</w:t>
            </w:r>
          </w:p>
        </w:tc>
        <w:tc>
          <w:tcPr>
            <w:tcW w:w="2914" w:type="dxa"/>
          </w:tcPr>
          <w:p w:rsidR="0032211A" w:rsidRDefault="0032211A" w:rsidP="004B47EC">
            <w:r w:rsidRPr="003119DA">
              <w:t>Certain LB parameters had qualitative results (</w:t>
            </w:r>
            <w:r>
              <w:t>Clarity</w:t>
            </w:r>
            <w:r w:rsidRPr="003119DA">
              <w:t>, Color, etc.) or do not have associated units (</w:t>
            </w:r>
            <w:r>
              <w:t>pH</w:t>
            </w:r>
            <w:r w:rsidRPr="003119DA">
              <w:t>, etc.).</w:t>
            </w:r>
            <w:r>
              <w:t xml:space="preserve"> Thus, no unit was populated in STRE</w:t>
            </w:r>
            <w:r w:rsidRPr="003119DA">
              <w:t>SU for these measurements.</w:t>
            </w:r>
          </w:p>
        </w:tc>
      </w:tr>
      <w:tr w:rsidR="0032211A" w:rsidRPr="00D762A5" w:rsidTr="008803D3">
        <w:tc>
          <w:tcPr>
            <w:tcW w:w="1314" w:type="dxa"/>
          </w:tcPr>
          <w:p w:rsidR="0032211A" w:rsidRDefault="0032211A" w:rsidP="004B47EC">
            <w:r>
              <w:t>FDAN232</w:t>
            </w:r>
          </w:p>
        </w:tc>
        <w:tc>
          <w:tcPr>
            <w:tcW w:w="2716" w:type="dxa"/>
          </w:tcPr>
          <w:p w:rsidR="0032211A" w:rsidRDefault="0032211A" w:rsidP="004B47EC">
            <w:r w:rsidRPr="00D07240">
              <w:t>No result modifier (--RESMOD) qualifier for MA domain</w:t>
            </w:r>
          </w:p>
          <w:p w:rsidR="0032211A" w:rsidRPr="004D15B5" w:rsidRDefault="0032211A" w:rsidP="004B47EC">
            <w:r w:rsidRPr="00D07240">
              <w:t>No result modifier (--</w:t>
            </w:r>
            <w:r w:rsidRPr="00D07240">
              <w:lastRenderedPageBreak/>
              <w:t>RESMOD) qualifier for MI domain</w:t>
            </w:r>
          </w:p>
        </w:tc>
        <w:tc>
          <w:tcPr>
            <w:tcW w:w="1319" w:type="dxa"/>
          </w:tcPr>
          <w:p w:rsidR="0032211A" w:rsidRDefault="0032211A" w:rsidP="004B47EC">
            <w:r>
              <w:lastRenderedPageBreak/>
              <w:t>MA, MI</w:t>
            </w:r>
          </w:p>
        </w:tc>
        <w:tc>
          <w:tcPr>
            <w:tcW w:w="1030" w:type="dxa"/>
          </w:tcPr>
          <w:p w:rsidR="0032211A" w:rsidRDefault="00CB0246" w:rsidP="004B47EC">
            <w:r>
              <w:t>99</w:t>
            </w:r>
          </w:p>
        </w:tc>
        <w:tc>
          <w:tcPr>
            <w:tcW w:w="2914" w:type="dxa"/>
          </w:tcPr>
          <w:p w:rsidR="0032211A" w:rsidRDefault="0032211A" w:rsidP="004B47EC">
            <w:r>
              <w:t xml:space="preserve">Not all Findings in MA or MI have modifiers in the original results, such as those listed as a single word or all text </w:t>
            </w:r>
            <w:r>
              <w:lastRenderedPageBreak/>
              <w:t>incorporated into the Standardized Result.</w:t>
            </w:r>
          </w:p>
        </w:tc>
      </w:tr>
      <w:tr w:rsidR="0032211A" w:rsidTr="008803D3">
        <w:tc>
          <w:tcPr>
            <w:tcW w:w="1314" w:type="dxa"/>
          </w:tcPr>
          <w:p w:rsidR="0032211A" w:rsidRDefault="00CB0246" w:rsidP="004B47EC">
            <w:r>
              <w:lastRenderedPageBreak/>
              <w:t>FDAN035</w:t>
            </w:r>
          </w:p>
        </w:tc>
        <w:tc>
          <w:tcPr>
            <w:tcW w:w="2716" w:type="dxa"/>
          </w:tcPr>
          <w:p w:rsidR="0032211A" w:rsidRPr="001065AE" w:rsidRDefault="00CB0246" w:rsidP="004B47EC">
            <w:r w:rsidRPr="00CB0246">
              <w:t>Variable is in wrong order within domain</w:t>
            </w:r>
          </w:p>
        </w:tc>
        <w:tc>
          <w:tcPr>
            <w:tcW w:w="1319" w:type="dxa"/>
          </w:tcPr>
          <w:p w:rsidR="0032211A" w:rsidRDefault="00CB0246" w:rsidP="004B47EC">
            <w:r>
              <w:t>EG</w:t>
            </w:r>
          </w:p>
        </w:tc>
        <w:tc>
          <w:tcPr>
            <w:tcW w:w="1030" w:type="dxa"/>
          </w:tcPr>
          <w:p w:rsidR="0032211A" w:rsidRDefault="00CB0246" w:rsidP="004B47EC">
            <w:r>
              <w:t>1</w:t>
            </w:r>
          </w:p>
        </w:tc>
        <w:tc>
          <w:tcPr>
            <w:tcW w:w="2914" w:type="dxa"/>
          </w:tcPr>
          <w:p w:rsidR="0032211A" w:rsidRDefault="008803D3" w:rsidP="004B47EC">
            <w:r w:rsidRPr="008803D3">
              <w:t>Pinnacle is expecting EGMETHOD before EGLEAD; but SEND IG 3.0 has EGLEAD before EGMETHOD. This order is wrong in SENDIG 3.0, but corrected in SENDIG 3.1. This does not affect reviewability of the EG data.</w:t>
            </w:r>
          </w:p>
        </w:tc>
      </w:tr>
      <w:tr w:rsidR="0032211A" w:rsidTr="008803D3">
        <w:tc>
          <w:tcPr>
            <w:tcW w:w="1314" w:type="dxa"/>
          </w:tcPr>
          <w:p w:rsidR="0032211A" w:rsidRPr="00C3648B" w:rsidRDefault="0032211A" w:rsidP="004B47EC">
            <w:r>
              <w:t>DD0059 (Define.xml)</w:t>
            </w:r>
          </w:p>
        </w:tc>
        <w:tc>
          <w:tcPr>
            <w:tcW w:w="2716" w:type="dxa"/>
          </w:tcPr>
          <w:p w:rsidR="0032211A" w:rsidRPr="00C3648B" w:rsidRDefault="0032211A" w:rsidP="004B47EC">
            <w:r w:rsidRPr="0059351D">
              <w:t>Define.xml/CDISC dataset Description mismatch</w:t>
            </w:r>
          </w:p>
        </w:tc>
        <w:tc>
          <w:tcPr>
            <w:tcW w:w="1319" w:type="dxa"/>
          </w:tcPr>
          <w:p w:rsidR="0032211A" w:rsidRPr="00C3648B" w:rsidRDefault="0032211A" w:rsidP="004B47EC">
            <w:r>
              <w:t>PP, PC, MA</w:t>
            </w:r>
          </w:p>
        </w:tc>
        <w:tc>
          <w:tcPr>
            <w:tcW w:w="1030" w:type="dxa"/>
          </w:tcPr>
          <w:p w:rsidR="0032211A" w:rsidRPr="00C3648B" w:rsidRDefault="0032211A" w:rsidP="004B47EC">
            <w:r>
              <w:t>3</w:t>
            </w:r>
          </w:p>
        </w:tc>
        <w:tc>
          <w:tcPr>
            <w:tcW w:w="2914" w:type="dxa"/>
          </w:tcPr>
          <w:p w:rsidR="0032211A" w:rsidRPr="00C3648B" w:rsidRDefault="0032211A" w:rsidP="004B47EC">
            <w:r w:rsidRPr="0059351D">
              <w:t>Issue with Pinnacle 21 validator where domain description is wrong.</w:t>
            </w:r>
            <w:r>
              <w:t xml:space="preserve"> </w:t>
            </w:r>
            <w:r w:rsidRPr="00C3648B">
              <w:t>We therefore do not consider these warnings to be applicable</w:t>
            </w:r>
          </w:p>
        </w:tc>
      </w:tr>
      <w:tr w:rsidR="008803D3" w:rsidTr="008803D3">
        <w:tc>
          <w:tcPr>
            <w:tcW w:w="1314" w:type="dxa"/>
          </w:tcPr>
          <w:p w:rsidR="008803D3" w:rsidRDefault="008803D3" w:rsidP="004B47EC">
            <w:r>
              <w:t>DD0024</w:t>
            </w:r>
          </w:p>
          <w:p w:rsidR="00E3439F" w:rsidRDefault="00E3439F" w:rsidP="004B47EC">
            <w:r>
              <w:t>(Define.xml)</w:t>
            </w:r>
          </w:p>
        </w:tc>
        <w:tc>
          <w:tcPr>
            <w:tcW w:w="2716" w:type="dxa"/>
          </w:tcPr>
          <w:p w:rsidR="008803D3" w:rsidRPr="0059351D" w:rsidRDefault="008803D3" w:rsidP="004B47EC">
            <w:r w:rsidRPr="008803D3">
              <w:t xml:space="preserve">Invalid Term in </w:t>
            </w:r>
            <w:proofErr w:type="spellStart"/>
            <w:r w:rsidRPr="008803D3">
              <w:t>Codelist</w:t>
            </w:r>
            <w:proofErr w:type="spellEnd"/>
            <w:r w:rsidRPr="008803D3">
              <w:t xml:space="preserve"> 'No Yes Response'</w:t>
            </w:r>
          </w:p>
        </w:tc>
        <w:tc>
          <w:tcPr>
            <w:tcW w:w="1319" w:type="dxa"/>
          </w:tcPr>
          <w:p w:rsidR="008803D3" w:rsidRDefault="008803D3" w:rsidP="004B47EC">
            <w:r>
              <w:t>N/A</w:t>
            </w:r>
          </w:p>
        </w:tc>
        <w:tc>
          <w:tcPr>
            <w:tcW w:w="1030" w:type="dxa"/>
          </w:tcPr>
          <w:p w:rsidR="008803D3" w:rsidRDefault="008803D3" w:rsidP="004B47EC">
            <w:r>
              <w:t>1</w:t>
            </w:r>
          </w:p>
        </w:tc>
        <w:tc>
          <w:tcPr>
            <w:tcW w:w="2914" w:type="dxa"/>
          </w:tcPr>
          <w:p w:rsidR="008803D3" w:rsidRPr="0059351D" w:rsidRDefault="008803D3" w:rsidP="004B47EC">
            <w:r>
              <w:t xml:space="preserve">‘N’ is a correct term in </w:t>
            </w:r>
            <w:proofErr w:type="spellStart"/>
            <w:r w:rsidRPr="008803D3">
              <w:t>Codelist</w:t>
            </w:r>
            <w:proofErr w:type="spellEnd"/>
            <w:r w:rsidRPr="008803D3">
              <w:t xml:space="preserve"> 'No Yes Response'</w:t>
            </w:r>
            <w:r>
              <w:t>, therefore this is a false positive</w:t>
            </w:r>
          </w:p>
        </w:tc>
      </w:tr>
      <w:tr w:rsidR="008803D3" w:rsidTr="008803D3">
        <w:tc>
          <w:tcPr>
            <w:tcW w:w="1314" w:type="dxa"/>
          </w:tcPr>
          <w:p w:rsidR="008803D3" w:rsidRDefault="008803D3" w:rsidP="004B47EC">
            <w:r>
              <w:t>DD0039</w:t>
            </w:r>
          </w:p>
          <w:p w:rsidR="00E3439F" w:rsidRDefault="00E3439F" w:rsidP="004B47EC">
            <w:r>
              <w:t>(Define.xml)</w:t>
            </w:r>
          </w:p>
        </w:tc>
        <w:tc>
          <w:tcPr>
            <w:tcW w:w="2716" w:type="dxa"/>
          </w:tcPr>
          <w:p w:rsidR="008803D3" w:rsidRPr="0059351D" w:rsidRDefault="008803D3" w:rsidP="004B47EC">
            <w:r w:rsidRPr="008803D3">
              <w:t>Variable is in wrong order within Dataset 'EG'</w:t>
            </w:r>
          </w:p>
        </w:tc>
        <w:tc>
          <w:tcPr>
            <w:tcW w:w="1319" w:type="dxa"/>
          </w:tcPr>
          <w:p w:rsidR="008803D3" w:rsidRDefault="008803D3" w:rsidP="004B47EC">
            <w:r>
              <w:t>EG</w:t>
            </w:r>
          </w:p>
        </w:tc>
        <w:tc>
          <w:tcPr>
            <w:tcW w:w="1030" w:type="dxa"/>
          </w:tcPr>
          <w:p w:rsidR="008803D3" w:rsidRDefault="008803D3" w:rsidP="004B47EC">
            <w:r>
              <w:t>1</w:t>
            </w:r>
          </w:p>
        </w:tc>
        <w:tc>
          <w:tcPr>
            <w:tcW w:w="2914" w:type="dxa"/>
          </w:tcPr>
          <w:p w:rsidR="008803D3" w:rsidRPr="0059351D" w:rsidRDefault="008803D3" w:rsidP="004B47EC">
            <w:r w:rsidRPr="008803D3">
              <w:t>Pinnacle is expecting EGMETHOD before EGLEAD; but SEND IG 3.0 has EGLEAD before EGMETHOD. This order is wrong in SENDIG 3.0, but corrected in SENDIG 3.1. This does not affect reviewability of the EG data.</w:t>
            </w:r>
          </w:p>
        </w:tc>
      </w:tr>
    </w:tbl>
    <w:p w:rsidR="0032211A" w:rsidRPr="0032211A" w:rsidRDefault="0032211A" w:rsidP="0032211A"/>
    <w:p w:rsidR="00BF1957" w:rsidRDefault="00034B12">
      <w:r>
        <w:rPr>
          <w:color w:val="000000"/>
        </w:rPr>
        <w:t>The following warnings were reported</w:t>
      </w:r>
      <w:r w:rsidR="00EF716C">
        <w:rPr>
          <w:color w:val="000000"/>
        </w:rPr>
        <w:t xml:space="preserve"> by the </w:t>
      </w:r>
      <w:r w:rsidR="00EF716C">
        <w:t>FDA Nonclinical rules Validator</w:t>
      </w:r>
      <w:r>
        <w:rPr>
          <w:color w:val="000000"/>
        </w:rPr>
        <w:t>:</w:t>
      </w:r>
    </w:p>
    <w:tbl>
      <w:tblPr>
        <w:tblStyle w:val="TableGrid"/>
        <w:tblW w:w="0" w:type="auto"/>
        <w:tblLook w:val="04A0" w:firstRow="1" w:lastRow="0" w:firstColumn="1" w:lastColumn="0" w:noHBand="0" w:noVBand="1"/>
      </w:tblPr>
      <w:tblGrid>
        <w:gridCol w:w="1057"/>
        <w:gridCol w:w="3461"/>
        <w:gridCol w:w="1170"/>
        <w:gridCol w:w="990"/>
        <w:gridCol w:w="2610"/>
      </w:tblGrid>
      <w:tr w:rsidR="00BF1957" w:rsidTr="00A42B6B">
        <w:trPr>
          <w:tblHeader/>
        </w:trPr>
        <w:tc>
          <w:tcPr>
            <w:tcW w:w="0" w:type="auto"/>
            <w:shd w:val="clear" w:color="auto" w:fill="BEBEBE"/>
            <w:vAlign w:val="center"/>
          </w:tcPr>
          <w:p w:rsidR="00BF1957" w:rsidRDefault="00034B12">
            <w:r>
              <w:rPr>
                <w:b/>
                <w:color w:val="000000"/>
              </w:rPr>
              <w:t>Rule</w:t>
            </w:r>
          </w:p>
        </w:tc>
        <w:tc>
          <w:tcPr>
            <w:tcW w:w="3461" w:type="dxa"/>
            <w:shd w:val="clear" w:color="auto" w:fill="BEBEBE"/>
            <w:vAlign w:val="center"/>
          </w:tcPr>
          <w:p w:rsidR="00BF1957" w:rsidRDefault="00034B12">
            <w:r>
              <w:rPr>
                <w:b/>
                <w:color w:val="000000"/>
              </w:rPr>
              <w:t>Message</w:t>
            </w:r>
          </w:p>
        </w:tc>
        <w:tc>
          <w:tcPr>
            <w:tcW w:w="1170" w:type="dxa"/>
            <w:shd w:val="clear" w:color="auto" w:fill="BEBEBE"/>
            <w:vAlign w:val="center"/>
          </w:tcPr>
          <w:p w:rsidR="00BF1957" w:rsidRDefault="00034B12">
            <w:r>
              <w:rPr>
                <w:b/>
                <w:color w:val="000000"/>
              </w:rPr>
              <w:t>Domain(s)</w:t>
            </w:r>
          </w:p>
        </w:tc>
        <w:tc>
          <w:tcPr>
            <w:tcW w:w="990" w:type="dxa"/>
            <w:shd w:val="clear" w:color="auto" w:fill="BEBEBE"/>
            <w:vAlign w:val="center"/>
          </w:tcPr>
          <w:p w:rsidR="00BF1957" w:rsidRDefault="00034B12">
            <w:r>
              <w:rPr>
                <w:b/>
                <w:color w:val="000000"/>
              </w:rPr>
              <w:t>Count</w:t>
            </w:r>
          </w:p>
        </w:tc>
        <w:tc>
          <w:tcPr>
            <w:tcW w:w="2610" w:type="dxa"/>
            <w:shd w:val="clear" w:color="auto" w:fill="BEBEBE"/>
            <w:vAlign w:val="center"/>
          </w:tcPr>
          <w:p w:rsidR="00BF1957" w:rsidRDefault="00034B12">
            <w:r>
              <w:rPr>
                <w:b/>
                <w:color w:val="000000"/>
              </w:rPr>
              <w:t>Explanation</w:t>
            </w:r>
          </w:p>
        </w:tc>
      </w:tr>
      <w:tr w:rsidR="00BF1957" w:rsidTr="00222E52">
        <w:tc>
          <w:tcPr>
            <w:tcW w:w="0" w:type="auto"/>
            <w:shd w:val="clear" w:color="auto" w:fill="FFFFFF"/>
            <w:vAlign w:val="center"/>
          </w:tcPr>
          <w:p w:rsidR="00BF1957" w:rsidRDefault="00034B12">
            <w:r>
              <w:rPr>
                <w:color w:val="000000"/>
              </w:rPr>
              <w:t>FDAN154</w:t>
            </w:r>
          </w:p>
        </w:tc>
        <w:tc>
          <w:tcPr>
            <w:tcW w:w="3461" w:type="dxa"/>
            <w:shd w:val="clear" w:color="auto" w:fill="FFFFFF"/>
            <w:vAlign w:val="center"/>
          </w:tcPr>
          <w:p w:rsidR="00BF1957" w:rsidRDefault="00034B12">
            <w:r>
              <w:rPr>
                <w:color w:val="000000"/>
              </w:rPr>
              <w:t>Missing value for LBORRESU, when LBORRES is provided</w:t>
            </w:r>
          </w:p>
        </w:tc>
        <w:tc>
          <w:tcPr>
            <w:tcW w:w="1170" w:type="dxa"/>
            <w:shd w:val="clear" w:color="auto" w:fill="FFFFFF"/>
            <w:vAlign w:val="center"/>
          </w:tcPr>
          <w:p w:rsidR="00BF1957" w:rsidRDefault="00034B12">
            <w:r>
              <w:rPr>
                <w:color w:val="000000"/>
              </w:rPr>
              <w:t>LB</w:t>
            </w:r>
          </w:p>
        </w:tc>
        <w:tc>
          <w:tcPr>
            <w:tcW w:w="990" w:type="dxa"/>
            <w:shd w:val="clear" w:color="auto" w:fill="FFFFFF"/>
            <w:vAlign w:val="center"/>
          </w:tcPr>
          <w:p w:rsidR="00BF1957" w:rsidRDefault="00034B12">
            <w:r>
              <w:rPr>
                <w:color w:val="000000"/>
              </w:rPr>
              <w:t>1099</w:t>
            </w:r>
          </w:p>
        </w:tc>
        <w:tc>
          <w:tcPr>
            <w:tcW w:w="2610" w:type="dxa"/>
            <w:shd w:val="clear" w:color="auto" w:fill="FFFFFF"/>
            <w:vAlign w:val="center"/>
          </w:tcPr>
          <w:p w:rsidR="00BF1957" w:rsidRDefault="00EF716C">
            <w:r w:rsidRPr="00EF716C">
              <w:t>Certain LB parameters had qualitative results (Clarity, Color, etc.) or do not have associated units (pH, etc.). Thus, no unit was populated in ORRESU for these measurements.</w:t>
            </w:r>
          </w:p>
        </w:tc>
      </w:tr>
      <w:tr w:rsidR="00BF1957" w:rsidTr="00222E52">
        <w:tc>
          <w:tcPr>
            <w:tcW w:w="0" w:type="auto"/>
            <w:shd w:val="clear" w:color="auto" w:fill="FFFFFF"/>
            <w:vAlign w:val="center"/>
          </w:tcPr>
          <w:p w:rsidR="00BF1957" w:rsidRDefault="00034B12">
            <w:r>
              <w:rPr>
                <w:color w:val="000000"/>
              </w:rPr>
              <w:t>FDAN169</w:t>
            </w:r>
          </w:p>
        </w:tc>
        <w:tc>
          <w:tcPr>
            <w:tcW w:w="3461" w:type="dxa"/>
            <w:shd w:val="clear" w:color="auto" w:fill="FFFFFF"/>
            <w:vAlign w:val="center"/>
          </w:tcPr>
          <w:p w:rsidR="00BF1957" w:rsidRDefault="00034B12">
            <w:r>
              <w:rPr>
                <w:color w:val="000000"/>
              </w:rPr>
              <w:t>Missing value for LBSTRESU, when LBSTRESC is provided</w:t>
            </w:r>
          </w:p>
        </w:tc>
        <w:tc>
          <w:tcPr>
            <w:tcW w:w="1170" w:type="dxa"/>
            <w:shd w:val="clear" w:color="auto" w:fill="FFFFFF"/>
            <w:vAlign w:val="center"/>
          </w:tcPr>
          <w:p w:rsidR="00BF1957" w:rsidRDefault="00034B12">
            <w:r>
              <w:rPr>
                <w:color w:val="000000"/>
              </w:rPr>
              <w:t>LB</w:t>
            </w:r>
          </w:p>
        </w:tc>
        <w:tc>
          <w:tcPr>
            <w:tcW w:w="990" w:type="dxa"/>
            <w:shd w:val="clear" w:color="auto" w:fill="FFFFFF"/>
            <w:vAlign w:val="center"/>
          </w:tcPr>
          <w:p w:rsidR="00BF1957" w:rsidRDefault="00034B12">
            <w:r>
              <w:rPr>
                <w:color w:val="000000"/>
              </w:rPr>
              <w:t>1099</w:t>
            </w:r>
          </w:p>
        </w:tc>
        <w:tc>
          <w:tcPr>
            <w:tcW w:w="2610" w:type="dxa"/>
            <w:shd w:val="clear" w:color="auto" w:fill="FFFFFF"/>
            <w:vAlign w:val="center"/>
          </w:tcPr>
          <w:p w:rsidR="00BF1957" w:rsidRDefault="00EF716C">
            <w:r w:rsidRPr="00EF716C">
              <w:t>Certain LB parameters had qualitative results (Clarity, Color, etc.) or do not have associated units (pH, etc.). Thus, no unit was populated in STRESU for these measurements.</w:t>
            </w:r>
          </w:p>
        </w:tc>
      </w:tr>
      <w:tr w:rsidR="00BF1957" w:rsidTr="00222E52">
        <w:tc>
          <w:tcPr>
            <w:tcW w:w="0" w:type="auto"/>
            <w:shd w:val="clear" w:color="auto" w:fill="FFFFFF"/>
            <w:vAlign w:val="center"/>
          </w:tcPr>
          <w:p w:rsidR="00BF1957" w:rsidRDefault="00034B12">
            <w:r>
              <w:rPr>
                <w:color w:val="000000"/>
              </w:rPr>
              <w:lastRenderedPageBreak/>
              <w:t>FDAN232</w:t>
            </w:r>
          </w:p>
        </w:tc>
        <w:tc>
          <w:tcPr>
            <w:tcW w:w="3461" w:type="dxa"/>
            <w:shd w:val="clear" w:color="auto" w:fill="FFFFFF"/>
            <w:vAlign w:val="center"/>
          </w:tcPr>
          <w:p w:rsidR="00BF1957" w:rsidRDefault="00034B12">
            <w:r>
              <w:rPr>
                <w:color w:val="000000"/>
              </w:rPr>
              <w:t xml:space="preserve">No result modifier (MARESMOD) </w:t>
            </w:r>
            <w:r w:rsidR="00EF716C">
              <w:rPr>
                <w:color w:val="000000"/>
              </w:rPr>
              <w:t>qualifier</w:t>
            </w:r>
            <w:r>
              <w:rPr>
                <w:color w:val="000000"/>
              </w:rPr>
              <w:t xml:space="preserve"> for domain</w:t>
            </w:r>
          </w:p>
        </w:tc>
        <w:tc>
          <w:tcPr>
            <w:tcW w:w="1170" w:type="dxa"/>
            <w:shd w:val="clear" w:color="auto" w:fill="FFFFFF"/>
            <w:vAlign w:val="center"/>
          </w:tcPr>
          <w:p w:rsidR="00BF1957" w:rsidRDefault="00034B12">
            <w:r>
              <w:rPr>
                <w:color w:val="000000"/>
              </w:rPr>
              <w:t>MA</w:t>
            </w:r>
          </w:p>
        </w:tc>
        <w:tc>
          <w:tcPr>
            <w:tcW w:w="990" w:type="dxa"/>
            <w:shd w:val="clear" w:color="auto" w:fill="FFFFFF"/>
            <w:vAlign w:val="center"/>
          </w:tcPr>
          <w:p w:rsidR="00BF1957" w:rsidRDefault="00034B12">
            <w:r>
              <w:rPr>
                <w:color w:val="000000"/>
              </w:rPr>
              <w:t>72</w:t>
            </w:r>
          </w:p>
        </w:tc>
        <w:tc>
          <w:tcPr>
            <w:tcW w:w="2610" w:type="dxa"/>
            <w:shd w:val="clear" w:color="auto" w:fill="FFFFFF"/>
            <w:vAlign w:val="center"/>
          </w:tcPr>
          <w:p w:rsidR="00BF1957" w:rsidRDefault="00EF716C">
            <w:r>
              <w:t>Not all Findings in MA</w:t>
            </w:r>
            <w:r w:rsidRPr="00EF716C">
              <w:t xml:space="preserve"> have modifiers in the original results, such as those listed as a single word or all text incorporated into the Standardized Result.</w:t>
            </w:r>
          </w:p>
        </w:tc>
      </w:tr>
      <w:tr w:rsidR="00BF1957" w:rsidTr="00222E52">
        <w:tc>
          <w:tcPr>
            <w:tcW w:w="0" w:type="auto"/>
            <w:shd w:val="clear" w:color="auto" w:fill="FFFFFF"/>
            <w:vAlign w:val="center"/>
          </w:tcPr>
          <w:p w:rsidR="00BF1957" w:rsidRDefault="00034B12">
            <w:r>
              <w:rPr>
                <w:color w:val="000000"/>
              </w:rPr>
              <w:t>FDAN232</w:t>
            </w:r>
          </w:p>
        </w:tc>
        <w:tc>
          <w:tcPr>
            <w:tcW w:w="3461" w:type="dxa"/>
            <w:shd w:val="clear" w:color="auto" w:fill="FFFFFF"/>
            <w:vAlign w:val="center"/>
          </w:tcPr>
          <w:p w:rsidR="00BF1957" w:rsidRDefault="00034B12">
            <w:r>
              <w:rPr>
                <w:color w:val="000000"/>
              </w:rPr>
              <w:t xml:space="preserve">No result modifier (MIRESMOD) </w:t>
            </w:r>
            <w:r w:rsidR="00EF716C">
              <w:rPr>
                <w:color w:val="000000"/>
              </w:rPr>
              <w:t>qualifier</w:t>
            </w:r>
            <w:r>
              <w:rPr>
                <w:color w:val="000000"/>
              </w:rPr>
              <w:t xml:space="preserve"> for domain</w:t>
            </w:r>
          </w:p>
        </w:tc>
        <w:tc>
          <w:tcPr>
            <w:tcW w:w="1170" w:type="dxa"/>
            <w:shd w:val="clear" w:color="auto" w:fill="FFFFFF"/>
            <w:vAlign w:val="center"/>
          </w:tcPr>
          <w:p w:rsidR="00BF1957" w:rsidRDefault="00034B12">
            <w:r>
              <w:rPr>
                <w:color w:val="000000"/>
              </w:rPr>
              <w:t>MI</w:t>
            </w:r>
          </w:p>
        </w:tc>
        <w:tc>
          <w:tcPr>
            <w:tcW w:w="990" w:type="dxa"/>
            <w:shd w:val="clear" w:color="auto" w:fill="FFFFFF"/>
            <w:vAlign w:val="center"/>
          </w:tcPr>
          <w:p w:rsidR="00BF1957" w:rsidRDefault="00034B12">
            <w:r>
              <w:rPr>
                <w:color w:val="000000"/>
              </w:rPr>
              <w:t>27</w:t>
            </w:r>
          </w:p>
        </w:tc>
        <w:tc>
          <w:tcPr>
            <w:tcW w:w="2610" w:type="dxa"/>
            <w:shd w:val="clear" w:color="auto" w:fill="FFFFFF"/>
            <w:vAlign w:val="center"/>
          </w:tcPr>
          <w:p w:rsidR="00BF1957" w:rsidRDefault="00EF716C" w:rsidP="00EF716C">
            <w:r w:rsidRPr="00EF716C">
              <w:t>Not all Findings in MI have modifiers in the original results, such as those listed as a single word or all text incorporated into the Standardized Result.</w:t>
            </w:r>
          </w:p>
        </w:tc>
      </w:tr>
      <w:tr w:rsidR="00BF1957" w:rsidTr="00222E52">
        <w:tc>
          <w:tcPr>
            <w:tcW w:w="0" w:type="auto"/>
            <w:shd w:val="clear" w:color="auto" w:fill="FFFFFF"/>
            <w:vAlign w:val="center"/>
          </w:tcPr>
          <w:p w:rsidR="00BF1957" w:rsidRDefault="00034B12">
            <w:r>
              <w:rPr>
                <w:color w:val="000000"/>
              </w:rPr>
              <w:t>FDAN212</w:t>
            </w:r>
          </w:p>
        </w:tc>
        <w:tc>
          <w:tcPr>
            <w:tcW w:w="3461" w:type="dxa"/>
            <w:shd w:val="clear" w:color="auto" w:fill="FFFFFF"/>
            <w:vAlign w:val="center"/>
          </w:tcPr>
          <w:p w:rsidR="00BF1957" w:rsidRDefault="00034B12">
            <w:r>
              <w:rPr>
                <w:color w:val="000000"/>
              </w:rPr>
              <w:t>Duplicate records</w:t>
            </w:r>
          </w:p>
        </w:tc>
        <w:tc>
          <w:tcPr>
            <w:tcW w:w="1170" w:type="dxa"/>
            <w:shd w:val="clear" w:color="auto" w:fill="FFFFFF"/>
            <w:vAlign w:val="center"/>
          </w:tcPr>
          <w:p w:rsidR="00BF1957" w:rsidRDefault="00034B12">
            <w:r>
              <w:rPr>
                <w:color w:val="000000"/>
              </w:rPr>
              <w:t>PC</w:t>
            </w:r>
          </w:p>
        </w:tc>
        <w:tc>
          <w:tcPr>
            <w:tcW w:w="990" w:type="dxa"/>
            <w:shd w:val="clear" w:color="auto" w:fill="FFFFFF"/>
            <w:vAlign w:val="center"/>
          </w:tcPr>
          <w:p w:rsidR="00BF1957" w:rsidRDefault="00034B12">
            <w:r>
              <w:rPr>
                <w:color w:val="000000"/>
              </w:rPr>
              <w:t>120</w:t>
            </w:r>
          </w:p>
        </w:tc>
        <w:tc>
          <w:tcPr>
            <w:tcW w:w="2610" w:type="dxa"/>
            <w:shd w:val="clear" w:color="auto" w:fill="FFFFFF"/>
            <w:vAlign w:val="center"/>
          </w:tcPr>
          <w:p w:rsidR="00BF1957" w:rsidRDefault="00EF716C">
            <w:r w:rsidRPr="00EF716C">
              <w:t>This Rule does not include a sufficient number of variables to determine uniqueness. For example, neither –ORRES nor –DY, nor other timing variables other than --DTC were included. We therefore do not consider these warnings to be applicable.</w:t>
            </w:r>
          </w:p>
        </w:tc>
      </w:tr>
      <w:tr w:rsidR="00BF1957" w:rsidTr="00222E52">
        <w:tc>
          <w:tcPr>
            <w:tcW w:w="0" w:type="auto"/>
            <w:shd w:val="clear" w:color="auto" w:fill="FFFFFF"/>
            <w:vAlign w:val="center"/>
          </w:tcPr>
          <w:p w:rsidR="00BF1957" w:rsidRDefault="00034B12">
            <w:r>
              <w:rPr>
                <w:color w:val="000000"/>
              </w:rPr>
              <w:t>FDAN154</w:t>
            </w:r>
          </w:p>
        </w:tc>
        <w:tc>
          <w:tcPr>
            <w:tcW w:w="3461" w:type="dxa"/>
            <w:shd w:val="clear" w:color="auto" w:fill="FFFFFF"/>
            <w:vAlign w:val="center"/>
          </w:tcPr>
          <w:p w:rsidR="00BF1957" w:rsidRDefault="00034B12">
            <w:r>
              <w:rPr>
                <w:color w:val="000000"/>
              </w:rPr>
              <w:t>Missing value for PMORRESU, when PMORRES is provided</w:t>
            </w:r>
          </w:p>
        </w:tc>
        <w:tc>
          <w:tcPr>
            <w:tcW w:w="1170" w:type="dxa"/>
            <w:shd w:val="clear" w:color="auto" w:fill="FFFFFF"/>
            <w:vAlign w:val="center"/>
          </w:tcPr>
          <w:p w:rsidR="00BF1957" w:rsidRDefault="00034B12">
            <w:r>
              <w:rPr>
                <w:color w:val="000000"/>
              </w:rPr>
              <w:t>PM</w:t>
            </w:r>
          </w:p>
        </w:tc>
        <w:tc>
          <w:tcPr>
            <w:tcW w:w="990" w:type="dxa"/>
            <w:shd w:val="clear" w:color="auto" w:fill="FFFFFF"/>
            <w:vAlign w:val="center"/>
          </w:tcPr>
          <w:p w:rsidR="00BF1957" w:rsidRDefault="00034B12">
            <w:r>
              <w:rPr>
                <w:color w:val="000000"/>
              </w:rPr>
              <w:t>3</w:t>
            </w:r>
          </w:p>
        </w:tc>
        <w:tc>
          <w:tcPr>
            <w:tcW w:w="2610" w:type="dxa"/>
            <w:shd w:val="clear" w:color="auto" w:fill="FFFFFF"/>
            <w:vAlign w:val="center"/>
          </w:tcPr>
          <w:p w:rsidR="00BF1957" w:rsidRDefault="003C7BCF">
            <w:r>
              <w:t>The PMORRES values were qualitative and did not have associated units.</w:t>
            </w:r>
          </w:p>
        </w:tc>
      </w:tr>
      <w:tr w:rsidR="00BF1957" w:rsidTr="00222E52">
        <w:tc>
          <w:tcPr>
            <w:tcW w:w="0" w:type="auto"/>
            <w:shd w:val="clear" w:color="auto" w:fill="FFFFFF"/>
            <w:vAlign w:val="center"/>
          </w:tcPr>
          <w:p w:rsidR="00BF1957" w:rsidRDefault="00034B12">
            <w:r>
              <w:rPr>
                <w:color w:val="000000"/>
              </w:rPr>
              <w:t>FDAN169</w:t>
            </w:r>
          </w:p>
        </w:tc>
        <w:tc>
          <w:tcPr>
            <w:tcW w:w="3461" w:type="dxa"/>
            <w:shd w:val="clear" w:color="auto" w:fill="FFFFFF"/>
            <w:vAlign w:val="center"/>
          </w:tcPr>
          <w:p w:rsidR="00BF1957" w:rsidRDefault="00034B12">
            <w:r>
              <w:rPr>
                <w:color w:val="000000"/>
              </w:rPr>
              <w:t>Missing value for PMSTRESU, when PMSTRESC is provided</w:t>
            </w:r>
          </w:p>
        </w:tc>
        <w:tc>
          <w:tcPr>
            <w:tcW w:w="1170" w:type="dxa"/>
            <w:shd w:val="clear" w:color="auto" w:fill="FFFFFF"/>
            <w:vAlign w:val="center"/>
          </w:tcPr>
          <w:p w:rsidR="00BF1957" w:rsidRDefault="00034B12">
            <w:r>
              <w:rPr>
                <w:color w:val="000000"/>
              </w:rPr>
              <w:t>PM</w:t>
            </w:r>
          </w:p>
        </w:tc>
        <w:tc>
          <w:tcPr>
            <w:tcW w:w="990" w:type="dxa"/>
            <w:shd w:val="clear" w:color="auto" w:fill="FFFFFF"/>
            <w:vAlign w:val="center"/>
          </w:tcPr>
          <w:p w:rsidR="00BF1957" w:rsidRDefault="00034B12">
            <w:r>
              <w:rPr>
                <w:color w:val="000000"/>
              </w:rPr>
              <w:t>3</w:t>
            </w:r>
          </w:p>
        </w:tc>
        <w:tc>
          <w:tcPr>
            <w:tcW w:w="2610" w:type="dxa"/>
            <w:shd w:val="clear" w:color="auto" w:fill="FFFFFF"/>
            <w:vAlign w:val="center"/>
          </w:tcPr>
          <w:p w:rsidR="00BF1957" w:rsidRDefault="003C7BCF">
            <w:r>
              <w:t>The PMSTRESC values were qualitative and did not have associated units.</w:t>
            </w:r>
          </w:p>
        </w:tc>
      </w:tr>
      <w:tr w:rsidR="00BF1957" w:rsidTr="00222E52">
        <w:tc>
          <w:tcPr>
            <w:tcW w:w="0" w:type="auto"/>
            <w:shd w:val="clear" w:color="auto" w:fill="FFFFFF"/>
            <w:vAlign w:val="center"/>
          </w:tcPr>
          <w:p w:rsidR="00BF1957" w:rsidRDefault="00034B12">
            <w:r>
              <w:rPr>
                <w:color w:val="000000"/>
              </w:rPr>
              <w:t>FDAN341</w:t>
            </w:r>
          </w:p>
        </w:tc>
        <w:tc>
          <w:tcPr>
            <w:tcW w:w="3461" w:type="dxa"/>
            <w:shd w:val="clear" w:color="auto" w:fill="FFFFFF"/>
            <w:vAlign w:val="center"/>
          </w:tcPr>
          <w:p w:rsidR="00BF1957" w:rsidRDefault="00034B12">
            <w:r>
              <w:rPr>
                <w:color w:val="000000"/>
              </w:rPr>
              <w:t xml:space="preserve">Value for TSPARM not found in 'SEND Trial Summary Parameter Test Name' CT </w:t>
            </w:r>
            <w:proofErr w:type="spellStart"/>
            <w:r>
              <w:rPr>
                <w:color w:val="000000"/>
              </w:rPr>
              <w:t>codelist</w:t>
            </w:r>
            <w:proofErr w:type="spellEnd"/>
          </w:p>
        </w:tc>
        <w:tc>
          <w:tcPr>
            <w:tcW w:w="1170" w:type="dxa"/>
            <w:shd w:val="clear" w:color="auto" w:fill="FFFFFF"/>
            <w:vAlign w:val="center"/>
          </w:tcPr>
          <w:p w:rsidR="00BF1957" w:rsidRDefault="00034B12">
            <w:r>
              <w:rPr>
                <w:color w:val="000000"/>
              </w:rPr>
              <w:t>TS</w:t>
            </w:r>
          </w:p>
        </w:tc>
        <w:tc>
          <w:tcPr>
            <w:tcW w:w="990" w:type="dxa"/>
            <w:shd w:val="clear" w:color="auto" w:fill="FFFFFF"/>
            <w:vAlign w:val="center"/>
          </w:tcPr>
          <w:p w:rsidR="00BF1957" w:rsidRDefault="00034B12">
            <w:r>
              <w:rPr>
                <w:color w:val="000000"/>
              </w:rPr>
              <w:t>3</w:t>
            </w:r>
          </w:p>
        </w:tc>
        <w:tc>
          <w:tcPr>
            <w:tcW w:w="2610" w:type="dxa"/>
            <w:shd w:val="clear" w:color="auto" w:fill="FFFFFF"/>
            <w:vAlign w:val="center"/>
          </w:tcPr>
          <w:p w:rsidR="00BF1957" w:rsidRDefault="003C7BCF" w:rsidP="003C7BCF">
            <w:r w:rsidRPr="003C7BCF">
              <w:t xml:space="preserve">TSPARM </w:t>
            </w:r>
            <w:r>
              <w:t>is an extensible variable</w:t>
            </w:r>
            <w:r w:rsidRPr="003C7BCF">
              <w:t xml:space="preserve">, and in order to capture study information not included in the </w:t>
            </w:r>
            <w:proofErr w:type="spellStart"/>
            <w:r w:rsidRPr="003C7BCF">
              <w:t>codelist</w:t>
            </w:r>
            <w:proofErr w:type="spellEnd"/>
            <w:r w:rsidRPr="003C7BCF">
              <w:t>, the parameter test names Lot Number, Percent Purity of Co</w:t>
            </w:r>
            <w:r>
              <w:t>mpound, Quality Assurance type.</w:t>
            </w:r>
          </w:p>
        </w:tc>
      </w:tr>
      <w:tr w:rsidR="00BF1957" w:rsidTr="00222E52">
        <w:tc>
          <w:tcPr>
            <w:tcW w:w="0" w:type="auto"/>
            <w:shd w:val="clear" w:color="auto" w:fill="FFFFFF"/>
            <w:vAlign w:val="center"/>
          </w:tcPr>
          <w:p w:rsidR="00BF1957" w:rsidRDefault="00034B12">
            <w:r>
              <w:rPr>
                <w:color w:val="000000"/>
              </w:rPr>
              <w:t>FDAN341</w:t>
            </w:r>
          </w:p>
        </w:tc>
        <w:tc>
          <w:tcPr>
            <w:tcW w:w="3461" w:type="dxa"/>
            <w:shd w:val="clear" w:color="auto" w:fill="FFFFFF"/>
            <w:vAlign w:val="center"/>
          </w:tcPr>
          <w:p w:rsidR="00BF1957" w:rsidRDefault="00034B12">
            <w:r>
              <w:rPr>
                <w:color w:val="000000"/>
              </w:rPr>
              <w:t xml:space="preserve">Value for TSPARMCD not found in 'SEND Trial Summary Parameter Test Name' CT </w:t>
            </w:r>
            <w:proofErr w:type="spellStart"/>
            <w:r>
              <w:rPr>
                <w:color w:val="000000"/>
              </w:rPr>
              <w:t>codelist</w:t>
            </w:r>
            <w:proofErr w:type="spellEnd"/>
          </w:p>
        </w:tc>
        <w:tc>
          <w:tcPr>
            <w:tcW w:w="1170" w:type="dxa"/>
            <w:shd w:val="clear" w:color="auto" w:fill="FFFFFF"/>
            <w:vAlign w:val="center"/>
          </w:tcPr>
          <w:p w:rsidR="00BF1957" w:rsidRDefault="00034B12">
            <w:r>
              <w:rPr>
                <w:color w:val="000000"/>
              </w:rPr>
              <w:t>TS</w:t>
            </w:r>
          </w:p>
        </w:tc>
        <w:tc>
          <w:tcPr>
            <w:tcW w:w="990" w:type="dxa"/>
            <w:shd w:val="clear" w:color="auto" w:fill="FFFFFF"/>
            <w:vAlign w:val="center"/>
          </w:tcPr>
          <w:p w:rsidR="00BF1957" w:rsidRDefault="00034B12">
            <w:r>
              <w:rPr>
                <w:color w:val="000000"/>
              </w:rPr>
              <w:t>3</w:t>
            </w:r>
          </w:p>
        </w:tc>
        <w:tc>
          <w:tcPr>
            <w:tcW w:w="2610" w:type="dxa"/>
            <w:shd w:val="clear" w:color="auto" w:fill="FFFFFF"/>
            <w:vAlign w:val="center"/>
          </w:tcPr>
          <w:p w:rsidR="00BF1957" w:rsidRDefault="003C7BCF" w:rsidP="003C7BCF">
            <w:r>
              <w:t>TSPARMCD is an extensible variable</w:t>
            </w:r>
            <w:r w:rsidRPr="003C7BCF">
              <w:t xml:space="preserve">, and in order to capture study information not included in </w:t>
            </w:r>
            <w:proofErr w:type="gramStart"/>
            <w:r w:rsidRPr="003C7BCF">
              <w:t xml:space="preserve">the </w:t>
            </w:r>
            <w:proofErr w:type="spellStart"/>
            <w:r w:rsidRPr="003C7BCF">
              <w:t>codelist</w:t>
            </w:r>
            <w:proofErr w:type="spellEnd"/>
            <w:proofErr w:type="gramEnd"/>
            <w:r w:rsidRPr="003C7BCF">
              <w:t xml:space="preserve">, the parameter test </w:t>
            </w:r>
            <w:r>
              <w:t>codes</w:t>
            </w:r>
            <w:r w:rsidRPr="003C7BCF">
              <w:t>, LOT, QATYPE, TRTPUR</w:t>
            </w:r>
            <w:r>
              <w:t>.</w:t>
            </w:r>
          </w:p>
        </w:tc>
      </w:tr>
    </w:tbl>
    <w:p w:rsidR="00BF1957" w:rsidRDefault="00034B12">
      <w:pPr>
        <w:pStyle w:val="Heading1"/>
      </w:pPr>
      <w:bookmarkStart w:id="29" w:name="_Toc489619609"/>
      <w:r>
        <w:rPr>
          <w:color w:val="000000"/>
          <w:sz w:val="22"/>
        </w:rPr>
        <w:lastRenderedPageBreak/>
        <w:t>6. Sponsor Decisions Related to Data Standard Implementations</w:t>
      </w:r>
      <w:bookmarkEnd w:id="29"/>
    </w:p>
    <w:p w:rsidR="00BF1957" w:rsidRDefault="00034B12">
      <w:pPr>
        <w:pStyle w:val="Heading2"/>
      </w:pPr>
      <w:bookmarkStart w:id="30" w:name="_Toc489619610"/>
      <w:r>
        <w:rPr>
          <w:color w:val="000000"/>
          <w:sz w:val="22"/>
        </w:rPr>
        <w:t>6.1 Sponsor-Defined Standardization Descriptions</w:t>
      </w:r>
      <w:bookmarkEnd w:id="30"/>
    </w:p>
    <w:p w:rsidR="00BF1957" w:rsidRDefault="00034B12">
      <w:pPr>
        <w:pStyle w:val="Heading2"/>
      </w:pPr>
      <w:bookmarkStart w:id="31" w:name="_Toc489619611"/>
      <w:r>
        <w:rPr>
          <w:color w:val="000000"/>
          <w:sz w:val="22"/>
        </w:rPr>
        <w:t>6.2 Differences between SEND Datasets and Study Report</w:t>
      </w:r>
      <w:bookmarkEnd w:id="31"/>
    </w:p>
    <w:p w:rsidR="00BF1957" w:rsidRPr="004B47EC" w:rsidRDefault="004B47EC" w:rsidP="004B47EC">
      <w:pPr>
        <w:pStyle w:val="ListParagraph"/>
        <w:numPr>
          <w:ilvl w:val="0"/>
          <w:numId w:val="6"/>
        </w:numPr>
        <w:spacing w:after="0"/>
        <w:rPr>
          <w:color w:val="000000"/>
        </w:rPr>
      </w:pPr>
      <w:r w:rsidRPr="004B47EC">
        <w:rPr>
          <w:color w:val="000000"/>
        </w:rPr>
        <w:t>In the Body Weight domain, body weights were adjusted to show decreased weights in Groups 3 and 4.</w:t>
      </w:r>
    </w:p>
    <w:p w:rsidR="004B47EC" w:rsidRPr="004B47EC" w:rsidRDefault="004B47EC" w:rsidP="004B47EC">
      <w:pPr>
        <w:pStyle w:val="ListParagraph"/>
        <w:numPr>
          <w:ilvl w:val="0"/>
          <w:numId w:val="6"/>
        </w:numPr>
        <w:spacing w:after="0"/>
      </w:pPr>
      <w:r w:rsidRPr="004B47EC">
        <w:rPr>
          <w:color w:val="000000"/>
        </w:rPr>
        <w:t>In the Body Weight Gain domain, the values were calculated from the adjusted body weights, so Groups 3 and 4 show decreased body weight gain.</w:t>
      </w:r>
    </w:p>
    <w:p w:rsidR="004B47EC" w:rsidRPr="000F4D48" w:rsidRDefault="004B47EC" w:rsidP="004B47EC">
      <w:pPr>
        <w:pStyle w:val="ListParagraph"/>
        <w:numPr>
          <w:ilvl w:val="0"/>
          <w:numId w:val="6"/>
        </w:numPr>
        <w:spacing w:after="0"/>
      </w:pPr>
      <w:r>
        <w:rPr>
          <w:color w:val="000000"/>
        </w:rPr>
        <w:t xml:space="preserve">In the Laboratory Test Results domain, values for AST, ALT, </w:t>
      </w:r>
      <w:r w:rsidR="000F4D48">
        <w:rPr>
          <w:color w:val="000000"/>
        </w:rPr>
        <w:t>and ALP were adjusted to show an increase in Group 4, RBC, HGB, and HCT were adjusted to show a decrease in Group 4.</w:t>
      </w:r>
    </w:p>
    <w:p w:rsidR="000F4D48" w:rsidRPr="000F4D48" w:rsidRDefault="000F4D48" w:rsidP="004B47EC">
      <w:pPr>
        <w:pStyle w:val="ListParagraph"/>
        <w:numPr>
          <w:ilvl w:val="0"/>
          <w:numId w:val="6"/>
        </w:numPr>
        <w:spacing w:after="0"/>
      </w:pPr>
      <w:r>
        <w:rPr>
          <w:color w:val="000000"/>
        </w:rPr>
        <w:t>In the Organ Measurements domain, liver weights were adjusted to show an increase in Group 4.</w:t>
      </w:r>
    </w:p>
    <w:p w:rsidR="000F4D48" w:rsidRPr="000F4D48" w:rsidRDefault="000F4D48" w:rsidP="004B47EC">
      <w:pPr>
        <w:pStyle w:val="ListParagraph"/>
        <w:numPr>
          <w:ilvl w:val="0"/>
          <w:numId w:val="6"/>
        </w:numPr>
        <w:spacing w:after="0"/>
      </w:pPr>
      <w:r>
        <w:rPr>
          <w:color w:val="000000"/>
        </w:rPr>
        <w:t>In the Macroscopic and Microscopic Findings domains, liver findings were added to Group 3 and 4 to show increased liver effects. These were linked in the Related Records domain.</w:t>
      </w:r>
    </w:p>
    <w:p w:rsidR="000F4D48" w:rsidRPr="000F4D48" w:rsidRDefault="000F4D48" w:rsidP="004B47EC">
      <w:pPr>
        <w:pStyle w:val="ListParagraph"/>
        <w:numPr>
          <w:ilvl w:val="0"/>
          <w:numId w:val="6"/>
        </w:numPr>
        <w:spacing w:after="0"/>
      </w:pPr>
      <w:r>
        <w:rPr>
          <w:color w:val="000000"/>
        </w:rPr>
        <w:t xml:space="preserve">Tumor findings for liver were added to show </w:t>
      </w:r>
      <w:r>
        <w:rPr>
          <w:color w:val="000000"/>
        </w:rPr>
        <w:t>increased liver effects</w:t>
      </w:r>
      <w:r>
        <w:rPr>
          <w:color w:val="000000"/>
        </w:rPr>
        <w:t xml:space="preserve"> in Group 4.</w:t>
      </w:r>
    </w:p>
    <w:p w:rsidR="000F4D48" w:rsidRDefault="000F4D48" w:rsidP="004B47EC">
      <w:pPr>
        <w:pStyle w:val="ListParagraph"/>
        <w:numPr>
          <w:ilvl w:val="0"/>
          <w:numId w:val="6"/>
        </w:numPr>
        <w:spacing w:after="0"/>
      </w:pPr>
      <w:r>
        <w:rPr>
          <w:color w:val="000000"/>
        </w:rPr>
        <w:t xml:space="preserve">Premature deaths </w:t>
      </w:r>
      <w:r w:rsidR="004366DB">
        <w:rPr>
          <w:color w:val="000000"/>
        </w:rPr>
        <w:t>due to hepatocellular carcinoma</w:t>
      </w:r>
      <w:r w:rsidR="004366DB">
        <w:rPr>
          <w:color w:val="000000"/>
        </w:rPr>
        <w:t xml:space="preserve"> </w:t>
      </w:r>
      <w:r>
        <w:rPr>
          <w:color w:val="000000"/>
        </w:rPr>
        <w:t xml:space="preserve">were added to Group 4 </w:t>
      </w:r>
      <w:r w:rsidR="004366DB">
        <w:rPr>
          <w:color w:val="000000"/>
        </w:rPr>
        <w:t>and listed in the Death Diagnosis and Tumor Findings domains.</w:t>
      </w:r>
    </w:p>
    <w:sectPr w:rsidR="000F4D48">
      <w:headerReference w:type="default" r:id="rId9"/>
      <w:footerReference w:type="default" r:id="rId10"/>
      <w:pgSz w:w="12240" w:h="15840"/>
      <w:pgMar w:top="1500" w:right="1350" w:bottom="1350" w:left="135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CEA" w:rsidRDefault="00034CEA">
      <w:pPr>
        <w:spacing w:after="0" w:line="240" w:lineRule="auto"/>
      </w:pPr>
      <w:r>
        <w:separator/>
      </w:r>
    </w:p>
  </w:endnote>
  <w:endnote w:type="continuationSeparator" w:id="0">
    <w:p w:rsidR="00034CEA" w:rsidRDefault="0003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EC" w:rsidRDefault="004B47EC">
    <w:pPr>
      <w:jc w:val="right"/>
    </w:pPr>
    <w:r>
      <w:fldChar w:fldCharType="begin"/>
    </w:r>
    <w:r>
      <w:instrText xml:space="preserve"> PAGE   \* MERGEFORMAT </w:instrText>
    </w:r>
    <w:r>
      <w:fldChar w:fldCharType="separate"/>
    </w:r>
    <w:r w:rsidR="00452C17">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CEA" w:rsidRDefault="00034CEA">
      <w:pPr>
        <w:spacing w:after="0" w:line="240" w:lineRule="auto"/>
      </w:pPr>
      <w:r>
        <w:separator/>
      </w:r>
    </w:p>
  </w:footnote>
  <w:footnote w:type="continuationSeparator" w:id="0">
    <w:p w:rsidR="00034CEA" w:rsidRDefault="00034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7EC" w:rsidRDefault="004B47EC">
    <w:pPr>
      <w:spacing w:after="0"/>
    </w:pPr>
    <w:r>
      <w:t>13-Week Repeat Dose Toxicity Study on PCDRUG in Rats</w:t>
    </w:r>
  </w:p>
  <w:p w:rsidR="004B47EC" w:rsidRDefault="004B47EC">
    <w:pPr>
      <w:spacing w:after="0"/>
    </w:pPr>
    <w:r>
      <w:t>PC201708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22640"/>
    <w:multiLevelType w:val="hybridMultilevel"/>
    <w:tmpl w:val="17D0C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66B9C"/>
    <w:multiLevelType w:val="multilevel"/>
    <w:tmpl w:val="262AA59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DD860C0"/>
    <w:multiLevelType w:val="multilevel"/>
    <w:tmpl w:val="0409001D"/>
    <w:lvl w:ilvl="0">
      <w:start w:val="1"/>
      <w:numFmt w:val="decimal"/>
      <w:lvlText w:val="-"/>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147B30"/>
    <w:multiLevelType w:val="multilevel"/>
    <w:tmpl w:val="87960370"/>
    <w:lvl w:ilvl="0">
      <w:start w:val="1"/>
      <w:numFmt w:val="decimal"/>
      <w:lvlText w:val="%1."/>
      <w:lvlJc w:val="left"/>
      <w:pPr>
        <w:ind w:left="870" w:hanging="870"/>
      </w:pPr>
      <w:rPr>
        <w:rFonts w:hint="default"/>
      </w:rPr>
    </w:lvl>
    <w:lvl w:ilvl="1">
      <w:start w:val="1"/>
      <w:numFmt w:val="decimal"/>
      <w:isLgl/>
      <w:lvlText w:val="%1.%2"/>
      <w:lvlJc w:val="left"/>
      <w:pPr>
        <w:ind w:left="91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480" w:hanging="2160"/>
      </w:pPr>
      <w:rPr>
        <w:rFonts w:hint="default"/>
      </w:rPr>
    </w:lvl>
  </w:abstractNum>
  <w:abstractNum w:abstractNumId="4">
    <w:nsid w:val="78C27ED6"/>
    <w:multiLevelType w:val="hybridMultilevel"/>
    <w:tmpl w:val="C4C2F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1957"/>
    <w:rsid w:val="00034B12"/>
    <w:rsid w:val="00034CEA"/>
    <w:rsid w:val="000F4D48"/>
    <w:rsid w:val="00222E52"/>
    <w:rsid w:val="002C138C"/>
    <w:rsid w:val="0032211A"/>
    <w:rsid w:val="00334629"/>
    <w:rsid w:val="003C7BCF"/>
    <w:rsid w:val="004366DB"/>
    <w:rsid w:val="00452C17"/>
    <w:rsid w:val="004B47EC"/>
    <w:rsid w:val="005914B8"/>
    <w:rsid w:val="006B75F8"/>
    <w:rsid w:val="006C21DD"/>
    <w:rsid w:val="007039E7"/>
    <w:rsid w:val="008803D3"/>
    <w:rsid w:val="009262EC"/>
    <w:rsid w:val="00A42B6B"/>
    <w:rsid w:val="00BF1957"/>
    <w:rsid w:val="00CB0246"/>
    <w:rsid w:val="00CB5AFA"/>
    <w:rsid w:val="00E3439F"/>
    <w:rsid w:val="00E75A05"/>
    <w:rsid w:val="00E82AB6"/>
    <w:rsid w:val="00EE5606"/>
    <w:rsid w:val="00EF716C"/>
    <w:rsid w:val="00F06634"/>
    <w:rsid w:val="00FC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rsid w:val="004A3277"/>
  </w:style>
  <w:style w:type="paragraph" w:styleId="Heading1">
    <w:name w:val="heading 1"/>
    <w:aliases w:val="H1,H11,H12,H13,H14,H15,H16,H17,H18,H111,H121,H131,H141,H151,H161,H17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aliases w:val="H1 Char,H11 Char,H12 Char,H13 Char,H14 Char,H15 Char,H16 Char,H17 Char,H18 Char,H111 Char,H121 Char,H131 Char,H141 Char,H151 Char,H161 Char,H17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DocDefaults">
    <w:name w:val="DocDefaults"/>
  </w:style>
  <w:style w:type="paragraph" w:styleId="TOC1">
    <w:name w:val="toc 1"/>
    <w:basedOn w:val="Normal"/>
    <w:next w:val="Normal"/>
    <w:autoRedefine/>
    <w:uiPriority w:val="39"/>
    <w:unhideWhenUsed/>
    <w:rsid w:val="002C138C"/>
    <w:pPr>
      <w:spacing w:after="100"/>
    </w:pPr>
  </w:style>
  <w:style w:type="paragraph" w:styleId="TOC2">
    <w:name w:val="toc 2"/>
    <w:basedOn w:val="Normal"/>
    <w:next w:val="Normal"/>
    <w:autoRedefine/>
    <w:uiPriority w:val="39"/>
    <w:unhideWhenUsed/>
    <w:rsid w:val="002C138C"/>
    <w:pPr>
      <w:spacing w:after="100"/>
      <w:ind w:left="220"/>
    </w:pPr>
  </w:style>
  <w:style w:type="paragraph" w:styleId="ListParagraph">
    <w:name w:val="List Paragraph"/>
    <w:basedOn w:val="Normal"/>
    <w:uiPriority w:val="99"/>
    <w:unhideWhenUsed/>
    <w:rsid w:val="004B47EC"/>
    <w:pPr>
      <w:ind w:left="720"/>
      <w:contextualSpacing/>
    </w:pPr>
  </w:style>
  <w:style w:type="paragraph" w:styleId="TOC3">
    <w:name w:val="toc 3"/>
    <w:basedOn w:val="Normal"/>
    <w:next w:val="Normal"/>
    <w:autoRedefine/>
    <w:uiPriority w:val="39"/>
    <w:unhideWhenUsed/>
    <w:rsid w:val="00452C1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2D183-C0D1-44DB-B112-F9B4184F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Porter</cp:lastModifiedBy>
  <cp:revision>17</cp:revision>
  <dcterms:created xsi:type="dcterms:W3CDTF">2017-08-02T19:39:00Z</dcterms:created>
  <dcterms:modified xsi:type="dcterms:W3CDTF">2017-08-04T18:18:00Z</dcterms:modified>
</cp:coreProperties>
</file>