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${capHanhChinh}</w:t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 </w:t>
            </w:r>
            <w:r>
              <w:rPr>
                <w:color w:val="000000"/>
              </w:rPr>
              <w:t>…/TB-…….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</w:rPr>
              <w:t>……</w:t>
            </w:r>
            <w:r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  <w:lang w:val="vi-VN"/>
              </w:rPr>
              <w:t>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...(1)…………………….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(2)..................................................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${tenCoQuanDuocGiaoNhiemVuXM} báo cáo kết quả xác minh nội dung khiếu nại nêu trên với ${tenLanhDao} trước ngày... tháng ... năm ...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....…………………...(3)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/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color w:val="000000"/>
                <w:lang w:val="vi-VN"/>
              </w:rPr>
              <w:t> </w:t>
            </w:r>
          </w:p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Như Điều 2;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(3)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LibreOffice/5.3.0.3$Windows_X86_64 LibreOffice_project/7074905676c47b82bbcfbea1aeefc84afe1c50e1</Application>
  <Pages>1</Pages>
  <Words>281</Words>
  <Characters>1305</Characters>
  <CharactersWithSpaces>1567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2017-10-30T10:06:29Z</dcterms:modified>
  <cp:revision>40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