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9020" cy="2032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8320" cy="19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2320" cy="2032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640" cy="19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2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>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240" w:before="120" w:after="16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Số CMND/Hộ chiếu (hoặc giấy tờ tùy thân): ${soCMNDHoChieu}, ngày cấp: ${ngayCap}, nơi cấp: ${noiCap}.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 xml:space="preserve">Căn cứ khoản 2 điều 26 Luật tiếp công dân năm 2013; sau khi xem xét nội dung đơn, ${coQuanChuyenDon}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xem xét, giải quyết theo quy định của pháp luật.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 (1)……………………………..(để báo cáo);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${nguoiDungDon}(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thay trả lời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);</w:t>
              <w:br/>
              <w:t xml:space="preserve">- Lưu: VT, 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TTL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ơ quan, tổ chức, đơn vị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cấp trên trực tiếp (nếu có)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2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Cơ quan, tổ chức, đơn vị có thẩm quyền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LibreOffice/5.3.0.3$Windows_X86_64 LibreOffice_project/7074905676c47b82bbcfbea1aeefc84afe1c50e1</Application>
  <Pages>2</Pages>
  <Words>149</Words>
  <Characters>766</Characters>
  <CharactersWithSpaces>962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2017-10-30T11:49:40Z</dcterms:modified>
  <cp:revision>34</cp:revision>
  <dc:subject/>
  <dc:title/>
</cp:coreProperties>
</file>