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${capHanhChinh}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3397885</wp:posOffset>
                      </wp:positionH>
                      <wp:positionV relativeFrom="paragraph">
                        <wp:posOffset>36830</wp:posOffset>
                      </wp:positionV>
                      <wp:extent cx="2086610" cy="63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8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7.55pt,2.9pt" to="431.75pt,2.9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27305</wp:posOffset>
                      </wp:positionV>
                      <wp:extent cx="1505585" cy="635"/>
                      <wp:effectExtent l="0" t="0" r="0" b="0"/>
                      <wp:wrapNone/>
                      <wp:docPr id="2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.8pt,2.15pt" to="154.25pt,2.15pt" ID="Shape2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…../${soVB}-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Kính gửi: ${coQuanTiepNhan}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${coQuanChuyenDon} nhận được đơn của ông (bà) ${nguoiDungDon}.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Địa chỉ: ${diaChiNguoiDungDon}.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quy định của pháp luật, ${coQuanChuyenDon} chuyển đơn của ông (bà) ${nguoiDungDon} đến ${coQuanTiepNhan} để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Nơi nhận: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  <w:t>- Như trên;</w:t>
              <w:br/>
              <w:t>- ${nguoiDungDon};</w:t>
              <w:br/>
              <w:t>- Lưu: VT;…………………….….(1)</w:t>
            </w:r>
          </w:p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848c1662-946d-092e-57"/>
      <w:bookmarkEnd w:id="1"/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(1) Người có thẩm quyền ký văn bản chuyển đơn.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i/>
        <w:i/>
      </w:rPr>
    </w:pPr>
    <w:r>
      <w:rPr>
        <w:i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Lines/>
      <w:widowControl w:val="false"/>
      <w:spacing w:lineRule="auto" w:line="240"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Lines/>
      <w:widowControl w:val="false"/>
      <w:spacing w:lineRule="auto" w:line="240"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false"/>
      <w:spacing w:lineRule="auto" w:line="240"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widowControl w:val="false"/>
      <w:spacing w:lineRule="auto" w:line="240"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Lines/>
      <w:widowControl w:val="false"/>
      <w:spacing w:lineRule="auto" w:line="240"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Lines/>
      <w:widowControl w:val="false"/>
      <w:spacing w:lineRule="auto" w:line="240"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LibreOffice/5.4.2.2$Windows_X86_64 LibreOffice_project/22b09f6418e8c2d508a9eaf86b2399209b0990f4</Application>
  <Pages>1</Pages>
  <Words>103</Words>
  <Characters>567</Characters>
  <CharactersWithSpaces>755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2017-12-06T06:42:00Z</dcterms:created>
  <dc:creator/>
  <dc:description/>
  <dc:language>en-US</dc:language>
  <cp:lastModifiedBy/>
  <dcterms:modified xsi:type="dcterms:W3CDTF">2017-12-06T13:49:42Z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