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4225" cy="2222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440" cy="2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173355</wp:posOffset>
                      </wp:positionV>
                      <wp:extent cx="2371090" cy="1905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7060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0420" cy="762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2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center"/>
        <w:rPr/>
      </w:pPr>
      <w:r>
        <w:rPr/>
        <w:t>Kính gửi : ${nguoiKienNghi}</w:t>
      </w:r>
    </w:p>
    <w:p>
      <w:pPr>
        <w:pStyle w:val="Normal"/>
        <w:spacing w:lineRule="auto" w:line="240" w:before="120" w:after="160"/>
        <w:jc w:val="center"/>
        <w:rPr/>
      </w:pPr>
      <w:r>
        <w:rPr/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Kiến nghị, phản ánh về việc :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nội dung đơn kiến nghị, phản ánh của ${nguoiKienNghi},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………………………………………………………………………………………..(3)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LibreOffice/5.3.0.3$Windows_X86_64 LibreOffice_project/7074905676c47b82bbcfbea1aeefc84afe1c50e1</Application>
  <Pages>1</Pages>
  <Words>190</Words>
  <Characters>907</Characters>
  <CharactersWithSpaces>1133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2017-11-02T10:55:09Z</dcterms:modified>
  <cp:revision>69</cp:revision>
  <dc:subject/>
  <dc:title/>
</cp:coreProperties>
</file>