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47875" cy="1587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320" cy="151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…../TB-…..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312" w:before="120" w:after="0"/>
        <w:jc w:val="left"/>
        <w:rPr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${doiTuongGiaiQuyet} đã nhận đơn tố cáo của ${nguoiDungDon} đối với ${doiTuongBiToCao} về việc ${noiDungToCao} 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do……….……….….…………………………………………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…..…………(1)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 :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sz w:val="26"/>
          <w:szCs w:val="26"/>
        </w:rPr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spacing w:lineRule="auto" w:line="312" w:before="120" w:after="43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 </w:t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4227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LibreOffice/5.3.0.3$Windows_X86_64 LibreOffice_project/7074905676c47b82bbcfbea1aeefc84afe1c50e1</Application>
  <Pages>2</Pages>
  <Words>165</Words>
  <Characters>949</Characters>
  <CharactersWithSpaces>1158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2017-10-23T17:10:34Z</dcterms:modified>
  <cp:revision>14</cp:revision>
  <dc:subject/>
  <dc:title/>
</cp:coreProperties>
</file>