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keepLines w:val="1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before="360" w:after="80"/>
        <w:ind w:left="0" w:right="0" w:firstLine="0"/>
        <w:jc w:val="left"/>
        <w:outlineLvl w:val="9"/>
        <w:rPr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:rtl w:val="0"/>
        </w:rPr>
      </w:pPr>
      <w:r>
        <w:rPr>
          <w:rFonts w:hAnsi="Times New Roman" w:hint="default"/>
          <w:sz w:val="36"/>
          <w:szCs w:val="36"/>
          <w:u w:color="000000"/>
          <w:shd w:val="clear" w:color="auto" w:fill="ffffff"/>
          <w:rtl w:val="0"/>
        </w:rPr>
        <w:t>ДЗ №</w:t>
      </w:r>
      <w:r>
        <w:rPr>
          <w:rFonts w:ascii="Times New Roman"/>
          <w:sz w:val="36"/>
          <w:szCs w:val="36"/>
          <w:u w:color="000000"/>
          <w:shd w:val="clear" w:color="auto" w:fill="ffffff"/>
          <w:rtl w:val="0"/>
          <w:lang w:val="ru-RU"/>
        </w:rPr>
        <w:t xml:space="preserve">1 </w:t>
      </w:r>
      <w:r>
        <w:rPr>
          <w:rFonts w:hAnsi="Times New Roman" w:hint="default"/>
          <w:sz w:val="36"/>
          <w:szCs w:val="36"/>
          <w:u w:color="000000"/>
          <w:shd w:val="clear" w:color="auto" w:fill="ffffff"/>
          <w:rtl w:val="0"/>
          <w:lang w:val="ru-RU"/>
        </w:rPr>
        <w:t>Специфичность лексики</w:t>
      </w: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113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>Стырина Соня</w:t>
      </w: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113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shd w:val="clear" w:color="auto" w:fill="ffffff"/>
          <w:rtl w:val="0"/>
        </w:rPr>
      </w:pP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2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>общеупотребительных слова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>:</w:t>
      </w: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  <w:tab/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>day</w:t>
        <w:tab/>
        <w:tab/>
        <w:t>world</w:t>
      </w: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2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>специфических слова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>для первого подкорпуса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>:</w:t>
      </w: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  <w:tab/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>artist</w:t>
        <w:tab/>
        <w:tab/>
        <w:t>exhibition</w:t>
      </w: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>Specific Corpus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: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>e-flux (International art English)</w:t>
      </w: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  <w:tab/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1)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>тематика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: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>собрание новостей об искусстве и выставках</w:t>
      </w: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  <w:tab/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2)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>источник текстов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: </w:t>
      </w:r>
      <w:hyperlink r:id="rId4" w:history="1">
        <w:r>
          <w:rPr>
            <w:rStyle w:val="Hyperlink.0"/>
            <w:rFonts w:ascii="Times New Roman"/>
            <w:sz w:val="24"/>
            <w:szCs w:val="24"/>
            <w:u w:color="000000"/>
            <w:shd w:val="clear" w:color="auto" w:fill="ffffff"/>
            <w:rtl w:val="0"/>
            <w:lang w:val="en-US"/>
          </w:rPr>
          <w:t>e-flux.com</w:t>
        </w:r>
      </w:hyperlink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  <w:tab/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3)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>объем корпуса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: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</w:rPr>
        <w:t>5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>,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</w:rPr>
        <w:t>036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>,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</w:rPr>
        <w:t xml:space="preserve">119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>словоупотреблений</w:t>
      </w: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  <w:lang w:val="en-US"/>
        </w:rPr>
        <w:tab/>
        <w:t>4)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 xml:space="preserve"> токенизирован с помощью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TreeTagger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 xml:space="preserve">и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>Penn Treebank tagset</w:t>
      </w: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>Reference Corpus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: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>Brexit corpus without retweets (English)</w:t>
      </w: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  <w:tab/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1)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>тематика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>: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>новостные статьи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,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>твиты и посты в блогах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 xml:space="preserve">обсуждающие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>Brexit</w:t>
      </w: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  <w:tab/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2)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>источник текстов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>: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 xml:space="preserve">новостные сайты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>(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The Guardian, BBC, the Daily Mail, the </w:t>
        <w:tab/>
        <w:tab/>
        <w:t>Telegraph, etc.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),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>твиттер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>блоги</w:t>
      </w: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  <w:tab/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3)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</w:rPr>
        <w:t>объем корпуса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: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</w:rPr>
        <w:t>4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>,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</w:rPr>
        <w:t>789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>,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</w:rPr>
        <w:t>571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>словоупотреблений</w:t>
      </w: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  <w:lang w:val="en-US"/>
        </w:rPr>
        <w:tab/>
        <w:t xml:space="preserve">4)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  <w:lang w:val="ru-RU"/>
        </w:rPr>
        <w:t xml:space="preserve">токенизирован с помощью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it-IT"/>
        </w:rPr>
        <w:t xml:space="preserve">TreeTagger </w:t>
      </w:r>
      <w:r>
        <w:rPr>
          <w:rFonts w:hAnsi="Times New Roman" w:hint="default"/>
          <w:sz w:val="24"/>
          <w:szCs w:val="24"/>
          <w:u w:color="000000"/>
          <w:shd w:val="clear" w:color="auto" w:fill="ffffff"/>
          <w:rtl w:val="0"/>
        </w:rPr>
        <w:t xml:space="preserve">и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da-DK"/>
        </w:rPr>
        <w:t>Penn Treebank tagset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>&amp;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Sketch Engine </w:t>
        <w:tab/>
        <w:tab/>
        <w:t>modifications</w:t>
      </w: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</w:p>
    <w:tbl>
      <w:tblPr>
        <w:tblW w:w="960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38"/>
        <w:gridCol w:w="1627"/>
        <w:gridCol w:w="1270"/>
        <w:gridCol w:w="1550"/>
        <w:gridCol w:w="1270"/>
        <w:gridCol w:w="650"/>
        <w:gridCol w:w="1353"/>
        <w:gridCol w:w="650"/>
      </w:tblGrid>
      <w:tr>
        <w:tblPrEx>
          <w:shd w:val="clear" w:color="auto" w:fill="auto"/>
        </w:tblPrEx>
        <w:trPr>
          <w:trHeight w:val="1800" w:hRule="atLeast"/>
        </w:trPr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spacing w:after="12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w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vertAlign w:val="subscript"/>
                <w:rtl w:val="0"/>
                <w:lang w:val="ru-RU"/>
              </w:rPr>
              <w:t>i</w:t>
            </w:r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hAnsi="Times New Roman" w:hint="default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 xml:space="preserve">Тип 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Ansi="Times New Roman" w:hint="default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 xml:space="preserve">тематическое 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 xml:space="preserve">vs. </w:t>
            </w:r>
            <w:r>
              <w:rPr>
                <w:rFonts w:hAnsi="Times New Roman" w:hint="default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общеупотребительное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Count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vertAlign w:val="subscript"/>
                <w:rtl w:val="0"/>
                <w:lang w:val="ru-RU"/>
              </w:rPr>
              <w:t>SpecC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 xml:space="preserve"> </w:t>
            </w:r>
          </w:p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Ansi="Times New Roman" w:hint="default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 xml:space="preserve">частота в 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Specific Corpora)</w:t>
            </w:r>
          </w:p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Count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vertAlign w:val="subscript"/>
                <w:rtl w:val="0"/>
                <w:lang w:val="ru-RU"/>
              </w:rPr>
              <w:t>RefC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 xml:space="preserve"> (</w:t>
            </w:r>
            <w:r>
              <w:rPr>
                <w:rFonts w:hAnsi="Times New Roman" w:hint="default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частота в контрастном корпусе</w:t>
            </w:r>
          </w:p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(Reference Corpora))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LogLikelihood</w:t>
            </w:r>
          </w:p>
        </w:tc>
        <w:tc>
          <w:tcPr>
            <w:tcW w:type="dxa" w:w="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hAnsi="Times New Roman" w:hint="default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Ранг</w:t>
            </w:r>
          </w:p>
        </w:tc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hAnsi="Times New Roman" w:hint="default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 xml:space="preserve">Вес 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2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 xml:space="preserve"> 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wiredness)</w:t>
            </w:r>
          </w:p>
        </w:tc>
        <w:tc>
          <w:tcPr>
            <w:tcW w:type="dxa" w:w="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hAnsi="Times New Roman" w:hint="default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Ранг</w:t>
            </w:r>
          </w:p>
        </w:tc>
      </w:tr>
      <w:tr>
        <w:tblPrEx>
          <w:shd w:val="clear" w:color="auto" w:fill="auto"/>
        </w:tblPrEx>
        <w:trPr>
          <w:trHeight w:val="755" w:hRule="atLeast"/>
        </w:trPr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spacing w:after="12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day</w:t>
            </w:r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hAnsi="Times New Roman" w:hint="default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общеупотребительное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2377</w:t>
            </w:r>
          </w:p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5747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1615.35</w:t>
            </w:r>
          </w:p>
        </w:tc>
        <w:tc>
          <w:tcPr>
            <w:tcW w:type="dxa" w:w="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3</w:t>
            </w:r>
          </w:p>
        </w:tc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0.39</w:t>
            </w:r>
          </w:p>
        </w:tc>
        <w:tc>
          <w:tcPr>
            <w:tcW w:type="dxa" w:w="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spacing w:after="12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world</w:t>
            </w:r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hAnsi="Times New Roman" w:hint="default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общеупотребительное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7622</w:t>
            </w:r>
          </w:p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6122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97.40</w:t>
            </w:r>
          </w:p>
        </w:tc>
        <w:tc>
          <w:tcPr>
            <w:tcW w:type="dxa" w:w="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4</w:t>
            </w:r>
          </w:p>
        </w:tc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1.18</w:t>
            </w:r>
          </w:p>
        </w:tc>
        <w:tc>
          <w:tcPr>
            <w:tcW w:type="dxa" w:w="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656" w:hRule="atLeast"/>
        </w:trPr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spacing w:after="12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exhibition</w:t>
            </w:r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hAnsi="Times New Roman" w:hint="default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тематическое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32542</w:t>
            </w:r>
          </w:p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25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43127.18</w:t>
            </w:r>
          </w:p>
        </w:tc>
        <w:tc>
          <w:tcPr>
            <w:tcW w:type="dxa" w:w="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2</w:t>
            </w:r>
          </w:p>
        </w:tc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1237.96</w:t>
            </w:r>
          </w:p>
        </w:tc>
        <w:tc>
          <w:tcPr>
            <w:tcW w:type="dxa" w:w="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spacing w:after="12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artist</w:t>
            </w:r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hAnsi="Times New Roman" w:hint="default"/>
                <w:sz w:val="24"/>
                <w:szCs w:val="24"/>
                <w:u w:color="000000"/>
                <w:shd w:val="clear" w:color="auto" w:fill="ffffff"/>
                <w:rtl w:val="0"/>
                <w:lang w:val="ru-RU"/>
              </w:rPr>
              <w:t>тематическое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34087</w:t>
            </w:r>
          </w:p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161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43749.30</w:t>
            </w:r>
          </w:p>
        </w:tc>
        <w:tc>
          <w:tcPr>
            <w:tcW w:type="dxa" w:w="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1</w:t>
            </w:r>
          </w:p>
        </w:tc>
        <w:tc>
          <w:tcPr>
            <w:tcW w:type="dxa" w:w="1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201.36</w:t>
            </w:r>
          </w:p>
        </w:tc>
        <w:tc>
          <w:tcPr>
            <w:tcW w:type="dxa" w:w="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/>
                <w:sz w:val="24"/>
                <w:szCs w:val="24"/>
                <w:u w:color="000000"/>
                <w:shd w:val="clear" w:color="auto" w:fill="ffffff"/>
                <w:rtl w:val="0"/>
              </w:rPr>
              <w:t>2</w:t>
            </w:r>
          </w:p>
        </w:tc>
      </w:tr>
    </w:tbl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</w:p>
    <w:p>
      <w:pPr>
        <w:pStyle w:val="Body"/>
        <w:pBdr>
          <w:top w:val="nil"/>
          <w:left w:val="nil"/>
          <w:bottom w:val="nil"/>
          <w:right w:val="nil"/>
        </w:pBdr>
        <w:shd w:val="clear" w:color="auto" w:fill="ffffff"/>
        <w:bidi w:val="0"/>
        <w:spacing w:after="12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pPr>
      <w:r>
        <w:rPr>
          <w:rFonts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Второй метод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: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Wiredness = 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>(w</w:t>
      </w:r>
      <w:r>
        <w:rPr>
          <w:rFonts w:ascii="Times New Roman"/>
          <w:position w:val="-9"/>
          <w:sz w:val="24"/>
          <w:szCs w:val="24"/>
          <w:u w:color="000000"/>
          <w:shd w:val="clear" w:color="auto" w:fill="ffffff"/>
          <w:vertAlign w:val="subscript"/>
          <w:rtl w:val="0"/>
          <w:lang w:val="en-US"/>
        </w:rPr>
        <w:t>i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>) = fr</w:t>
      </w:r>
      <w:r>
        <w:rPr>
          <w:rFonts w:ascii="Times New Roman"/>
          <w:position w:val="-9"/>
          <w:sz w:val="24"/>
          <w:szCs w:val="24"/>
          <w:u w:color="000000"/>
          <w:shd w:val="clear" w:color="auto" w:fill="ffffff"/>
          <w:vertAlign w:val="subscript"/>
          <w:rtl w:val="0"/>
          <w:lang w:val="en-US"/>
        </w:rPr>
        <w:t>s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>(w</w:t>
      </w:r>
      <w:r>
        <w:rPr>
          <w:rFonts w:ascii="Times New Roman"/>
          <w:position w:val="-9"/>
          <w:sz w:val="24"/>
          <w:szCs w:val="24"/>
          <w:u w:color="000000"/>
          <w:shd w:val="clear" w:color="auto" w:fill="ffffff"/>
          <w:vertAlign w:val="subscript"/>
          <w:rtl w:val="0"/>
          <w:lang w:val="en-US"/>
        </w:rPr>
        <w:t>i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>)/fr</w:t>
      </w:r>
      <w:r>
        <w:rPr>
          <w:rFonts w:ascii="Times New Roman"/>
          <w:position w:val="-9"/>
          <w:sz w:val="24"/>
          <w:szCs w:val="24"/>
          <w:u w:color="000000"/>
          <w:shd w:val="clear" w:color="auto" w:fill="ffffff"/>
          <w:vertAlign w:val="subscript"/>
          <w:rtl w:val="0"/>
          <w:lang w:val="en-US"/>
        </w:rPr>
        <w:t>r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>(w</w:t>
      </w:r>
      <w:r>
        <w:rPr>
          <w:rFonts w:ascii="Times New Roman"/>
          <w:position w:val="-9"/>
          <w:sz w:val="24"/>
          <w:szCs w:val="24"/>
          <w:u w:color="000000"/>
          <w:shd w:val="clear" w:color="auto" w:fill="ffffff"/>
          <w:vertAlign w:val="subscript"/>
          <w:rtl w:val="0"/>
          <w:lang w:val="en-US"/>
        </w:rPr>
        <w:t>i</w:t>
      </w:r>
      <w:r>
        <w:rPr>
          <w:rFonts w:asci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) = (Ws / Ts) / (Wr / Tr) </w:t>
      </w:r>
    </w:p>
    <w:p>
      <w:pPr>
        <w:pStyle w:val="Captio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lear" w:pos="1150"/>
        </w:tabs>
        <w:suppressAutoHyphens w:val="1"/>
        <w:jc w:val="left"/>
        <w:outlineLvl w:val="0"/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</w:rPr>
        <w:tab/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en-US"/>
        </w:rPr>
        <w:t>fr</w:t>
      </w:r>
      <w:r>
        <w:rPr>
          <w:rFonts w:ascii="Times New Roman"/>
          <w:b w:val="0"/>
          <w:bCs w:val="0"/>
          <w:caps w:val="0"/>
          <w:smallCaps w:val="0"/>
          <w:position w:val="-9"/>
          <w:sz w:val="24"/>
          <w:szCs w:val="24"/>
          <w:vertAlign w:val="subscript"/>
          <w:rtl w:val="0"/>
          <w:lang w:val="en-US"/>
        </w:rPr>
        <w:t>s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en-US"/>
        </w:rPr>
        <w:t>(w</w:t>
      </w:r>
      <w:r>
        <w:rPr>
          <w:rFonts w:ascii="Times New Roman"/>
          <w:b w:val="0"/>
          <w:bCs w:val="0"/>
          <w:caps w:val="0"/>
          <w:smallCaps w:val="0"/>
          <w:position w:val="-9"/>
          <w:sz w:val="24"/>
          <w:szCs w:val="24"/>
          <w:vertAlign w:val="subscript"/>
          <w:rtl w:val="0"/>
          <w:lang w:val="en-US"/>
        </w:rPr>
        <w:t>i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en-US"/>
        </w:rPr>
        <w:t xml:space="preserve">) 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en-US"/>
        </w:rPr>
        <w:t xml:space="preserve">– 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относительная частота слова в  коллекции текстов определенной тематической </w:t>
      </w:r>
      <w:r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lang w:val="ru-RU"/>
        </w:rPr>
        <w:tab/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>области</w:t>
      </w:r>
    </w:p>
    <w:p>
      <w:pPr>
        <w:pStyle w:val="Captio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lear" w:pos="1150"/>
        </w:tabs>
        <w:suppressAutoHyphens w:val="1"/>
        <w:jc w:val="left"/>
        <w:outlineLvl w:val="0"/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</w:rPr>
        <w:tab/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en-US"/>
        </w:rPr>
        <w:t>fr</w:t>
      </w:r>
      <w:r>
        <w:rPr>
          <w:rFonts w:ascii="Times New Roman"/>
          <w:b w:val="0"/>
          <w:bCs w:val="0"/>
          <w:caps w:val="0"/>
          <w:smallCaps w:val="0"/>
          <w:position w:val="-9"/>
          <w:sz w:val="24"/>
          <w:szCs w:val="24"/>
          <w:vertAlign w:val="subscript"/>
          <w:rtl w:val="0"/>
          <w:lang w:val="en-US"/>
        </w:rPr>
        <w:t>r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en-US"/>
        </w:rPr>
        <w:t>(w</w:t>
      </w:r>
      <w:r>
        <w:rPr>
          <w:rFonts w:ascii="Times New Roman"/>
          <w:b w:val="0"/>
          <w:bCs w:val="0"/>
          <w:caps w:val="0"/>
          <w:smallCaps w:val="0"/>
          <w:position w:val="-9"/>
          <w:sz w:val="24"/>
          <w:szCs w:val="24"/>
          <w:vertAlign w:val="subscript"/>
          <w:rtl w:val="0"/>
          <w:lang w:val="en-US"/>
        </w:rPr>
        <w:t>i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en-US"/>
        </w:rPr>
        <w:t>)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 – относительная частота слова в контрастной коллекции 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>(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en-US"/>
        </w:rPr>
        <w:t>reference corpus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>)</w:t>
      </w:r>
    </w:p>
    <w:p>
      <w:pPr>
        <w:pStyle w:val="Captio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lear" w:pos="1150"/>
        </w:tabs>
        <w:suppressAutoHyphens w:val="1"/>
        <w:jc w:val="left"/>
        <w:outlineLvl w:val="0"/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lang w:val="en-US"/>
        </w:rPr>
        <w:tab/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en-US"/>
        </w:rPr>
        <w:t xml:space="preserve">Ws 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en-US"/>
        </w:rPr>
        <w:t xml:space="preserve">– 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>абсолютная частота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en-US"/>
        </w:rPr>
        <w:t xml:space="preserve"> w</w:t>
      </w:r>
      <w:r>
        <w:rPr>
          <w:rFonts w:ascii="Times New Roman"/>
          <w:b w:val="0"/>
          <w:bCs w:val="0"/>
          <w:caps w:val="0"/>
          <w:smallCaps w:val="0"/>
          <w:position w:val="-9"/>
          <w:sz w:val="24"/>
          <w:szCs w:val="24"/>
          <w:vertAlign w:val="subscript"/>
          <w:rtl w:val="0"/>
          <w:lang w:val="en-US"/>
        </w:rPr>
        <w:t>i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 в тематической коллекции</w:t>
      </w:r>
    </w:p>
    <w:p>
      <w:pPr>
        <w:pStyle w:val="Captio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lear" w:pos="1150"/>
        </w:tabs>
        <w:suppressAutoHyphens w:val="1"/>
        <w:jc w:val="left"/>
        <w:outlineLvl w:val="0"/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</w:rPr>
        <w:tab/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en-US"/>
        </w:rPr>
        <w:t xml:space="preserve">Ts 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en-US"/>
        </w:rPr>
        <w:t xml:space="preserve">– 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>количество слов в тематической коллекции</w:t>
      </w:r>
    </w:p>
    <w:p>
      <w:pPr>
        <w:pStyle w:val="Captio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lear" w:pos="1150"/>
        </w:tabs>
        <w:suppressAutoHyphens w:val="1"/>
        <w:jc w:val="left"/>
        <w:outlineLvl w:val="0"/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</w:rPr>
        <w:tab/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en-US"/>
        </w:rPr>
        <w:t xml:space="preserve">Wr 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>– абсолютная частота слова в контрастной коллекции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en-US"/>
        </w:rPr>
        <w:t xml:space="preserve"> (reference corpus)</w:t>
      </w:r>
    </w:p>
    <w:p>
      <w:pPr>
        <w:pStyle w:val="Captio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lear" w:pos="1150"/>
        </w:tabs>
        <w:suppressAutoHyphens w:val="1"/>
        <w:jc w:val="left"/>
        <w:outlineLvl w:val="0"/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lang w:val="ru-RU"/>
        </w:rPr>
        <w:tab/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en-US"/>
        </w:rPr>
        <w:t xml:space="preserve">Tr 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en-US"/>
        </w:rPr>
        <w:t xml:space="preserve">– 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количество слов в контрастной коллекции 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>(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en-US"/>
        </w:rPr>
        <w:t>reference corpus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>)</w:t>
      </w:r>
    </w:p>
    <w:p>
      <w:pPr>
        <w:pStyle w:val="Captio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lear" w:pos="1150"/>
        </w:tabs>
        <w:suppressAutoHyphens w:val="1"/>
        <w:jc w:val="left"/>
        <w:outlineLvl w:val="0"/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lang w:val="ru-RU"/>
        </w:rPr>
        <w:tab/>
      </w:r>
    </w:p>
    <w:p>
      <w:pPr>
        <w:pStyle w:val="Captio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lear" w:pos="1150"/>
        </w:tabs>
        <w:suppressAutoHyphens w:val="1"/>
        <w:jc w:val="left"/>
        <w:outlineLvl w:val="0"/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ab/>
        <w:t>(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>источник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: 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лекция 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>1)</w:t>
      </w:r>
    </w:p>
    <w:p>
      <w:pPr>
        <w:pStyle w:val="Captio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lear" w:pos="1150"/>
        </w:tabs>
        <w:suppressAutoHyphens w:val="1"/>
        <w:jc w:val="left"/>
        <w:outlineLvl w:val="0"/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lang w:val="ru-RU"/>
        </w:rPr>
      </w:pPr>
    </w:p>
    <w:p>
      <w:pPr>
        <w:pStyle w:val="Captio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lear" w:pos="1150"/>
        </w:tabs>
        <w:suppressAutoHyphens w:val="1"/>
        <w:jc w:val="left"/>
        <w:outlineLvl w:val="0"/>
        <w:rPr>
          <w:rFonts w:ascii="Times New Roman" w:cs="Times New Roman" w:hAnsi="Times New Roman" w:eastAsia="Times New Roman"/>
          <w:caps w:val="0"/>
          <w:smallCaps w:val="0"/>
          <w:sz w:val="24"/>
          <w:szCs w:val="24"/>
          <w:lang w:val="ru-RU"/>
        </w:rPr>
      </w:pPr>
      <w:r>
        <w:rPr>
          <w:rFonts w:hAnsi="Times New Roman" w:hint="default"/>
          <w:caps w:val="0"/>
          <w:smallCaps w:val="0"/>
          <w:sz w:val="24"/>
          <w:szCs w:val="24"/>
          <w:rtl w:val="0"/>
          <w:lang w:val="ru-RU"/>
        </w:rPr>
        <w:t>Комментарии</w:t>
      </w:r>
      <w:r>
        <w:rPr>
          <w:rFonts w:ascii="Times New Roman"/>
          <w:caps w:val="0"/>
          <w:smallCaps w:val="0"/>
          <w:sz w:val="24"/>
          <w:szCs w:val="24"/>
          <w:rtl w:val="0"/>
          <w:lang w:val="ru-RU"/>
        </w:rPr>
        <w:t>:</w:t>
      </w:r>
    </w:p>
    <w:p>
      <w:pPr>
        <w:pStyle w:val="Captio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lear" w:pos="1150"/>
        </w:tabs>
        <w:suppressAutoHyphens w:val="1"/>
        <w:jc w:val="left"/>
        <w:outlineLvl w:val="0"/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lang w:val="ru-RU"/>
        </w:rPr>
      </w:pPr>
    </w:p>
    <w:p>
      <w:pPr>
        <w:pStyle w:val="Captio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lear" w:pos="1150"/>
        </w:tabs>
        <w:suppressAutoHyphens w:val="1"/>
        <w:jc w:val="left"/>
        <w:outlineLvl w:val="0"/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lang w:val="ru-RU"/>
        </w:rPr>
      </w:pP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Оба метода поместили 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2 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>тематических слова на высокие позиции в ранжированном списке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, 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но 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1 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и 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2 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>ранг были распределены по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>-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>разному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>:</w:t>
      </w:r>
    </w:p>
    <w:p>
      <w:pPr>
        <w:pStyle w:val="Captio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lear" w:pos="1150"/>
        </w:tabs>
        <w:suppressAutoHyphens w:val="1"/>
        <w:jc w:val="left"/>
        <w:outlineLvl w:val="0"/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ab/>
        <w:t xml:space="preserve">LogLikelihood   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>→</w:t>
      </w:r>
      <w:r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lang w:val="ru-RU"/>
        </w:rPr>
        <w:tab/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ранг 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1: 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>artist</w:t>
      </w:r>
    </w:p>
    <w:p>
      <w:pPr>
        <w:pStyle w:val="Captio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clear" w:pos="1150"/>
        </w:tabs>
        <w:suppressAutoHyphens w:val="1"/>
        <w:jc w:val="left"/>
        <w:outlineLvl w:val="0"/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ab/>
        <w:t>Wiredness</w:t>
        <w:tab/>
        <w:t xml:space="preserve">   </w:t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>→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 </w:t>
        <w:tab/>
      </w:r>
      <w:r>
        <w:rPr>
          <w:rFonts w:hAnsi="Times New Roman" w:hint="default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ранг 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 xml:space="preserve">1: </w:t>
      </w:r>
      <w:r>
        <w:rPr>
          <w:rFonts w:ascii="Times New Roman"/>
          <w:b w:val="0"/>
          <w:bCs w:val="0"/>
          <w:caps w:val="0"/>
          <w:smallCaps w:val="0"/>
          <w:sz w:val="24"/>
          <w:szCs w:val="24"/>
          <w:rtl w:val="0"/>
          <w:lang w:val="ru-RU"/>
        </w:rPr>
        <w:t>exhibition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e-flux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